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13335</wp:posOffset>
            </wp:positionH>
            <wp:positionV relativeFrom="page">
              <wp:posOffset>0</wp:posOffset>
            </wp:positionV>
            <wp:extent cx="7746365"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46365"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320"/>
        <w:spacing w:after="0"/>
        <w:rPr>
          <w:sz w:val="20"/>
          <w:szCs w:val="20"/>
          <w:color w:val="auto"/>
        </w:rPr>
      </w:pPr>
      <w:r>
        <w:rPr>
          <w:rFonts w:ascii="Arial" w:cs="Arial" w:eastAsia="Arial" w:hAnsi="Arial"/>
          <w:sz w:val="62"/>
          <w:szCs w:val="62"/>
          <w:color w:val="FFFFFF"/>
        </w:rPr>
        <w:t>FOR GROWTH</w:t>
      </w:r>
    </w:p>
    <w:p>
      <w:pPr>
        <w:spacing w:after="0" w:line="139" w:lineRule="exact"/>
        <w:rPr>
          <w:sz w:val="24"/>
          <w:szCs w:val="24"/>
          <w:color w:val="auto"/>
        </w:rPr>
      </w:pPr>
    </w:p>
    <w:p>
      <w:pPr>
        <w:jc w:val="center"/>
        <w:ind w:right="320"/>
        <w:spacing w:after="0"/>
        <w:rPr>
          <w:sz w:val="20"/>
          <w:szCs w:val="20"/>
          <w:color w:val="auto"/>
        </w:rPr>
      </w:pPr>
      <w:r>
        <w:rPr>
          <w:rFonts w:ascii="Arial" w:cs="Arial" w:eastAsia="Arial" w:hAnsi="Arial"/>
          <w:sz w:val="26"/>
          <w:szCs w:val="26"/>
          <w:color w:val="DAA427"/>
        </w:rPr>
        <w:t>2023 Annual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right"/>
        <w:spacing w:after="0"/>
        <w:rPr>
          <w:sz w:val="20"/>
          <w:szCs w:val="20"/>
          <w:color w:val="auto"/>
        </w:rPr>
      </w:pPr>
      <w:r>
        <w:rPr>
          <w:rFonts w:ascii="Arial" w:cs="Arial" w:eastAsia="Arial" w:hAnsi="Arial"/>
          <w:sz w:val="12"/>
          <w:szCs w:val="12"/>
          <w:color w:val="4D4D4F"/>
        </w:rPr>
        <w:t xml:space="preserve">FORTUNE BRANDS  /  </w:t>
      </w:r>
      <w:r>
        <w:rPr>
          <w:rFonts w:ascii="Arial" w:cs="Arial" w:eastAsia="Arial" w:hAnsi="Arial"/>
          <w:sz w:val="16"/>
          <w:szCs w:val="16"/>
          <w:b w:val="1"/>
          <w:bCs w:val="1"/>
          <w:color w:val="1A4E79"/>
        </w:rPr>
        <w:t>1</w:t>
      </w:r>
    </w:p>
    <w:p>
      <w:pPr>
        <w:sectPr>
          <w:pgSz w:w="12240" w:h="15840" w:orient="portrait"/>
          <w:cols w:equalWidth="0" w:num="1">
            <w:col w:w="9680"/>
          </w:cols>
          <w:pgMar w:left="1440" w:top="1440" w:right="1120" w:bottom="0" w:gutter="0" w:footer="0" w:header="0"/>
        </w:sectPr>
      </w:pPr>
    </w:p>
    <w:bookmarkStart w:id="1" w:name="page2"/>
    <w:bookmarkEnd w:id="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wp:posOffset>
            </wp:positionH>
            <wp:positionV relativeFrom="page">
              <wp:posOffset>0</wp:posOffset>
            </wp:positionV>
            <wp:extent cx="7746365" cy="10057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46365" cy="10057765"/>
                    </a:xfrm>
                    <a:prstGeom prst="rect">
                      <a:avLst/>
                    </a:prstGeom>
                    <a:noFill/>
                  </pic:spPr>
                </pic:pic>
              </a:graphicData>
            </a:graphic>
          </wp:anchor>
        </w:drawing>
      </w:r>
    </w:p>
    <w:p>
      <w:pPr>
        <w:ind w:left="7" w:right="300"/>
        <w:spacing w:after="0" w:line="246" w:lineRule="auto"/>
        <w:rPr>
          <w:sz w:val="20"/>
          <w:szCs w:val="20"/>
          <w:color w:val="auto"/>
        </w:rPr>
      </w:pPr>
      <w:r>
        <w:rPr>
          <w:rFonts w:ascii="Arial" w:cs="Arial" w:eastAsia="Arial" w:hAnsi="Arial"/>
          <w:sz w:val="61"/>
          <w:szCs w:val="61"/>
          <w:b w:val="1"/>
          <w:bCs w:val="1"/>
          <w:color w:val="FFFFFF"/>
        </w:rPr>
        <w:t>FORTUNE BRANDS INNOVATIONS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Fortune Brands Innovations, Inc.</w:t>
      </w:r>
    </w:p>
    <w:p>
      <w:pPr>
        <w:spacing w:after="0" w:line="50" w:lineRule="exact"/>
        <w:rPr>
          <w:sz w:val="20"/>
          <w:szCs w:val="20"/>
          <w:color w:val="auto"/>
        </w:rPr>
      </w:pPr>
    </w:p>
    <w:p>
      <w:pPr>
        <w:spacing w:after="0" w:line="284" w:lineRule="auto"/>
        <w:rPr>
          <w:sz w:val="20"/>
          <w:szCs w:val="20"/>
          <w:color w:val="auto"/>
        </w:rPr>
      </w:pPr>
      <w:r>
        <w:rPr>
          <w:rFonts w:ascii="Arial" w:cs="Arial" w:eastAsia="Arial" w:hAnsi="Arial"/>
          <w:sz w:val="24"/>
          <w:szCs w:val="24"/>
          <w:color w:val="FFFFFF"/>
        </w:rPr>
        <w:t>(NYSE: FBIN) is a brand, innovation and channel leader with a proven track record of creating value. The Company is focused on exciting, supercharged growth opportunities within the home, security and commercial building markets.</w:t>
      </w:r>
    </w:p>
    <w:p>
      <w:pPr>
        <w:spacing w:after="0" w:line="200" w:lineRule="exact"/>
        <w:rPr>
          <w:sz w:val="20"/>
          <w:szCs w:val="20"/>
          <w:color w:val="auto"/>
        </w:rPr>
      </w:pPr>
    </w:p>
    <w:p>
      <w:pPr>
        <w:sectPr>
          <w:pgSz w:w="12240" w:h="15840" w:orient="portrait"/>
          <w:cols w:equalWidth="0" w:num="2">
            <w:col w:w="4967" w:space="720"/>
            <w:col w:w="4140"/>
          </w:cols>
          <w:pgMar w:left="1113" w:top="14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7" w:right="80" w:hanging="147"/>
        <w:spacing w:after="0" w:line="193" w:lineRule="auto"/>
        <w:tabs>
          <w:tab w:leader="none" w:pos="147" w:val="left"/>
        </w:tabs>
        <w:numPr>
          <w:ilvl w:val="0"/>
          <w:numId w:val="1"/>
        </w:numPr>
        <w:rPr>
          <w:rFonts w:ascii="Arial" w:cs="Arial" w:eastAsia="Arial" w:hAnsi="Arial"/>
          <w:sz w:val="45"/>
          <w:szCs w:val="45"/>
          <w:color w:val="FFFFFF"/>
          <w:vertAlign w:val="subscript"/>
        </w:rPr>
      </w:pPr>
      <w:r>
        <w:rPr>
          <w:rFonts w:ascii="Arial" w:cs="Arial" w:eastAsia="Arial" w:hAnsi="Arial"/>
          <w:sz w:val="16"/>
          <w:szCs w:val="16"/>
          <w:color w:val="FFFFFF"/>
        </w:rPr>
        <w:t>In this annual report, all data presented is from continuing operations for Fortune Brands Innovations, Inc., and all references to earnings per share, operating income, operating margin and EBITDA are on a before charges/gains basis, unless noted otherwise. Reconciliations of non-GAAP measures are presented on pages 99–105. Certain forward-looking statements included in this report are made within the meaning of the Private Securities Litigation Reform Act of 1995. Read more about these forward-looking statements on page 105.</w:t>
      </w:r>
    </w:p>
    <w:p>
      <w:pPr>
        <w:sectPr>
          <w:pgSz w:w="12240" w:h="15840" w:orient="portrait"/>
          <w:cols w:equalWidth="0" w:num="1">
            <w:col w:w="9827"/>
          </w:cols>
          <w:pgMar w:left="1113" w:top="1440" w:right="1300" w:bottom="0" w:gutter="0" w:footer="0" w:header="0"/>
          <w:type w:val="continuous"/>
        </w:sectPr>
      </w:pPr>
    </w:p>
    <w:bookmarkStart w:id="2" w:name="page3"/>
    <w:bookmarkEnd w:id="2"/>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1A4E79"/>
        </w:rPr>
        <w:t>LETTER TO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177165</wp:posOffset>
                </wp:positionV>
                <wp:extent cx="3460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075" cy="4763"/>
                        </a:xfrm>
                        <a:prstGeom prst="line">
                          <a:avLst/>
                        </a:prstGeom>
                        <a:solidFill>
                          <a:srgbClr val="FFFFFF"/>
                        </a:solidFill>
                        <a:ln w="38531">
                          <a:solidFill>
                            <a:srgbClr val="DAA427"/>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95pt" to="26.95pt,13.95pt" o:allowincell="f" strokecolor="#DAA427" strokeweight="3.0339pt"/>
            </w:pict>
          </mc:Fallback>
        </mc:AlternateContent>
      </w:r>
    </w:p>
    <w:p>
      <w:pPr>
        <w:sectPr>
          <w:pgSz w:w="12240" w:h="15840" w:orient="portrait"/>
          <w:cols w:equalWidth="0" w:num="1">
            <w:col w:w="10000"/>
          </w:cols>
          <w:pgMar w:left="1120"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1A4E79"/>
        </w:rPr>
        <w:t>Dear Shareholders:</w:t>
      </w:r>
    </w:p>
    <w:p>
      <w:pPr>
        <w:spacing w:after="0" w:line="224" w:lineRule="exact"/>
        <w:rPr>
          <w:sz w:val="20"/>
          <w:szCs w:val="20"/>
          <w:color w:val="auto"/>
        </w:rPr>
      </w:pPr>
    </w:p>
    <w:p>
      <w:pPr>
        <w:spacing w:after="0" w:line="304" w:lineRule="auto"/>
        <w:rPr>
          <w:sz w:val="20"/>
          <w:szCs w:val="20"/>
          <w:color w:val="auto"/>
        </w:rPr>
      </w:pPr>
      <w:r>
        <w:rPr>
          <w:rFonts w:ascii="Arial" w:cs="Arial" w:eastAsia="Arial" w:hAnsi="Arial"/>
          <w:sz w:val="26"/>
          <w:szCs w:val="26"/>
          <w:color w:val="4D4D4F"/>
        </w:rPr>
        <w:t>2023 was a year of transformation and execution for Fortune Brands as we continue to position the Company for accelerated growth.</w:t>
      </w:r>
    </w:p>
    <w:p>
      <w:pPr>
        <w:spacing w:after="0" w:line="126"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color w:val="4D4D4F"/>
        </w:rPr>
        <w:t>The actions we took during the past year to better leverage the strength of our newly aligned organization and sharpen our focus on our leading brands, meaningful innovation, and our advantaged channel relationships give me the confidence in our ability to continue to deliver long-term growth and shareholder value.</w:t>
      </w:r>
    </w:p>
    <w:p>
      <w:pPr>
        <w:spacing w:after="0" w:line="123" w:lineRule="exact"/>
        <w:rPr>
          <w:sz w:val="20"/>
          <w:szCs w:val="20"/>
          <w:color w:val="auto"/>
        </w:rPr>
      </w:pPr>
    </w:p>
    <w:p>
      <w:pPr>
        <w:ind w:right="160"/>
        <w:spacing w:after="0" w:line="304" w:lineRule="auto"/>
        <w:rPr>
          <w:sz w:val="20"/>
          <w:szCs w:val="20"/>
          <w:color w:val="auto"/>
        </w:rPr>
      </w:pPr>
      <w:r>
        <w:rPr>
          <w:rFonts w:ascii="Arial" w:cs="Arial" w:eastAsia="Arial" w:hAnsi="Arial"/>
          <w:sz w:val="18"/>
          <w:szCs w:val="18"/>
          <w:color w:val="4D4D4F"/>
        </w:rPr>
        <w:t>In 2023, we continued to invest in our key strategic priorities, including our iconic brands, digital transformation, and meaningful innovation. We established a connected products group and</w:t>
      </w:r>
    </w:p>
    <w:p>
      <w:pPr>
        <w:spacing w:after="0" w:line="3" w:lineRule="exact"/>
        <w:rPr>
          <w:sz w:val="20"/>
          <w:szCs w:val="20"/>
          <w:color w:val="auto"/>
        </w:rPr>
      </w:pPr>
    </w:p>
    <w:p>
      <w:pPr>
        <w:ind w:right="60"/>
        <w:spacing w:after="0" w:line="307" w:lineRule="auto"/>
        <w:rPr>
          <w:sz w:val="20"/>
          <w:szCs w:val="20"/>
          <w:color w:val="auto"/>
        </w:rPr>
      </w:pPr>
      <w:r>
        <w:rPr>
          <w:rFonts w:ascii="Arial" w:cs="Arial" w:eastAsia="Arial" w:hAnsi="Arial"/>
          <w:sz w:val="18"/>
          <w:szCs w:val="18"/>
          <w:color w:val="4D4D4F"/>
        </w:rPr>
        <w:t>are growing our connected products portfolio. We completed the strategic and transformative acquisition of the Emtek and Schaub premium and luxury door and hardware business and the U.S. and Canadian Yale and August residential smart locks business. These brands are strong additions to our connected products and luxury portfolios and have the potential to be key accelerants for growth. We are transforming Fortune Brands into an even more growth-focused, highly innovative company.</w:t>
      </w:r>
    </w:p>
    <w:p>
      <w:pPr>
        <w:spacing w:after="0" w:line="123" w:lineRule="exact"/>
        <w:rPr>
          <w:sz w:val="20"/>
          <w:szCs w:val="20"/>
          <w:color w:val="auto"/>
        </w:rPr>
      </w:pPr>
    </w:p>
    <w:p>
      <w:pPr>
        <w:ind w:right="40"/>
        <w:spacing w:after="0" w:line="313" w:lineRule="auto"/>
        <w:rPr>
          <w:sz w:val="20"/>
          <w:szCs w:val="20"/>
          <w:color w:val="auto"/>
        </w:rPr>
      </w:pPr>
      <w:r>
        <w:rPr>
          <w:rFonts w:ascii="Arial" w:cs="Arial" w:eastAsia="Arial" w:hAnsi="Arial"/>
          <w:sz w:val="18"/>
          <w:szCs w:val="18"/>
          <w:color w:val="4D4D4F"/>
        </w:rPr>
        <w:t>As we mark one year as Fortune Brands Innovations, I am incredibly proud of how our remarkable teams have come together to drive excellence, innovation and progress in our shared vision. I am encouraged by all that we have accomplished and am excited about what we will achieve next.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FFFFFF"/>
        </w:rPr>
        <w:t>Nicholas I. Fink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-2327910</wp:posOffset>
            </wp:positionV>
            <wp:extent cx="3063875" cy="2652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3063875" cy="2652395"/>
                    </a:xfrm>
                    <a:prstGeom prst="rect">
                      <a:avLst/>
                    </a:prstGeom>
                    <a:noFill/>
                  </pic:spPr>
                </pic:pic>
              </a:graphicData>
            </a:graphic>
          </wp:anchor>
        </w:drawing>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FFFFFF"/>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20"/>
                <w:szCs w:val="20"/>
                <w:color w:val="auto"/>
              </w:rPr>
            </w:pPr>
            <w:r>
              <w:rPr>
                <w:rFonts w:ascii="Arial" w:cs="Arial" w:eastAsia="Arial" w:hAnsi="Arial"/>
                <w:sz w:val="18"/>
                <w:szCs w:val="18"/>
                <w:b w:val="1"/>
                <w:bCs w:val="1"/>
                <w:color w:val="1A4E79"/>
              </w:rPr>
              <w:t>Financial Highlights*</w:t>
            </w:r>
          </w:p>
        </w:tc>
        <w:tc>
          <w:tcPr>
            <w:tcW w:w="2080" w:type="dxa"/>
            <w:vAlign w:val="bottom"/>
          </w:tcPr>
          <w:p>
            <w:pPr>
              <w:jc w:val="right"/>
              <w:spacing w:after="0"/>
              <w:rPr>
                <w:sz w:val="20"/>
                <w:szCs w:val="20"/>
                <w:color w:val="auto"/>
              </w:rPr>
            </w:pPr>
            <w:r>
              <w:rPr>
                <w:rFonts w:ascii="Arial" w:cs="Arial" w:eastAsia="Arial" w:hAnsi="Arial"/>
                <w:sz w:val="18"/>
                <w:szCs w:val="18"/>
                <w:b w:val="1"/>
                <w:bCs w:val="1"/>
                <w:color w:val="1A4E79"/>
              </w:rPr>
              <w:t>12/30/2023</w:t>
            </w:r>
          </w:p>
        </w:tc>
      </w:tr>
      <w:tr>
        <w:trPr>
          <w:trHeight w:val="36"/>
        </w:trPr>
        <w:tc>
          <w:tcPr>
            <w:tcW w:w="2740" w:type="dxa"/>
            <w:vAlign w:val="bottom"/>
            <w:tcBorders>
              <w:bottom w:val="single" w:sz="8" w:color="4D4D4F"/>
            </w:tcBorders>
          </w:tcPr>
          <w:p>
            <w:pPr>
              <w:spacing w:after="0"/>
              <w:rPr>
                <w:sz w:val="3"/>
                <w:szCs w:val="3"/>
                <w:color w:val="auto"/>
              </w:rPr>
            </w:pPr>
          </w:p>
        </w:tc>
        <w:tc>
          <w:tcPr>
            <w:tcW w:w="2080" w:type="dxa"/>
            <w:vAlign w:val="bottom"/>
            <w:tcBorders>
              <w:bottom w:val="single" w:sz="8" w:color="4D4D4F"/>
            </w:tcBorders>
          </w:tcPr>
          <w:p>
            <w:pPr>
              <w:spacing w:after="0"/>
              <w:rPr>
                <w:sz w:val="3"/>
                <w:szCs w:val="3"/>
                <w:color w:val="auto"/>
              </w:rPr>
            </w:pPr>
          </w:p>
        </w:tc>
      </w:tr>
      <w:tr>
        <w:trPr>
          <w:trHeight w:val="265"/>
        </w:trPr>
        <w:tc>
          <w:tcPr>
            <w:tcW w:w="2740" w:type="dxa"/>
            <w:vAlign w:val="bottom"/>
          </w:tcPr>
          <w:p>
            <w:pPr>
              <w:spacing w:after="0"/>
              <w:rPr>
                <w:sz w:val="20"/>
                <w:szCs w:val="20"/>
                <w:color w:val="auto"/>
              </w:rPr>
            </w:pPr>
            <w:r>
              <w:rPr>
                <w:rFonts w:ascii="Arial" w:cs="Arial" w:eastAsia="Arial" w:hAnsi="Arial"/>
                <w:sz w:val="18"/>
                <w:szCs w:val="18"/>
                <w:color w:val="4D4D4F"/>
              </w:rPr>
              <w:t>Total Net Sales</w:t>
            </w:r>
          </w:p>
        </w:tc>
        <w:tc>
          <w:tcPr>
            <w:tcW w:w="2080" w:type="dxa"/>
            <w:vAlign w:val="bottom"/>
          </w:tcPr>
          <w:p>
            <w:pPr>
              <w:jc w:val="right"/>
              <w:spacing w:after="0"/>
              <w:rPr>
                <w:sz w:val="20"/>
                <w:szCs w:val="20"/>
                <w:color w:val="auto"/>
              </w:rPr>
            </w:pPr>
            <w:r>
              <w:rPr>
                <w:rFonts w:ascii="Arial" w:cs="Arial" w:eastAsia="Arial" w:hAnsi="Arial"/>
                <w:sz w:val="18"/>
                <w:szCs w:val="18"/>
                <w:color w:val="1A4E79"/>
              </w:rPr>
              <w:t>$4,626 million</w:t>
            </w:r>
          </w:p>
        </w:tc>
      </w:tr>
      <w:tr>
        <w:trPr>
          <w:trHeight w:val="344"/>
        </w:trPr>
        <w:tc>
          <w:tcPr>
            <w:tcW w:w="2740" w:type="dxa"/>
            <w:vAlign w:val="bottom"/>
          </w:tcPr>
          <w:p>
            <w:pPr>
              <w:spacing w:after="0"/>
              <w:rPr>
                <w:sz w:val="20"/>
                <w:szCs w:val="20"/>
                <w:color w:val="auto"/>
              </w:rPr>
            </w:pPr>
            <w:r>
              <w:rPr>
                <w:rFonts w:ascii="Arial" w:cs="Arial" w:eastAsia="Arial" w:hAnsi="Arial"/>
                <w:sz w:val="18"/>
                <w:szCs w:val="18"/>
                <w:color w:val="4D4D4F"/>
              </w:rPr>
              <w:t>Operating Income**</w:t>
            </w:r>
          </w:p>
        </w:tc>
        <w:tc>
          <w:tcPr>
            <w:tcW w:w="2080" w:type="dxa"/>
            <w:vAlign w:val="bottom"/>
          </w:tcPr>
          <w:p>
            <w:pPr>
              <w:jc w:val="right"/>
              <w:spacing w:after="0"/>
              <w:rPr>
                <w:sz w:val="20"/>
                <w:szCs w:val="20"/>
                <w:color w:val="auto"/>
              </w:rPr>
            </w:pPr>
            <w:r>
              <w:rPr>
                <w:rFonts w:ascii="Arial" w:cs="Arial" w:eastAsia="Arial" w:hAnsi="Arial"/>
                <w:sz w:val="18"/>
                <w:szCs w:val="18"/>
                <w:color w:val="1A4E79"/>
              </w:rPr>
              <w:t>$738 million</w:t>
            </w:r>
          </w:p>
        </w:tc>
      </w:tr>
      <w:tr>
        <w:trPr>
          <w:trHeight w:val="344"/>
        </w:trPr>
        <w:tc>
          <w:tcPr>
            <w:tcW w:w="2740" w:type="dxa"/>
            <w:vAlign w:val="bottom"/>
          </w:tcPr>
          <w:p>
            <w:pPr>
              <w:spacing w:after="0"/>
              <w:rPr>
                <w:sz w:val="20"/>
                <w:szCs w:val="20"/>
                <w:color w:val="auto"/>
              </w:rPr>
            </w:pPr>
            <w:r>
              <w:rPr>
                <w:rFonts w:ascii="Arial" w:cs="Arial" w:eastAsia="Arial" w:hAnsi="Arial"/>
                <w:sz w:val="18"/>
                <w:szCs w:val="18"/>
                <w:color w:val="4D4D4F"/>
              </w:rPr>
              <w:t>Earnings Per Share**</w:t>
            </w:r>
          </w:p>
        </w:tc>
        <w:tc>
          <w:tcPr>
            <w:tcW w:w="2080" w:type="dxa"/>
            <w:vAlign w:val="bottom"/>
          </w:tcPr>
          <w:p>
            <w:pPr>
              <w:jc w:val="right"/>
              <w:spacing w:after="0"/>
              <w:rPr>
                <w:sz w:val="20"/>
                <w:szCs w:val="20"/>
                <w:color w:val="auto"/>
              </w:rPr>
            </w:pPr>
            <w:r>
              <w:rPr>
                <w:rFonts w:ascii="Arial" w:cs="Arial" w:eastAsia="Arial" w:hAnsi="Arial"/>
                <w:sz w:val="18"/>
                <w:szCs w:val="18"/>
                <w:color w:val="1A4E79"/>
              </w:rPr>
              <w:t>$3.91</w:t>
            </w:r>
          </w:p>
        </w:tc>
      </w:tr>
      <w:tr>
        <w:trPr>
          <w:trHeight w:val="344"/>
        </w:trPr>
        <w:tc>
          <w:tcPr>
            <w:tcW w:w="2740" w:type="dxa"/>
            <w:vAlign w:val="bottom"/>
          </w:tcPr>
          <w:p>
            <w:pPr>
              <w:spacing w:after="0"/>
              <w:rPr>
                <w:sz w:val="20"/>
                <w:szCs w:val="20"/>
                <w:color w:val="auto"/>
              </w:rPr>
            </w:pPr>
            <w:r>
              <w:rPr>
                <w:rFonts w:ascii="Arial" w:cs="Arial" w:eastAsia="Arial" w:hAnsi="Arial"/>
                <w:sz w:val="18"/>
                <w:szCs w:val="18"/>
                <w:color w:val="4D4D4F"/>
              </w:rPr>
              <w:t>EBITDA**</w:t>
            </w:r>
          </w:p>
        </w:tc>
        <w:tc>
          <w:tcPr>
            <w:tcW w:w="2080" w:type="dxa"/>
            <w:vAlign w:val="bottom"/>
          </w:tcPr>
          <w:p>
            <w:pPr>
              <w:jc w:val="right"/>
              <w:spacing w:after="0"/>
              <w:rPr>
                <w:sz w:val="20"/>
                <w:szCs w:val="20"/>
                <w:color w:val="auto"/>
              </w:rPr>
            </w:pPr>
            <w:r>
              <w:rPr>
                <w:rFonts w:ascii="Arial" w:cs="Arial" w:eastAsia="Arial" w:hAnsi="Arial"/>
                <w:sz w:val="18"/>
                <w:szCs w:val="18"/>
                <w:color w:val="1A4E79"/>
              </w:rPr>
              <w:t>$910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-619760</wp:posOffset>
            </wp:positionV>
            <wp:extent cx="30283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3028315" cy="635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-401320</wp:posOffset>
            </wp:positionV>
            <wp:extent cx="30283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3028315" cy="635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-182880</wp:posOffset>
            </wp:positionV>
            <wp:extent cx="302831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3028315" cy="635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34290</wp:posOffset>
            </wp:positionV>
            <wp:extent cx="302831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3028315" cy="6350"/>
                    </a:xfrm>
                    <a:prstGeom prst="rect">
                      <a:avLst/>
                    </a:prstGeom>
                    <a:noFill/>
                  </pic:spPr>
                </pic:pic>
              </a:graphicData>
            </a:graphic>
          </wp:anchor>
        </w:drawing>
      </w:r>
    </w:p>
    <w:p>
      <w:pPr>
        <w:spacing w:after="0" w:line="133" w:lineRule="exact"/>
        <w:rPr>
          <w:sz w:val="20"/>
          <w:szCs w:val="20"/>
          <w:color w:val="auto"/>
        </w:rPr>
      </w:pPr>
    </w:p>
    <w:p>
      <w:pPr>
        <w:ind w:left="160" w:hanging="158"/>
        <w:spacing w:after="0"/>
        <w:tabs>
          <w:tab w:leader="none" w:pos="160" w:val="left"/>
        </w:tabs>
        <w:numPr>
          <w:ilvl w:val="0"/>
          <w:numId w:val="2"/>
        </w:numPr>
        <w:rPr>
          <w:rFonts w:ascii="Arial" w:cs="Arial" w:eastAsia="Arial" w:hAnsi="Arial"/>
          <w:sz w:val="15"/>
          <w:szCs w:val="15"/>
          <w:color w:val="4D4D4F"/>
        </w:rPr>
      </w:pPr>
      <w:r>
        <w:rPr>
          <w:rFonts w:ascii="Arial" w:cs="Arial" w:eastAsia="Arial" w:hAnsi="Arial"/>
          <w:sz w:val="15"/>
          <w:szCs w:val="15"/>
          <w:i w:val="1"/>
          <w:iCs w:val="1"/>
          <w:color w:val="4D4D4F"/>
        </w:rPr>
        <w:t>Includes corporate SG&amp;A.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88900</wp:posOffset>
                </wp:positionV>
                <wp:extent cx="30632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3240" cy="4763"/>
                        </a:xfrm>
                        <a:prstGeom prst="line">
                          <a:avLst/>
                        </a:prstGeom>
                        <a:solidFill>
                          <a:srgbClr val="FFFFFF"/>
                        </a:solidFill>
                        <a:ln w="3213">
                          <a:solidFill>
                            <a:srgbClr val="4D4D4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7pt" to="241.3pt,7pt" o:allowincell="f" strokecolor="#4D4D4F" strokeweight="0.25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312" w:lineRule="auto"/>
        <w:rPr>
          <w:sz w:val="20"/>
          <w:szCs w:val="20"/>
          <w:color w:val="auto"/>
        </w:rPr>
      </w:pPr>
      <w:r>
        <w:rPr>
          <w:rFonts w:ascii="Arial" w:cs="Arial" w:eastAsia="Arial" w:hAnsi="Arial"/>
          <w:sz w:val="18"/>
          <w:szCs w:val="18"/>
          <w:color w:val="4D4D4F"/>
        </w:rPr>
        <w:t>growth initiatives. Total net sales were $4.6 billion. Earnings per share were $3.91 and total company operating margin was 16.0 percent. We also generated excellent free cash flow of approximately $800 million, enabling investment in key initiatives to position the Company for accelerated future growth. Below are our 2023 results and highlights by segment.</w:t>
      </w:r>
    </w:p>
    <w:p>
      <w:pPr>
        <w:spacing w:after="0" w:line="169" w:lineRule="exact"/>
        <w:rPr>
          <w:sz w:val="20"/>
          <w:szCs w:val="20"/>
          <w:color w:val="auto"/>
        </w:rPr>
      </w:pPr>
    </w:p>
    <w:p>
      <w:pPr>
        <w:sectPr>
          <w:pgSz w:w="12240" w:h="15840" w:orient="portrait"/>
          <w:cols w:equalWidth="0" w:num="2">
            <w:col w:w="4620" w:space="560"/>
            <w:col w:w="4820"/>
          </w:cols>
          <w:pgMar w:left="1120" w:top="1440" w:right="1120" w:bottom="0" w:gutter="0" w:footer="0" w:header="0"/>
          <w:type w:val="continuous"/>
        </w:sectPr>
      </w:pPr>
    </w:p>
    <w:p>
      <w:pPr>
        <w:spacing w:after="0"/>
        <w:rPr>
          <w:sz w:val="20"/>
          <w:szCs w:val="20"/>
          <w:color w:val="auto"/>
        </w:rPr>
      </w:pPr>
      <w:r>
        <w:rPr>
          <w:rFonts w:ascii="Arial" w:cs="Arial" w:eastAsia="Arial" w:hAnsi="Arial"/>
          <w:sz w:val="24"/>
          <w:szCs w:val="24"/>
          <w:b w:val="1"/>
          <w:bCs w:val="1"/>
          <w:color w:val="1A4E79"/>
        </w:rPr>
        <w:t>2023 Performance Overview</w:t>
      </w:r>
    </w:p>
    <w:p>
      <w:pPr>
        <w:spacing w:after="0" w:line="200" w:lineRule="exact"/>
        <w:rPr>
          <w:sz w:val="20"/>
          <w:szCs w:val="20"/>
          <w:color w:val="auto"/>
        </w:rPr>
      </w:pPr>
    </w:p>
    <w:p>
      <w:pPr>
        <w:spacing w:after="0" w:line="308" w:lineRule="auto"/>
        <w:rPr>
          <w:sz w:val="20"/>
          <w:szCs w:val="20"/>
          <w:color w:val="auto"/>
        </w:rPr>
      </w:pPr>
      <w:r>
        <w:rPr>
          <w:rFonts w:ascii="Arial" w:cs="Arial" w:eastAsia="Arial" w:hAnsi="Arial"/>
          <w:sz w:val="18"/>
          <w:szCs w:val="18"/>
          <w:color w:val="4D4D4F"/>
        </w:rPr>
        <w:t>Our focus for 2023 was on advancing our transformation through above-market sales, margin preservation and generating cash. The Fortune Brands team performed well in a challenging market, delivering solid sales and margin results and strong free cash flow performance, while advancing key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1A4E79"/>
        </w:rPr>
        <w:t>Water Innovations</w:t>
      </w:r>
    </w:p>
    <w:p>
      <w:pPr>
        <w:spacing w:after="0" w:line="200"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color w:val="4D4D4F"/>
        </w:rPr>
        <w:t>The Water Innovations segment results were driven by the strength of leading brands, innovative products and solid channel partnerships. Our brand survey work indicates that the Moen brand remains the most trusted kitchen and bath faucet brand in North America. In addition to investing in our core water</w:t>
      </w:r>
    </w:p>
    <w:p>
      <w:pPr>
        <w:spacing w:after="0" w:line="200" w:lineRule="exact"/>
        <w:rPr>
          <w:sz w:val="20"/>
          <w:szCs w:val="20"/>
          <w:color w:val="auto"/>
        </w:rPr>
      </w:pPr>
    </w:p>
    <w:p>
      <w:pPr>
        <w:sectPr>
          <w:pgSz w:w="12240" w:h="15840" w:orient="portrait"/>
          <w:cols w:equalWidth="0" w:num="2">
            <w:col w:w="4600" w:space="580"/>
            <w:col w:w="4820"/>
          </w:cols>
          <w:pgMar w:left="1120" w:top="1440" w:right="1120" w:bottom="0" w:gutter="0" w:footer="0" w:header="0"/>
          <w:type w:val="continuous"/>
        </w:sectPr>
      </w:pPr>
    </w:p>
    <w:p>
      <w:pPr>
        <w:spacing w:after="0" w:line="84" w:lineRule="exact"/>
        <w:rPr>
          <w:sz w:val="20"/>
          <w:szCs w:val="20"/>
          <w:color w:val="auto"/>
        </w:rPr>
      </w:pPr>
    </w:p>
    <w:p>
      <w:pPr>
        <w:ind w:left="8480"/>
        <w:spacing w:after="0"/>
        <w:rPr>
          <w:sz w:val="20"/>
          <w:szCs w:val="20"/>
          <w:color w:val="auto"/>
        </w:rPr>
      </w:pPr>
      <w:r>
        <w:rPr>
          <w:rFonts w:ascii="Arial" w:cs="Arial" w:eastAsia="Arial" w:hAnsi="Arial"/>
          <w:sz w:val="12"/>
          <w:szCs w:val="12"/>
          <w:color w:val="4D4D4F"/>
        </w:rPr>
        <w:t xml:space="preserve">FORTUNE BRANDS  /  </w:t>
      </w:r>
      <w:r>
        <w:rPr>
          <w:rFonts w:ascii="Arial" w:cs="Arial" w:eastAsia="Arial" w:hAnsi="Arial"/>
          <w:sz w:val="16"/>
          <w:szCs w:val="16"/>
          <w:b w:val="1"/>
          <w:bCs w:val="1"/>
          <w:color w:val="1A4E79"/>
        </w:rPr>
        <w:t>1</w:t>
      </w:r>
    </w:p>
    <w:p>
      <w:pPr>
        <w:sectPr>
          <w:pgSz w:w="12240" w:h="15840" w:orient="portrait"/>
          <w:cols w:equalWidth="0" w:num="1">
            <w:col w:w="10000"/>
          </w:cols>
          <w:pgMar w:left="1120" w:top="1440" w:right="1120" w:bottom="0" w:gutter="0" w:footer="0" w:header="0"/>
          <w:type w:val="continuous"/>
        </w:sectPr>
      </w:pPr>
    </w:p>
    <w:bookmarkStart w:id="3" w:name="page4"/>
    <w:bookmarkEnd w:id="3"/>
    <w:p>
      <w:pPr>
        <w:spacing w:after="0" w:line="69" w:lineRule="exact"/>
        <w:rPr>
          <w:sz w:val="20"/>
          <w:szCs w:val="20"/>
          <w:color w:val="auto"/>
        </w:rPr>
      </w:pPr>
    </w:p>
    <w:p>
      <w:pPr>
        <w:ind w:left="7"/>
        <w:spacing w:after="0"/>
        <w:rPr>
          <w:sz w:val="20"/>
          <w:szCs w:val="20"/>
          <w:color w:val="auto"/>
        </w:rPr>
      </w:pPr>
      <w:r>
        <w:rPr>
          <w:rFonts w:ascii="Arial" w:cs="Arial" w:eastAsia="Arial" w:hAnsi="Arial"/>
          <w:sz w:val="45"/>
          <w:szCs w:val="45"/>
          <w:b w:val="1"/>
          <w:bCs w:val="1"/>
          <w:color w:val="1A4E79"/>
        </w:rPr>
        <w:t xml:space="preserve">LETTER TO SHAREHOLDERS </w:t>
      </w:r>
      <w:r>
        <w:rPr>
          <w:rFonts w:ascii="Arial" w:cs="Arial" w:eastAsia="Arial" w:hAnsi="Arial"/>
          <w:sz w:val="18"/>
          <w:szCs w:val="18"/>
          <w:i w:val="1"/>
          <w:iCs w:val="1"/>
          <w:color w:val="1A4E79"/>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34671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6710" cy="4763"/>
                        </a:xfrm>
                        <a:prstGeom prst="line">
                          <a:avLst/>
                        </a:prstGeom>
                        <a:solidFill>
                          <a:srgbClr val="FFFFFF"/>
                        </a:solidFill>
                        <a:ln w="38531">
                          <a:solidFill>
                            <a:srgbClr val="DAA427"/>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5pt" to="27.3pt,13.95pt" o:allowincell="f" strokecolor="#DAA427" strokeweight="3.0339pt"/>
            </w:pict>
          </mc:Fallback>
        </mc:AlternateContent>
      </w:r>
    </w:p>
    <w:p>
      <w:pPr>
        <w:sectPr>
          <w:pgSz w:w="12240" w:h="15840" w:orient="portrait"/>
          <w:cols w:equalWidth="0" w:num="1">
            <w:col w:w="10007"/>
          </w:cols>
          <w:pgMar w:left="1113" w:top="1440"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
        <w:spacing w:after="0" w:line="313" w:lineRule="auto"/>
        <w:rPr>
          <w:sz w:val="20"/>
          <w:szCs w:val="20"/>
          <w:color w:val="auto"/>
        </w:rPr>
      </w:pPr>
      <w:r>
        <w:rPr>
          <w:rFonts w:ascii="Arial" w:cs="Arial" w:eastAsia="Arial" w:hAnsi="Arial"/>
          <w:sz w:val="18"/>
          <w:szCs w:val="18"/>
          <w:color w:val="4D4D4F"/>
        </w:rPr>
        <w:t>products, we are uniquely positioned to grow in the connected products space with the Moen Smart Water Network. Our House of Rohl portfolio of luxury products continues to perform well, and with the 2023 addition of Emtek and Schaub, we have further strengthened our unique luxury offerings.</w:t>
      </w:r>
    </w:p>
    <w:p>
      <w:pPr>
        <w:spacing w:after="0" w:line="11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4D4D4F"/>
        </w:rPr>
        <w:t>Water Innovations Financial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Pr>
          <w:p>
            <w:pPr>
              <w:spacing w:after="0"/>
              <w:rPr>
                <w:sz w:val="20"/>
                <w:szCs w:val="20"/>
                <w:color w:val="auto"/>
              </w:rPr>
            </w:pPr>
            <w:r>
              <w:rPr>
                <w:rFonts w:ascii="Arial" w:cs="Arial" w:eastAsia="Arial" w:hAnsi="Arial"/>
                <w:sz w:val="18"/>
                <w:szCs w:val="18"/>
                <w:b w:val="1"/>
                <w:bCs w:val="1"/>
                <w:color w:val="1A4E79"/>
              </w:rPr>
              <w:t>Capital Performance*</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1A4E79"/>
              </w:rPr>
              <w:t>12/30/2023</w:t>
            </w:r>
          </w:p>
        </w:tc>
      </w:tr>
      <w:tr>
        <w:trPr>
          <w:trHeight w:val="36"/>
        </w:trPr>
        <w:tc>
          <w:tcPr>
            <w:tcW w:w="2760" w:type="dxa"/>
            <w:vAlign w:val="bottom"/>
            <w:tcBorders>
              <w:bottom w:val="single" w:sz="8" w:color="4D4D4F"/>
            </w:tcBorders>
          </w:tcPr>
          <w:p>
            <w:pPr>
              <w:spacing w:after="0"/>
              <w:rPr>
                <w:sz w:val="3"/>
                <w:szCs w:val="3"/>
                <w:color w:val="auto"/>
              </w:rPr>
            </w:pPr>
          </w:p>
        </w:tc>
        <w:tc>
          <w:tcPr>
            <w:tcW w:w="2060" w:type="dxa"/>
            <w:vAlign w:val="bottom"/>
            <w:tcBorders>
              <w:bottom w:val="single" w:sz="8" w:color="4D4D4F"/>
            </w:tcBorders>
          </w:tcPr>
          <w:p>
            <w:pPr>
              <w:spacing w:after="0"/>
              <w:rPr>
                <w:sz w:val="3"/>
                <w:szCs w:val="3"/>
                <w:color w:val="auto"/>
              </w:rPr>
            </w:pPr>
          </w:p>
        </w:tc>
      </w:tr>
      <w:tr>
        <w:trPr>
          <w:trHeight w:val="265"/>
        </w:trPr>
        <w:tc>
          <w:tcPr>
            <w:tcW w:w="2760" w:type="dxa"/>
            <w:vAlign w:val="bottom"/>
          </w:tcPr>
          <w:p>
            <w:pPr>
              <w:spacing w:after="0"/>
              <w:rPr>
                <w:sz w:val="20"/>
                <w:szCs w:val="20"/>
                <w:color w:val="auto"/>
              </w:rPr>
            </w:pPr>
            <w:r>
              <w:rPr>
                <w:rFonts w:ascii="Arial" w:cs="Arial" w:eastAsia="Arial" w:hAnsi="Arial"/>
                <w:sz w:val="18"/>
                <w:szCs w:val="18"/>
                <w:color w:val="4D4D4F"/>
              </w:rPr>
              <w:t>Cash</w:t>
            </w:r>
          </w:p>
        </w:tc>
        <w:tc>
          <w:tcPr>
            <w:tcW w:w="2060" w:type="dxa"/>
            <w:vAlign w:val="bottom"/>
          </w:tcPr>
          <w:p>
            <w:pPr>
              <w:jc w:val="right"/>
              <w:spacing w:after="0"/>
              <w:rPr>
                <w:sz w:val="20"/>
                <w:szCs w:val="20"/>
                <w:color w:val="auto"/>
              </w:rPr>
            </w:pPr>
            <w:r>
              <w:rPr>
                <w:rFonts w:ascii="Arial" w:cs="Arial" w:eastAsia="Arial" w:hAnsi="Arial"/>
                <w:sz w:val="18"/>
                <w:szCs w:val="18"/>
                <w:color w:val="1A4E79"/>
              </w:rPr>
              <w:t>$366 million</w:t>
            </w:r>
          </w:p>
        </w:tc>
      </w:tr>
      <w:tr>
        <w:trPr>
          <w:trHeight w:val="344"/>
        </w:trPr>
        <w:tc>
          <w:tcPr>
            <w:tcW w:w="2760" w:type="dxa"/>
            <w:vAlign w:val="bottom"/>
          </w:tcPr>
          <w:p>
            <w:pPr>
              <w:spacing w:after="0"/>
              <w:rPr>
                <w:sz w:val="20"/>
                <w:szCs w:val="20"/>
                <w:color w:val="auto"/>
              </w:rPr>
            </w:pPr>
            <w:r>
              <w:rPr>
                <w:rFonts w:ascii="Arial" w:cs="Arial" w:eastAsia="Arial" w:hAnsi="Arial"/>
                <w:sz w:val="18"/>
                <w:szCs w:val="18"/>
                <w:color w:val="4D4D4F"/>
              </w:rPr>
              <w:t>Debt</w:t>
            </w:r>
          </w:p>
        </w:tc>
        <w:tc>
          <w:tcPr>
            <w:tcW w:w="2060" w:type="dxa"/>
            <w:vAlign w:val="bottom"/>
          </w:tcPr>
          <w:p>
            <w:pPr>
              <w:jc w:val="right"/>
              <w:spacing w:after="0"/>
              <w:rPr>
                <w:sz w:val="20"/>
                <w:szCs w:val="20"/>
                <w:color w:val="auto"/>
              </w:rPr>
            </w:pPr>
            <w:r>
              <w:rPr>
                <w:rFonts w:ascii="Arial" w:cs="Arial" w:eastAsia="Arial" w:hAnsi="Arial"/>
                <w:sz w:val="18"/>
                <w:szCs w:val="18"/>
                <w:color w:val="1A4E79"/>
              </w:rPr>
              <w:t>$2,670 million</w:t>
            </w:r>
          </w:p>
        </w:tc>
      </w:tr>
      <w:tr>
        <w:trPr>
          <w:trHeight w:val="344"/>
        </w:trPr>
        <w:tc>
          <w:tcPr>
            <w:tcW w:w="2760" w:type="dxa"/>
            <w:vAlign w:val="bottom"/>
          </w:tcPr>
          <w:p>
            <w:pPr>
              <w:spacing w:after="0"/>
              <w:rPr>
                <w:sz w:val="20"/>
                <w:szCs w:val="20"/>
                <w:color w:val="auto"/>
              </w:rPr>
            </w:pPr>
            <w:r>
              <w:rPr>
                <w:rFonts w:ascii="Arial" w:cs="Arial" w:eastAsia="Arial" w:hAnsi="Arial"/>
                <w:sz w:val="18"/>
                <w:szCs w:val="18"/>
                <w:color w:val="4D4D4F"/>
              </w:rPr>
              <w:t>Debt-to-Capital**</w:t>
            </w:r>
          </w:p>
        </w:tc>
        <w:tc>
          <w:tcPr>
            <w:tcW w:w="2060" w:type="dxa"/>
            <w:vAlign w:val="bottom"/>
          </w:tcPr>
          <w:p>
            <w:pPr>
              <w:jc w:val="right"/>
              <w:spacing w:after="0"/>
              <w:rPr>
                <w:sz w:val="20"/>
                <w:szCs w:val="20"/>
                <w:color w:val="auto"/>
              </w:rPr>
            </w:pPr>
            <w:r>
              <w:rPr>
                <w:rFonts w:ascii="Arial" w:cs="Arial" w:eastAsia="Arial" w:hAnsi="Arial"/>
                <w:sz w:val="18"/>
                <w:szCs w:val="18"/>
                <w:color w:val="1A4E79"/>
              </w:rPr>
              <w:t>53.8%</w:t>
            </w:r>
          </w:p>
        </w:tc>
      </w:tr>
      <w:tr>
        <w:trPr>
          <w:trHeight w:val="344"/>
        </w:trPr>
        <w:tc>
          <w:tcPr>
            <w:tcW w:w="2760" w:type="dxa"/>
            <w:vAlign w:val="bottom"/>
          </w:tcPr>
          <w:p>
            <w:pPr>
              <w:spacing w:after="0"/>
              <w:rPr>
                <w:sz w:val="20"/>
                <w:szCs w:val="20"/>
                <w:color w:val="auto"/>
              </w:rPr>
            </w:pPr>
            <w:r>
              <w:rPr>
                <w:rFonts w:ascii="Arial" w:cs="Arial" w:eastAsia="Arial" w:hAnsi="Arial"/>
                <w:sz w:val="18"/>
                <w:szCs w:val="18"/>
                <w:color w:val="4D4D4F"/>
              </w:rPr>
              <w:t>Market Capitalization</w:t>
            </w:r>
          </w:p>
        </w:tc>
        <w:tc>
          <w:tcPr>
            <w:tcW w:w="2060" w:type="dxa"/>
            <w:vAlign w:val="bottom"/>
          </w:tcPr>
          <w:p>
            <w:pPr>
              <w:jc w:val="right"/>
              <w:spacing w:after="0"/>
              <w:rPr>
                <w:sz w:val="20"/>
                <w:szCs w:val="20"/>
                <w:color w:val="auto"/>
              </w:rPr>
            </w:pPr>
            <w:r>
              <w:rPr>
                <w:rFonts w:ascii="Arial" w:cs="Arial" w:eastAsia="Arial" w:hAnsi="Arial"/>
                <w:sz w:val="18"/>
                <w:szCs w:val="18"/>
                <w:color w:val="1A4E79"/>
              </w:rPr>
              <w:t>$9.62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-619760</wp:posOffset>
            </wp:positionV>
            <wp:extent cx="302831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3028315" cy="635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-401320</wp:posOffset>
            </wp:positionV>
            <wp:extent cx="302831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extLst>
                    </a:blip>
                    <a:srcRect/>
                    <a:stretch>
                      <a:fillRect/>
                    </a:stretch>
                  </pic:blipFill>
                  <pic:spPr bwMode="auto">
                    <a:xfrm>
                      <a:off x="0" y="0"/>
                      <a:ext cx="3028315" cy="635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-182880</wp:posOffset>
            </wp:positionV>
            <wp:extent cx="302831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extLst>
                    </a:blip>
                    <a:srcRect/>
                    <a:stretch>
                      <a:fillRect/>
                    </a:stretch>
                  </pic:blipFill>
                  <pic:spPr bwMode="auto">
                    <a:xfrm>
                      <a:off x="0" y="0"/>
                      <a:ext cx="3028315" cy="635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34290</wp:posOffset>
            </wp:positionV>
            <wp:extent cx="302831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extLst>
                    </a:blip>
                    <a:srcRect/>
                    <a:stretch>
                      <a:fillRect/>
                    </a:stretch>
                  </pic:blipFill>
                  <pic:spPr bwMode="auto">
                    <a:xfrm>
                      <a:off x="0" y="0"/>
                      <a:ext cx="3028315" cy="6350"/>
                    </a:xfrm>
                    <a:prstGeom prst="rect">
                      <a:avLst/>
                    </a:prstGeom>
                    <a:noFill/>
                  </pic:spPr>
                </pic:pic>
              </a:graphicData>
            </a:graphic>
          </wp:anchor>
        </w:drawing>
      </w:r>
    </w:p>
    <w:p>
      <w:pPr>
        <w:spacing w:after="0" w:line="140" w:lineRule="exact"/>
        <w:rPr>
          <w:sz w:val="20"/>
          <w:szCs w:val="20"/>
          <w:color w:val="auto"/>
        </w:rPr>
      </w:pPr>
    </w:p>
    <w:p>
      <w:pPr>
        <w:jc w:val="both"/>
        <w:ind w:left="160" w:right="60" w:hanging="158"/>
        <w:spacing w:after="0" w:line="256" w:lineRule="auto"/>
        <w:tabs>
          <w:tab w:leader="none" w:pos="160" w:val="left"/>
        </w:tabs>
        <w:numPr>
          <w:ilvl w:val="0"/>
          <w:numId w:val="3"/>
        </w:numPr>
        <w:rPr>
          <w:rFonts w:ascii="Arial" w:cs="Arial" w:eastAsia="Arial" w:hAnsi="Arial"/>
          <w:sz w:val="15"/>
          <w:szCs w:val="15"/>
          <w:color w:val="4D4D4F"/>
        </w:rPr>
      </w:pPr>
      <w:r>
        <w:rPr>
          <w:rFonts w:ascii="Arial" w:cs="Arial" w:eastAsia="Arial" w:hAnsi="Arial"/>
          <w:sz w:val="15"/>
          <w:szCs w:val="15"/>
          <w:i w:val="1"/>
          <w:iCs w:val="1"/>
          <w:color w:val="4D4D4F"/>
        </w:rPr>
        <w:t>Debt-to-Capital represents gross debt (both short term and long term) divided by the sum of gross debt plus stockholders' equity.</w:t>
      </w:r>
    </w:p>
    <w:p>
      <w:pPr>
        <w:spacing w:after="0" w:line="1" w:lineRule="exact"/>
        <w:rPr>
          <w:sz w:val="20"/>
          <w:szCs w:val="20"/>
          <w:color w:val="auto"/>
        </w:rPr>
      </w:pPr>
    </w:p>
    <w:p>
      <w:pPr>
        <w:sectPr>
          <w:pgSz w:w="12240" w:h="15840" w:orient="portrait"/>
          <w:cols w:equalWidth="0" w:num="2">
            <w:col w:w="4667" w:space="520"/>
            <w:col w:w="4820"/>
          </w:cols>
          <w:pgMar w:left="1113" w:top="1440" w:right="1120" w:bottom="0" w:gutter="0" w:footer="0" w:header="0"/>
          <w:type w:val="continuous"/>
        </w:sectPr>
      </w:pPr>
    </w:p>
    <w:p>
      <w:pPr>
        <w:ind w:left="167" w:hanging="167"/>
        <w:spacing w:after="0"/>
        <w:tabs>
          <w:tab w:leader="none" w:pos="167" w:val="left"/>
        </w:tabs>
        <w:numPr>
          <w:ilvl w:val="0"/>
          <w:numId w:val="4"/>
        </w:numPr>
        <w:rPr>
          <w:rFonts w:ascii="Arial" w:cs="Arial" w:eastAsia="Arial" w:hAnsi="Arial"/>
          <w:sz w:val="18"/>
          <w:szCs w:val="18"/>
          <w:b w:val="1"/>
          <w:bCs w:val="1"/>
          <w:color w:val="DAA427"/>
        </w:rPr>
      </w:pPr>
      <w:r>
        <w:rPr>
          <w:rFonts w:ascii="Arial" w:cs="Arial" w:eastAsia="Arial" w:hAnsi="Arial"/>
          <w:sz w:val="18"/>
          <w:szCs w:val="18"/>
          <w:color w:val="4D4D4F"/>
        </w:rPr>
        <w:t>Net sales were $2.6 billion</w:t>
      </w:r>
    </w:p>
    <w:p>
      <w:pPr>
        <w:spacing w:after="0" w:line="133" w:lineRule="exact"/>
        <w:rPr>
          <w:rFonts w:ascii="Arial" w:cs="Arial" w:eastAsia="Arial" w:hAnsi="Arial"/>
          <w:sz w:val="18"/>
          <w:szCs w:val="18"/>
          <w:b w:val="1"/>
          <w:bCs w:val="1"/>
          <w:color w:val="DAA427"/>
        </w:rPr>
      </w:pPr>
    </w:p>
    <w:p>
      <w:pPr>
        <w:ind w:left="167" w:hanging="167"/>
        <w:spacing w:after="0"/>
        <w:tabs>
          <w:tab w:leader="none" w:pos="167" w:val="left"/>
        </w:tabs>
        <w:numPr>
          <w:ilvl w:val="0"/>
          <w:numId w:val="4"/>
        </w:numPr>
        <w:rPr>
          <w:rFonts w:ascii="Arial" w:cs="Arial" w:eastAsia="Arial" w:hAnsi="Arial"/>
          <w:sz w:val="18"/>
          <w:szCs w:val="18"/>
          <w:b w:val="1"/>
          <w:bCs w:val="1"/>
          <w:color w:val="DAA427"/>
        </w:rPr>
      </w:pPr>
      <w:r>
        <w:rPr>
          <w:rFonts w:ascii="Arial" w:cs="Arial" w:eastAsia="Arial" w:hAnsi="Arial"/>
          <w:sz w:val="18"/>
          <w:szCs w:val="18"/>
          <w:color w:val="4D4D4F"/>
        </w:rPr>
        <w:t>Operating income was $583 million</w:t>
      </w:r>
    </w:p>
    <w:p>
      <w:pPr>
        <w:spacing w:after="0" w:line="136" w:lineRule="exact"/>
        <w:rPr>
          <w:rFonts w:ascii="Arial" w:cs="Arial" w:eastAsia="Arial" w:hAnsi="Arial"/>
          <w:sz w:val="18"/>
          <w:szCs w:val="18"/>
          <w:b w:val="1"/>
          <w:bCs w:val="1"/>
          <w:color w:val="DAA427"/>
        </w:rPr>
      </w:pPr>
    </w:p>
    <w:p>
      <w:pPr>
        <w:ind w:left="167" w:hanging="167"/>
        <w:spacing w:after="0"/>
        <w:tabs>
          <w:tab w:leader="none" w:pos="167" w:val="left"/>
        </w:tabs>
        <w:numPr>
          <w:ilvl w:val="0"/>
          <w:numId w:val="4"/>
        </w:numPr>
        <w:rPr>
          <w:rFonts w:ascii="Arial" w:cs="Arial" w:eastAsia="Arial" w:hAnsi="Arial"/>
          <w:sz w:val="18"/>
          <w:szCs w:val="18"/>
          <w:b w:val="1"/>
          <w:bCs w:val="1"/>
          <w:color w:val="DAA427"/>
        </w:rPr>
      </w:pPr>
      <w:r>
        <w:rPr>
          <w:rFonts w:ascii="Arial" w:cs="Arial" w:eastAsia="Arial" w:hAnsi="Arial"/>
          <w:sz w:val="18"/>
          <w:szCs w:val="18"/>
          <w:color w:val="4D4D4F"/>
        </w:rPr>
        <w:t>Operating margin was 22.7 percent</w:t>
      </w:r>
    </w:p>
    <w:p>
      <w:pPr>
        <w:spacing w:after="0" w:line="247" w:lineRule="exact"/>
        <w:rPr>
          <w:sz w:val="20"/>
          <w:szCs w:val="20"/>
          <w:color w:val="auto"/>
        </w:rPr>
      </w:pPr>
    </w:p>
    <w:p>
      <w:pPr>
        <w:ind w:left="7"/>
        <w:spacing w:after="0"/>
        <w:rPr>
          <w:sz w:val="20"/>
          <w:szCs w:val="20"/>
          <w:color w:val="auto"/>
        </w:rPr>
      </w:pPr>
      <w:r>
        <w:rPr>
          <w:rFonts w:ascii="Arial" w:cs="Arial" w:eastAsia="Arial" w:hAnsi="Arial"/>
          <w:sz w:val="24"/>
          <w:szCs w:val="24"/>
          <w:b w:val="1"/>
          <w:bCs w:val="1"/>
          <w:color w:val="1A4E79"/>
        </w:rPr>
        <w:t>Outdoors</w:t>
      </w:r>
    </w:p>
    <w:p>
      <w:pPr>
        <w:spacing w:after="0" w:line="200" w:lineRule="exact"/>
        <w:rPr>
          <w:sz w:val="20"/>
          <w:szCs w:val="20"/>
          <w:color w:val="auto"/>
        </w:rPr>
      </w:pPr>
    </w:p>
    <w:p>
      <w:pPr>
        <w:ind w:left="7"/>
        <w:spacing w:after="0" w:line="304" w:lineRule="auto"/>
        <w:rPr>
          <w:sz w:val="20"/>
          <w:szCs w:val="20"/>
          <w:color w:val="auto"/>
        </w:rPr>
      </w:pPr>
      <w:r>
        <w:rPr>
          <w:rFonts w:ascii="Arial" w:cs="Arial" w:eastAsia="Arial" w:hAnsi="Arial"/>
          <w:sz w:val="18"/>
          <w:szCs w:val="18"/>
          <w:color w:val="4D4D4F"/>
        </w:rPr>
        <w:t>Our Outdoors segment underwent continued transformation in 2023, focusing on the most profitable and highest-returning opportunities in the space</w:t>
      </w:r>
    </w:p>
    <w:p>
      <w:pPr>
        <w:spacing w:after="0" w:line="2" w:lineRule="exact"/>
        <w:rPr>
          <w:sz w:val="20"/>
          <w:szCs w:val="20"/>
          <w:color w:val="auto"/>
        </w:rPr>
      </w:pPr>
    </w:p>
    <w:p>
      <w:pPr>
        <w:ind w:left="7" w:right="120"/>
        <w:spacing w:after="0" w:line="311" w:lineRule="auto"/>
        <w:rPr>
          <w:sz w:val="20"/>
          <w:szCs w:val="20"/>
          <w:color w:val="auto"/>
        </w:rPr>
      </w:pPr>
      <w:r>
        <w:rPr>
          <w:rFonts w:ascii="Arial" w:cs="Arial" w:eastAsia="Arial" w:hAnsi="Arial"/>
          <w:sz w:val="18"/>
          <w:szCs w:val="18"/>
          <w:color w:val="4D4D4F"/>
        </w:rPr>
        <w:t>and working to evolve the brands and continue to innovate our products. While sales and margin results reflect the soft market and inventory actions in the first part of the year, our brands remain brands of choice for consumers and trade professionals, and we are increasingly leveraging the power of our strong channel relationships across the segment, including in the attractive wholesale channel.</w:t>
      </w:r>
    </w:p>
    <w:p>
      <w:pPr>
        <w:spacing w:after="0" w:line="11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4D4D4F"/>
        </w:rPr>
        <w:t>Outdoors Financial Highlights*</w:t>
      </w:r>
    </w:p>
    <w:p>
      <w:pPr>
        <w:spacing w:after="0" w:line="137" w:lineRule="exact"/>
        <w:rPr>
          <w:sz w:val="20"/>
          <w:szCs w:val="20"/>
          <w:color w:val="auto"/>
        </w:rPr>
      </w:pPr>
    </w:p>
    <w:p>
      <w:pPr>
        <w:ind w:left="167" w:hanging="167"/>
        <w:spacing w:after="0"/>
        <w:tabs>
          <w:tab w:leader="none" w:pos="167" w:val="left"/>
        </w:tabs>
        <w:numPr>
          <w:ilvl w:val="0"/>
          <w:numId w:val="5"/>
        </w:numPr>
        <w:rPr>
          <w:rFonts w:ascii="Arial" w:cs="Arial" w:eastAsia="Arial" w:hAnsi="Arial"/>
          <w:sz w:val="18"/>
          <w:szCs w:val="18"/>
          <w:b w:val="1"/>
          <w:bCs w:val="1"/>
          <w:color w:val="DAA427"/>
        </w:rPr>
      </w:pPr>
      <w:r>
        <w:rPr>
          <w:rFonts w:ascii="Arial" w:cs="Arial" w:eastAsia="Arial" w:hAnsi="Arial"/>
          <w:sz w:val="18"/>
          <w:szCs w:val="18"/>
          <w:color w:val="4D4D4F"/>
        </w:rPr>
        <w:t>Net sales were $1.3 billion</w:t>
      </w:r>
    </w:p>
    <w:p>
      <w:pPr>
        <w:spacing w:after="0" w:line="136" w:lineRule="exact"/>
        <w:rPr>
          <w:rFonts w:ascii="Arial" w:cs="Arial" w:eastAsia="Arial" w:hAnsi="Arial"/>
          <w:sz w:val="18"/>
          <w:szCs w:val="18"/>
          <w:b w:val="1"/>
          <w:bCs w:val="1"/>
          <w:color w:val="DAA427"/>
        </w:rPr>
      </w:pPr>
    </w:p>
    <w:p>
      <w:pPr>
        <w:ind w:left="167" w:hanging="167"/>
        <w:spacing w:after="0"/>
        <w:tabs>
          <w:tab w:leader="none" w:pos="167" w:val="left"/>
        </w:tabs>
        <w:numPr>
          <w:ilvl w:val="0"/>
          <w:numId w:val="5"/>
        </w:numPr>
        <w:rPr>
          <w:rFonts w:ascii="Arial" w:cs="Arial" w:eastAsia="Arial" w:hAnsi="Arial"/>
          <w:sz w:val="18"/>
          <w:szCs w:val="18"/>
          <w:b w:val="1"/>
          <w:bCs w:val="1"/>
          <w:color w:val="DAA427"/>
        </w:rPr>
      </w:pPr>
      <w:r>
        <w:rPr>
          <w:rFonts w:ascii="Arial" w:cs="Arial" w:eastAsia="Arial" w:hAnsi="Arial"/>
          <w:sz w:val="18"/>
          <w:szCs w:val="18"/>
          <w:color w:val="4D4D4F"/>
        </w:rPr>
        <w:t>Operating income was $174 million</w:t>
      </w:r>
    </w:p>
    <w:p>
      <w:pPr>
        <w:spacing w:after="0" w:line="136" w:lineRule="exact"/>
        <w:rPr>
          <w:rFonts w:ascii="Arial" w:cs="Arial" w:eastAsia="Arial" w:hAnsi="Arial"/>
          <w:sz w:val="18"/>
          <w:szCs w:val="18"/>
          <w:b w:val="1"/>
          <w:bCs w:val="1"/>
          <w:color w:val="DAA427"/>
        </w:rPr>
      </w:pPr>
    </w:p>
    <w:p>
      <w:pPr>
        <w:ind w:left="167" w:hanging="167"/>
        <w:spacing w:after="0"/>
        <w:tabs>
          <w:tab w:leader="none" w:pos="167" w:val="left"/>
        </w:tabs>
        <w:numPr>
          <w:ilvl w:val="0"/>
          <w:numId w:val="5"/>
        </w:numPr>
        <w:rPr>
          <w:rFonts w:ascii="Arial" w:cs="Arial" w:eastAsia="Arial" w:hAnsi="Arial"/>
          <w:sz w:val="18"/>
          <w:szCs w:val="18"/>
          <w:b w:val="1"/>
          <w:bCs w:val="1"/>
          <w:color w:val="DAA427"/>
        </w:rPr>
      </w:pPr>
      <w:r>
        <w:rPr>
          <w:rFonts w:ascii="Arial" w:cs="Arial" w:eastAsia="Arial" w:hAnsi="Arial"/>
          <w:sz w:val="18"/>
          <w:szCs w:val="18"/>
          <w:color w:val="4D4D4F"/>
        </w:rPr>
        <w:t>Operating margin was 13.0 percent</w:t>
      </w:r>
    </w:p>
    <w:p>
      <w:pPr>
        <w:spacing w:after="0" w:line="247" w:lineRule="exact"/>
        <w:rPr>
          <w:sz w:val="20"/>
          <w:szCs w:val="20"/>
          <w:color w:val="auto"/>
        </w:rPr>
      </w:pPr>
    </w:p>
    <w:p>
      <w:pPr>
        <w:ind w:left="7"/>
        <w:spacing w:after="0"/>
        <w:rPr>
          <w:sz w:val="20"/>
          <w:szCs w:val="20"/>
          <w:color w:val="auto"/>
        </w:rPr>
      </w:pPr>
      <w:r>
        <w:rPr>
          <w:rFonts w:ascii="Arial" w:cs="Arial" w:eastAsia="Arial" w:hAnsi="Arial"/>
          <w:sz w:val="24"/>
          <w:szCs w:val="24"/>
          <w:b w:val="1"/>
          <w:bCs w:val="1"/>
          <w:color w:val="1A4E79"/>
        </w:rPr>
        <w:t>Security</w:t>
      </w:r>
    </w:p>
    <w:p>
      <w:pPr>
        <w:spacing w:after="0" w:line="200" w:lineRule="exact"/>
        <w:rPr>
          <w:sz w:val="20"/>
          <w:szCs w:val="20"/>
          <w:color w:val="auto"/>
        </w:rPr>
      </w:pPr>
    </w:p>
    <w:p>
      <w:pPr>
        <w:ind w:left="7"/>
        <w:spacing w:after="0" w:line="309" w:lineRule="auto"/>
        <w:rPr>
          <w:sz w:val="20"/>
          <w:szCs w:val="20"/>
          <w:color w:val="auto"/>
        </w:rPr>
      </w:pPr>
      <w:r>
        <w:rPr>
          <w:rFonts w:ascii="Arial" w:cs="Arial" w:eastAsia="Arial" w:hAnsi="Arial"/>
          <w:sz w:val="18"/>
          <w:szCs w:val="18"/>
          <w:color w:val="4D4D4F"/>
        </w:rPr>
        <w:t>The Security business delivered strong performance in 2023, with sales growth and significant margin progress. The segment has transformed into an innovative and growth-oriented business fueled by strong secular trends, like connected products and safety. Key actions in 2023 included the transformation of our supply chain and the addition of the connected locks team. The Yale and August brands are expanding channel relationships with large home centers, while the Master Lock brand is now roughly one-third industrial and commercial, meeting the need for remote access and portable security solutions across the globe.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4D4D4F"/>
        </w:rPr>
        <w:t>Security Financial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-401955</wp:posOffset>
                </wp:positionV>
                <wp:extent cx="306324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3240" cy="4763"/>
                        </a:xfrm>
                        <a:prstGeom prst="line">
                          <a:avLst/>
                        </a:prstGeom>
                        <a:solidFill>
                          <a:srgbClr val="FFFFFF"/>
                        </a:solidFill>
                        <a:ln w="3213">
                          <a:solidFill>
                            <a:srgbClr val="4D4D4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31.6499pt" to="241.3pt,-31.6499pt" o:allowincell="f" strokecolor="#4D4D4F" strokeweight="0.253pt"/>
            </w:pict>
          </mc:Fallback>
        </mc:AlternateContent>
      </w:r>
    </w:p>
    <w:p>
      <w:pPr>
        <w:spacing w:after="0" w:line="117" w:lineRule="exact"/>
        <w:rPr>
          <w:sz w:val="20"/>
          <w:szCs w:val="20"/>
          <w:color w:val="auto"/>
        </w:rPr>
      </w:pPr>
    </w:p>
    <w:p>
      <w:pPr>
        <w:ind w:left="160" w:hanging="158"/>
        <w:spacing w:after="0"/>
        <w:tabs>
          <w:tab w:leader="none" w:pos="160" w:val="left"/>
        </w:tabs>
        <w:numPr>
          <w:ilvl w:val="0"/>
          <w:numId w:val="6"/>
        </w:numPr>
        <w:rPr>
          <w:rFonts w:ascii="Arial" w:cs="Arial" w:eastAsia="Arial" w:hAnsi="Arial"/>
          <w:sz w:val="18"/>
          <w:szCs w:val="18"/>
          <w:b w:val="1"/>
          <w:bCs w:val="1"/>
          <w:color w:val="DAA427"/>
        </w:rPr>
      </w:pPr>
      <w:r>
        <w:rPr>
          <w:rFonts w:ascii="Arial" w:cs="Arial" w:eastAsia="Arial" w:hAnsi="Arial"/>
          <w:sz w:val="18"/>
          <w:szCs w:val="18"/>
          <w:color w:val="4D4D4F"/>
        </w:rPr>
        <w:t>Net sales increased 14 percent to $723 million</w:t>
      </w:r>
    </w:p>
    <w:p>
      <w:pPr>
        <w:spacing w:after="0" w:line="136" w:lineRule="exact"/>
        <w:rPr>
          <w:rFonts w:ascii="Arial" w:cs="Arial" w:eastAsia="Arial" w:hAnsi="Arial"/>
          <w:sz w:val="18"/>
          <w:szCs w:val="18"/>
          <w:b w:val="1"/>
          <w:bCs w:val="1"/>
          <w:color w:val="DAA427"/>
        </w:rPr>
      </w:pPr>
    </w:p>
    <w:p>
      <w:pPr>
        <w:ind w:left="160" w:hanging="158"/>
        <w:spacing w:after="0"/>
        <w:tabs>
          <w:tab w:leader="none" w:pos="160" w:val="left"/>
        </w:tabs>
        <w:numPr>
          <w:ilvl w:val="0"/>
          <w:numId w:val="6"/>
        </w:numPr>
        <w:rPr>
          <w:rFonts w:ascii="Arial" w:cs="Arial" w:eastAsia="Arial" w:hAnsi="Arial"/>
          <w:sz w:val="18"/>
          <w:szCs w:val="18"/>
          <w:b w:val="1"/>
          <w:bCs w:val="1"/>
          <w:color w:val="DAA427"/>
        </w:rPr>
      </w:pPr>
      <w:r>
        <w:rPr>
          <w:rFonts w:ascii="Arial" w:cs="Arial" w:eastAsia="Arial" w:hAnsi="Arial"/>
          <w:sz w:val="18"/>
          <w:szCs w:val="18"/>
          <w:color w:val="4D4D4F"/>
        </w:rPr>
        <w:t>Operating income was up 21 percent to $116 million</w:t>
      </w:r>
    </w:p>
    <w:p>
      <w:pPr>
        <w:spacing w:after="0" w:line="136" w:lineRule="exact"/>
        <w:rPr>
          <w:rFonts w:ascii="Arial" w:cs="Arial" w:eastAsia="Arial" w:hAnsi="Arial"/>
          <w:sz w:val="18"/>
          <w:szCs w:val="18"/>
          <w:b w:val="1"/>
          <w:bCs w:val="1"/>
          <w:color w:val="DAA427"/>
        </w:rPr>
      </w:pPr>
    </w:p>
    <w:p>
      <w:pPr>
        <w:ind w:left="160" w:hanging="158"/>
        <w:spacing w:after="0"/>
        <w:tabs>
          <w:tab w:leader="none" w:pos="160" w:val="left"/>
        </w:tabs>
        <w:numPr>
          <w:ilvl w:val="0"/>
          <w:numId w:val="6"/>
        </w:numPr>
        <w:rPr>
          <w:rFonts w:ascii="Arial" w:cs="Arial" w:eastAsia="Arial" w:hAnsi="Arial"/>
          <w:sz w:val="18"/>
          <w:szCs w:val="18"/>
          <w:b w:val="1"/>
          <w:bCs w:val="1"/>
          <w:color w:val="DAA427"/>
        </w:rPr>
      </w:pPr>
      <w:r>
        <w:rPr>
          <w:rFonts w:ascii="Arial" w:cs="Arial" w:eastAsia="Arial" w:hAnsi="Arial"/>
          <w:sz w:val="18"/>
          <w:szCs w:val="18"/>
          <w:color w:val="4D4D4F"/>
        </w:rPr>
        <w:t>Operating margin was 16.0 percent</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color w:val="1A4E79"/>
        </w:rPr>
        <w:t>Executing for Growth</w:t>
      </w:r>
    </w:p>
    <w:p>
      <w:pPr>
        <w:spacing w:after="0" w:line="200" w:lineRule="exact"/>
        <w:rPr>
          <w:sz w:val="20"/>
          <w:szCs w:val="20"/>
          <w:color w:val="auto"/>
        </w:rPr>
      </w:pPr>
    </w:p>
    <w:p>
      <w:pPr>
        <w:spacing w:after="0" w:line="308" w:lineRule="auto"/>
        <w:rPr>
          <w:sz w:val="20"/>
          <w:szCs w:val="20"/>
          <w:color w:val="auto"/>
        </w:rPr>
      </w:pPr>
      <w:r>
        <w:rPr>
          <w:rFonts w:ascii="Arial" w:cs="Arial" w:eastAsia="Arial" w:hAnsi="Arial"/>
          <w:sz w:val="18"/>
          <w:szCs w:val="18"/>
          <w:color w:val="4D4D4F"/>
        </w:rPr>
        <w:t>The actions we took in 2023 to leverage the strength of our organization and sharpen our focus on our leading brands, meaningful innovation, and advantaged channel relationships are the elements for continued outperformance. As we look to 2024, we will continue to execute with excellence, with a keen eye to accelerating performance through prioritizing above-market sales and investment in our most attractive growth opportunities.</w:t>
      </w:r>
    </w:p>
    <w:p>
      <w:pPr>
        <w:spacing w:after="0" w:line="383" w:lineRule="exact"/>
        <w:rPr>
          <w:sz w:val="20"/>
          <w:szCs w:val="20"/>
          <w:color w:val="auto"/>
        </w:rPr>
      </w:pPr>
    </w:p>
    <w:p>
      <w:pPr>
        <w:ind w:right="40"/>
        <w:spacing w:after="0" w:line="307" w:lineRule="auto"/>
        <w:rPr>
          <w:sz w:val="20"/>
          <w:szCs w:val="20"/>
          <w:color w:val="auto"/>
        </w:rPr>
      </w:pPr>
      <w:r>
        <w:rPr>
          <w:rFonts w:ascii="Arial" w:cs="Arial" w:eastAsia="Arial" w:hAnsi="Arial"/>
          <w:sz w:val="18"/>
          <w:szCs w:val="18"/>
          <w:color w:val="4D4D4F"/>
        </w:rPr>
        <w:t>Fortune Brands is a company with a strong track record of long-term outperformance, regardless of the external environment. Our drive for success is fueled by our strong organization and impressive teams, and we remain dedicated to creating smarter, safer and more beautiful homes and lives. I am confident that Fortune Brands is well-positioned to deliver long-term growth and sustained value creation.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4D4D4F"/>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1724660" cy="306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1724660"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Nicholas I. Fink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4D4D4F"/>
        </w:rPr>
        <w:t>Chief Executive Officer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4D4D4F"/>
        </w:rPr>
        <w:t>February 27, 2024</w:t>
      </w:r>
    </w:p>
    <w:p>
      <w:pPr>
        <w:spacing w:after="0" w:line="397" w:lineRule="exact"/>
        <w:rPr>
          <w:sz w:val="20"/>
          <w:szCs w:val="20"/>
          <w:color w:val="auto"/>
        </w:rPr>
      </w:pPr>
    </w:p>
    <w:p>
      <w:pPr>
        <w:sectPr>
          <w:pgSz w:w="12240" w:h="15840" w:orient="portrait"/>
          <w:cols w:equalWidth="0" w:num="2">
            <w:col w:w="4827" w:space="360"/>
            <w:col w:w="4820"/>
          </w:cols>
          <w:pgMar w:left="1113" w:top="1440" w:right="1120" w:bottom="0" w:gutter="0" w:footer="0" w:header="0"/>
          <w:type w:val="continuous"/>
        </w:sectPr>
      </w:pPr>
    </w:p>
    <w:p>
      <w:pPr>
        <w:spacing w:after="0" w:line="34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1A4E79"/>
        </w:rPr>
        <w:t xml:space="preserve">2 </w:t>
      </w:r>
      <w:r>
        <w:rPr>
          <w:rFonts w:ascii="Arial" w:cs="Arial" w:eastAsia="Arial" w:hAnsi="Arial"/>
          <w:sz w:val="12"/>
          <w:szCs w:val="12"/>
          <w:color w:val="4D4D4F"/>
        </w:rPr>
        <w:t>/  FORTUNE BRANDS</w:t>
      </w:r>
    </w:p>
    <w:p>
      <w:pPr>
        <w:sectPr>
          <w:pgSz w:w="12240" w:h="15840" w:orient="portrait"/>
          <w:cols w:equalWidth="0" w:num="1">
            <w:col w:w="10007"/>
          </w:cols>
          <w:pgMar w:left="1113" w:top="1440" w:right="112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8255</wp:posOffset>
            </wp:positionH>
            <wp:positionV relativeFrom="page">
              <wp:posOffset>0</wp:posOffset>
            </wp:positionV>
            <wp:extent cx="4321810" cy="10058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432181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 w:right="1260"/>
        <w:spacing w:after="0" w:line="278" w:lineRule="auto"/>
        <w:rPr>
          <w:sz w:val="20"/>
          <w:szCs w:val="20"/>
          <w:color w:val="auto"/>
        </w:rPr>
      </w:pPr>
      <w:r>
        <w:rPr>
          <w:rFonts w:ascii="Arial" w:cs="Arial" w:eastAsia="Arial" w:hAnsi="Arial"/>
          <w:sz w:val="28"/>
          <w:szCs w:val="28"/>
          <w:color w:val="FFFFFF"/>
        </w:rPr>
        <w:t>In 2023, we acquired Yale,* August,* Emtek and Schaub, strong additions to our connected products and luxury portfolios.</w:t>
      </w:r>
    </w:p>
    <w:p>
      <w:pPr>
        <w:spacing w:after="0" w:line="109" w:lineRule="exact"/>
        <w:rPr>
          <w:sz w:val="20"/>
          <w:szCs w:val="20"/>
          <w:color w:val="auto"/>
        </w:rPr>
      </w:pPr>
    </w:p>
    <w:p>
      <w:pPr>
        <w:ind w:left="107" w:right="1620" w:hanging="107"/>
        <w:spacing w:after="0" w:line="273" w:lineRule="auto"/>
        <w:tabs>
          <w:tab w:leader="none" w:pos="107" w:val="left"/>
        </w:tabs>
        <w:numPr>
          <w:ilvl w:val="0"/>
          <w:numId w:val="7"/>
        </w:numPr>
        <w:rPr>
          <w:rFonts w:ascii="Arial" w:cs="Arial" w:eastAsia="Arial" w:hAnsi="Arial"/>
          <w:sz w:val="15"/>
          <w:szCs w:val="15"/>
          <w:i w:val="1"/>
          <w:iCs w:val="1"/>
          <w:color w:val="FFFFFF"/>
        </w:rPr>
      </w:pPr>
      <w:r>
        <w:rPr>
          <w:rFonts w:ascii="Arial" w:cs="Arial" w:eastAsia="Arial" w:hAnsi="Arial"/>
          <w:sz w:val="15"/>
          <w:szCs w:val="15"/>
          <w:i w:val="1"/>
          <w:iCs w:val="1"/>
          <w:color w:val="FFFFFF"/>
        </w:rPr>
        <w:t>FBIN acquired U.S. and Canadian Yale and August residential smart locks business.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560"/>
        <w:spacing w:after="0" w:line="272" w:lineRule="auto"/>
        <w:rPr>
          <w:sz w:val="20"/>
          <w:szCs w:val="20"/>
          <w:color w:val="auto"/>
        </w:rPr>
      </w:pPr>
      <w:r>
        <w:rPr>
          <w:rFonts w:ascii="Arial" w:cs="Arial" w:eastAsia="Arial" w:hAnsi="Arial"/>
          <w:sz w:val="24"/>
          <w:szCs w:val="24"/>
          <w:b w:val="1"/>
          <w:bCs w:val="1"/>
          <w:color w:val="1A4E79"/>
        </w:rPr>
        <w:t>Capital Allocation for Incremental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26670</wp:posOffset>
            </wp:positionV>
            <wp:extent cx="1564005" cy="1564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1564005" cy="156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40"/>
        <w:spacing w:after="0"/>
        <w:rPr>
          <w:sz w:val="20"/>
          <w:szCs w:val="20"/>
          <w:color w:val="auto"/>
        </w:rPr>
      </w:pPr>
      <w:r>
        <w:rPr>
          <w:rFonts w:ascii="Arial" w:cs="Arial" w:eastAsia="Arial" w:hAnsi="Arial"/>
          <w:sz w:val="49"/>
          <w:szCs w:val="49"/>
          <w:b w:val="1"/>
          <w:bCs w:val="1"/>
          <w:color w:val="4D4D4F"/>
        </w:rPr>
        <w:t>$1.1</w:t>
      </w:r>
    </w:p>
    <w:p>
      <w:pPr>
        <w:ind w:left="760"/>
        <w:spacing w:after="0"/>
        <w:rPr>
          <w:sz w:val="20"/>
          <w:szCs w:val="20"/>
          <w:color w:val="auto"/>
        </w:rPr>
      </w:pPr>
      <w:r>
        <w:rPr>
          <w:rFonts w:ascii="Arial" w:cs="Arial" w:eastAsia="Arial" w:hAnsi="Arial"/>
          <w:sz w:val="20"/>
          <w:szCs w:val="20"/>
          <w:b w:val="1"/>
          <w:bCs w:val="1"/>
          <w:color w:val="4D4D4F"/>
        </w:rPr>
        <w:t>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2100" w:type="dxa"/>
            <w:vAlign w:val="bottom"/>
          </w:tcPr>
          <w:p>
            <w:pPr>
              <w:spacing w:after="0"/>
              <w:rPr>
                <w:sz w:val="20"/>
                <w:szCs w:val="20"/>
                <w:color w:val="auto"/>
              </w:rPr>
            </w:pPr>
            <w:r>
              <w:rPr>
                <w:rFonts w:ascii="Arial" w:cs="Arial" w:eastAsia="Arial" w:hAnsi="Arial"/>
                <w:sz w:val="15"/>
                <w:szCs w:val="15"/>
                <w:color w:val="4D4D4F"/>
              </w:rPr>
              <w:t>Strategic Acquisitions</w:t>
            </w:r>
          </w:p>
        </w:tc>
        <w:tc>
          <w:tcPr>
            <w:tcW w:w="800" w:type="dxa"/>
            <w:vAlign w:val="bottom"/>
          </w:tcPr>
          <w:p>
            <w:pPr>
              <w:jc w:val="right"/>
              <w:spacing w:after="0"/>
              <w:rPr>
                <w:sz w:val="20"/>
                <w:szCs w:val="20"/>
                <w:color w:val="auto"/>
              </w:rPr>
            </w:pPr>
            <w:r>
              <w:rPr>
                <w:rFonts w:ascii="Arial" w:cs="Arial" w:eastAsia="Arial" w:hAnsi="Arial"/>
                <w:sz w:val="15"/>
                <w:szCs w:val="15"/>
                <w:color w:val="4D4D4F"/>
              </w:rPr>
              <w:t>75%</w:t>
            </w:r>
          </w:p>
        </w:tc>
      </w:tr>
      <w:tr>
        <w:trPr>
          <w:trHeight w:val="223"/>
        </w:trPr>
        <w:tc>
          <w:tcPr>
            <w:tcW w:w="2100" w:type="dxa"/>
            <w:vAlign w:val="bottom"/>
          </w:tcPr>
          <w:p>
            <w:pPr>
              <w:spacing w:after="0"/>
              <w:rPr>
                <w:sz w:val="20"/>
                <w:szCs w:val="20"/>
                <w:color w:val="auto"/>
              </w:rPr>
            </w:pPr>
            <w:r>
              <w:rPr>
                <w:rFonts w:ascii="Arial" w:cs="Arial" w:eastAsia="Arial" w:hAnsi="Arial"/>
                <w:sz w:val="15"/>
                <w:szCs w:val="15"/>
                <w:color w:val="4D4D4F"/>
              </w:rPr>
              <w:t>Share Repurchases</w:t>
            </w:r>
          </w:p>
        </w:tc>
        <w:tc>
          <w:tcPr>
            <w:tcW w:w="800" w:type="dxa"/>
            <w:vAlign w:val="bottom"/>
          </w:tcPr>
          <w:p>
            <w:pPr>
              <w:jc w:val="right"/>
              <w:spacing w:after="0"/>
              <w:rPr>
                <w:sz w:val="20"/>
                <w:szCs w:val="20"/>
                <w:color w:val="auto"/>
              </w:rPr>
            </w:pPr>
            <w:r>
              <w:rPr>
                <w:rFonts w:ascii="Arial" w:cs="Arial" w:eastAsia="Arial" w:hAnsi="Arial"/>
                <w:sz w:val="15"/>
                <w:szCs w:val="15"/>
                <w:color w:val="4D4D4F"/>
              </w:rPr>
              <w:t>14%</w:t>
            </w:r>
          </w:p>
        </w:tc>
      </w:tr>
      <w:tr>
        <w:trPr>
          <w:trHeight w:val="223"/>
        </w:trPr>
        <w:tc>
          <w:tcPr>
            <w:tcW w:w="2100" w:type="dxa"/>
            <w:vAlign w:val="bottom"/>
          </w:tcPr>
          <w:p>
            <w:pPr>
              <w:spacing w:after="0"/>
              <w:rPr>
                <w:sz w:val="20"/>
                <w:szCs w:val="20"/>
                <w:color w:val="auto"/>
              </w:rPr>
            </w:pPr>
            <w:r>
              <w:rPr>
                <w:rFonts w:ascii="Arial" w:cs="Arial" w:eastAsia="Arial" w:hAnsi="Arial"/>
                <w:sz w:val="15"/>
                <w:szCs w:val="15"/>
                <w:color w:val="4D4D4F"/>
              </w:rPr>
              <w:t>Dividends</w:t>
            </w:r>
          </w:p>
        </w:tc>
        <w:tc>
          <w:tcPr>
            <w:tcW w:w="800" w:type="dxa"/>
            <w:vAlign w:val="bottom"/>
          </w:tcPr>
          <w:p>
            <w:pPr>
              <w:jc w:val="right"/>
              <w:spacing w:after="0"/>
              <w:rPr>
                <w:sz w:val="20"/>
                <w:szCs w:val="20"/>
                <w:color w:val="auto"/>
              </w:rPr>
            </w:pPr>
            <w:r>
              <w:rPr>
                <w:rFonts w:ascii="Arial" w:cs="Arial" w:eastAsia="Arial" w:hAnsi="Arial"/>
                <w:sz w:val="15"/>
                <w:szCs w:val="15"/>
                <w:color w:val="4D4D4F"/>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-380365</wp:posOffset>
            </wp:positionV>
            <wp:extent cx="8572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-239395</wp:posOffset>
            </wp:positionV>
            <wp:extent cx="8572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-97790</wp:posOffset>
            </wp:positionV>
            <wp:extent cx="8572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4"/>
          <w:szCs w:val="24"/>
          <w:b w:val="1"/>
          <w:bCs w:val="1"/>
          <w:color w:val="1A4E79"/>
        </w:rPr>
        <w:t>Sales by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47625</wp:posOffset>
            </wp:positionV>
            <wp:extent cx="1576070" cy="2343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1576070" cy="2343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1800" w:type="dxa"/>
            <w:vAlign w:val="bottom"/>
          </w:tcPr>
          <w:p>
            <w:pPr>
              <w:spacing w:after="0"/>
              <w:rPr>
                <w:sz w:val="20"/>
                <w:szCs w:val="20"/>
                <w:color w:val="auto"/>
              </w:rPr>
            </w:pPr>
            <w:r>
              <w:rPr>
                <w:rFonts w:ascii="Arial" w:cs="Arial" w:eastAsia="Arial" w:hAnsi="Arial"/>
                <w:sz w:val="15"/>
                <w:szCs w:val="15"/>
                <w:color w:val="4D4D4F"/>
              </w:rPr>
              <w:t>United States</w:t>
            </w:r>
          </w:p>
        </w:tc>
        <w:tc>
          <w:tcPr>
            <w:tcW w:w="1100" w:type="dxa"/>
            <w:vAlign w:val="bottom"/>
          </w:tcPr>
          <w:p>
            <w:pPr>
              <w:jc w:val="right"/>
              <w:spacing w:after="0"/>
              <w:rPr>
                <w:sz w:val="20"/>
                <w:szCs w:val="20"/>
                <w:color w:val="auto"/>
              </w:rPr>
            </w:pPr>
            <w:r>
              <w:rPr>
                <w:rFonts w:ascii="Arial" w:cs="Arial" w:eastAsia="Arial" w:hAnsi="Arial"/>
                <w:sz w:val="15"/>
                <w:szCs w:val="15"/>
                <w:color w:val="4D4D4F"/>
              </w:rPr>
              <w:t>80%</w:t>
            </w:r>
          </w:p>
        </w:tc>
      </w:tr>
      <w:tr>
        <w:trPr>
          <w:trHeight w:val="223"/>
        </w:trPr>
        <w:tc>
          <w:tcPr>
            <w:tcW w:w="1800" w:type="dxa"/>
            <w:vAlign w:val="bottom"/>
          </w:tcPr>
          <w:p>
            <w:pPr>
              <w:spacing w:after="0"/>
              <w:rPr>
                <w:sz w:val="20"/>
                <w:szCs w:val="20"/>
                <w:color w:val="auto"/>
              </w:rPr>
            </w:pPr>
            <w:r>
              <w:rPr>
                <w:rFonts w:ascii="Arial" w:cs="Arial" w:eastAsia="Arial" w:hAnsi="Arial"/>
                <w:sz w:val="15"/>
                <w:szCs w:val="15"/>
                <w:color w:val="4D4D4F"/>
              </w:rPr>
              <w:t>Canada</w:t>
            </w:r>
          </w:p>
        </w:tc>
        <w:tc>
          <w:tcPr>
            <w:tcW w:w="1100" w:type="dxa"/>
            <w:vAlign w:val="bottom"/>
          </w:tcPr>
          <w:p>
            <w:pPr>
              <w:jc w:val="right"/>
              <w:spacing w:after="0"/>
              <w:rPr>
                <w:sz w:val="20"/>
                <w:szCs w:val="20"/>
                <w:color w:val="auto"/>
              </w:rPr>
            </w:pPr>
            <w:r>
              <w:rPr>
                <w:rFonts w:ascii="Arial" w:cs="Arial" w:eastAsia="Arial" w:hAnsi="Arial"/>
                <w:sz w:val="15"/>
                <w:szCs w:val="15"/>
                <w:color w:val="4D4D4F"/>
              </w:rPr>
              <w:t>8%</w:t>
            </w:r>
          </w:p>
        </w:tc>
      </w:tr>
      <w:tr>
        <w:trPr>
          <w:trHeight w:val="223"/>
        </w:trPr>
        <w:tc>
          <w:tcPr>
            <w:tcW w:w="1800" w:type="dxa"/>
            <w:vAlign w:val="bottom"/>
          </w:tcPr>
          <w:p>
            <w:pPr>
              <w:spacing w:after="0"/>
              <w:rPr>
                <w:sz w:val="20"/>
                <w:szCs w:val="20"/>
                <w:color w:val="auto"/>
              </w:rPr>
            </w:pPr>
            <w:r>
              <w:rPr>
                <w:rFonts w:ascii="Arial" w:cs="Arial" w:eastAsia="Arial" w:hAnsi="Arial"/>
                <w:sz w:val="15"/>
                <w:szCs w:val="15"/>
                <w:color w:val="4D4D4F"/>
              </w:rPr>
              <w:t>China</w:t>
            </w:r>
          </w:p>
        </w:tc>
        <w:tc>
          <w:tcPr>
            <w:tcW w:w="1100" w:type="dxa"/>
            <w:vAlign w:val="bottom"/>
          </w:tcPr>
          <w:p>
            <w:pPr>
              <w:jc w:val="right"/>
              <w:spacing w:after="0"/>
              <w:rPr>
                <w:sz w:val="20"/>
                <w:szCs w:val="20"/>
                <w:color w:val="auto"/>
              </w:rPr>
            </w:pPr>
            <w:r>
              <w:rPr>
                <w:rFonts w:ascii="Arial" w:cs="Arial" w:eastAsia="Arial" w:hAnsi="Arial"/>
                <w:sz w:val="15"/>
                <w:szCs w:val="15"/>
                <w:color w:val="4D4D4F"/>
              </w:rPr>
              <w:t>7%</w:t>
            </w:r>
          </w:p>
        </w:tc>
      </w:tr>
      <w:tr>
        <w:trPr>
          <w:trHeight w:val="223"/>
        </w:trPr>
        <w:tc>
          <w:tcPr>
            <w:tcW w:w="1800" w:type="dxa"/>
            <w:vAlign w:val="bottom"/>
          </w:tcPr>
          <w:p>
            <w:pPr>
              <w:spacing w:after="0"/>
              <w:rPr>
                <w:sz w:val="20"/>
                <w:szCs w:val="20"/>
                <w:color w:val="auto"/>
              </w:rPr>
            </w:pPr>
            <w:r>
              <w:rPr>
                <w:rFonts w:ascii="Arial" w:cs="Arial" w:eastAsia="Arial" w:hAnsi="Arial"/>
                <w:sz w:val="15"/>
                <w:szCs w:val="15"/>
                <w:color w:val="4D4D4F"/>
              </w:rPr>
              <w:t>EU/UK</w:t>
            </w:r>
          </w:p>
        </w:tc>
        <w:tc>
          <w:tcPr>
            <w:tcW w:w="1100" w:type="dxa"/>
            <w:vAlign w:val="bottom"/>
          </w:tcPr>
          <w:p>
            <w:pPr>
              <w:jc w:val="right"/>
              <w:spacing w:after="0"/>
              <w:rPr>
                <w:sz w:val="20"/>
                <w:szCs w:val="20"/>
                <w:color w:val="auto"/>
              </w:rPr>
            </w:pPr>
            <w:r>
              <w:rPr>
                <w:rFonts w:ascii="Arial" w:cs="Arial" w:eastAsia="Arial" w:hAnsi="Arial"/>
                <w:sz w:val="15"/>
                <w:szCs w:val="15"/>
                <w:color w:val="4D4D4F"/>
              </w:rPr>
              <w:t>3%</w:t>
            </w:r>
          </w:p>
        </w:tc>
      </w:tr>
      <w:tr>
        <w:trPr>
          <w:trHeight w:val="223"/>
        </w:trPr>
        <w:tc>
          <w:tcPr>
            <w:tcW w:w="1800" w:type="dxa"/>
            <w:vAlign w:val="bottom"/>
          </w:tcPr>
          <w:p>
            <w:pPr>
              <w:spacing w:after="0"/>
              <w:rPr>
                <w:sz w:val="20"/>
                <w:szCs w:val="20"/>
                <w:color w:val="auto"/>
              </w:rPr>
            </w:pPr>
            <w:r>
              <w:rPr>
                <w:rFonts w:ascii="Arial" w:cs="Arial" w:eastAsia="Arial" w:hAnsi="Arial"/>
                <w:sz w:val="15"/>
                <w:szCs w:val="15"/>
                <w:color w:val="4D4D4F"/>
              </w:rPr>
              <w:t>Rest of World</w:t>
            </w:r>
          </w:p>
        </w:tc>
        <w:tc>
          <w:tcPr>
            <w:tcW w:w="1100" w:type="dxa"/>
            <w:vAlign w:val="bottom"/>
          </w:tcPr>
          <w:p>
            <w:pPr>
              <w:jc w:val="right"/>
              <w:spacing w:after="0"/>
              <w:rPr>
                <w:sz w:val="20"/>
                <w:szCs w:val="20"/>
                <w:color w:val="auto"/>
              </w:rPr>
            </w:pPr>
            <w:r>
              <w:rPr>
                <w:rFonts w:ascii="Arial" w:cs="Arial" w:eastAsia="Arial" w:hAnsi="Arial"/>
                <w:sz w:val="15"/>
                <w:szCs w:val="15"/>
                <w:color w:val="4D4D4F"/>
              </w:rPr>
              <w:t>2%</w:t>
            </w:r>
          </w:p>
        </w:tc>
      </w:tr>
    </w:tbl>
    <w:p>
      <w:pPr>
        <w:spacing w:after="0" w:line="365" w:lineRule="exact"/>
        <w:rPr>
          <w:sz w:val="20"/>
          <w:szCs w:val="20"/>
          <w:color w:val="auto"/>
        </w:rPr>
      </w:pPr>
    </w:p>
    <w:p>
      <w:pPr>
        <w:ind w:right="140"/>
        <w:spacing w:after="0" w:line="272" w:lineRule="auto"/>
        <w:rPr>
          <w:sz w:val="20"/>
          <w:szCs w:val="20"/>
          <w:color w:val="auto"/>
        </w:rPr>
      </w:pPr>
      <w:r>
        <w:rPr>
          <w:rFonts w:ascii="Arial" w:cs="Arial" w:eastAsia="Arial" w:hAnsi="Arial"/>
          <w:sz w:val="24"/>
          <w:szCs w:val="24"/>
          <w:b w:val="1"/>
          <w:bCs w:val="1"/>
          <w:color w:val="1A4E79"/>
        </w:rPr>
        <w:t>North American Housing Market by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20955</wp:posOffset>
            </wp:positionV>
            <wp:extent cx="1645920" cy="2051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1645920" cy="2051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2480" w:type="dxa"/>
            <w:vAlign w:val="bottom"/>
          </w:tcPr>
          <w:p>
            <w:pPr>
              <w:spacing w:after="0"/>
              <w:rPr>
                <w:sz w:val="20"/>
                <w:szCs w:val="20"/>
                <w:color w:val="auto"/>
              </w:rPr>
            </w:pPr>
            <w:r>
              <w:rPr>
                <w:rFonts w:ascii="Arial" w:cs="Arial" w:eastAsia="Arial" w:hAnsi="Arial"/>
                <w:sz w:val="15"/>
                <w:szCs w:val="15"/>
                <w:color w:val="4D4D4F"/>
              </w:rPr>
              <w:t>R&amp;R</w:t>
            </w:r>
          </w:p>
        </w:tc>
        <w:tc>
          <w:tcPr>
            <w:tcW w:w="420" w:type="dxa"/>
            <w:vAlign w:val="bottom"/>
          </w:tcPr>
          <w:p>
            <w:pPr>
              <w:jc w:val="right"/>
              <w:spacing w:after="0"/>
              <w:rPr>
                <w:sz w:val="20"/>
                <w:szCs w:val="20"/>
                <w:color w:val="auto"/>
              </w:rPr>
            </w:pPr>
            <w:r>
              <w:rPr>
                <w:rFonts w:ascii="Arial" w:cs="Arial" w:eastAsia="Arial" w:hAnsi="Arial"/>
                <w:sz w:val="15"/>
                <w:szCs w:val="15"/>
                <w:color w:val="4D4D4F"/>
              </w:rPr>
              <w:t>66%</w:t>
            </w:r>
          </w:p>
        </w:tc>
      </w:tr>
      <w:tr>
        <w:trPr>
          <w:trHeight w:val="223"/>
        </w:trPr>
        <w:tc>
          <w:tcPr>
            <w:tcW w:w="2480" w:type="dxa"/>
            <w:vAlign w:val="bottom"/>
          </w:tcPr>
          <w:p>
            <w:pPr>
              <w:spacing w:after="0"/>
              <w:rPr>
                <w:sz w:val="20"/>
                <w:szCs w:val="20"/>
                <w:color w:val="auto"/>
              </w:rPr>
            </w:pPr>
            <w:r>
              <w:rPr>
                <w:rFonts w:ascii="Arial" w:cs="Arial" w:eastAsia="Arial" w:hAnsi="Arial"/>
                <w:sz w:val="15"/>
                <w:szCs w:val="15"/>
                <w:color w:val="4D4D4F"/>
              </w:rPr>
              <w:t>Single-Family New Construction</w:t>
            </w:r>
          </w:p>
        </w:tc>
        <w:tc>
          <w:tcPr>
            <w:tcW w:w="420" w:type="dxa"/>
            <w:vAlign w:val="bottom"/>
          </w:tcPr>
          <w:p>
            <w:pPr>
              <w:jc w:val="right"/>
              <w:spacing w:after="0"/>
              <w:rPr>
                <w:sz w:val="20"/>
                <w:szCs w:val="20"/>
                <w:color w:val="auto"/>
              </w:rPr>
            </w:pPr>
            <w:r>
              <w:rPr>
                <w:rFonts w:ascii="Arial" w:cs="Arial" w:eastAsia="Arial" w:hAnsi="Arial"/>
                <w:sz w:val="15"/>
                <w:szCs w:val="15"/>
                <w:color w:val="4D4D4F"/>
              </w:rPr>
              <w:t>23%</w:t>
            </w:r>
          </w:p>
        </w:tc>
      </w:tr>
      <w:tr>
        <w:trPr>
          <w:trHeight w:val="223"/>
        </w:trPr>
        <w:tc>
          <w:tcPr>
            <w:tcW w:w="2480" w:type="dxa"/>
            <w:vAlign w:val="bottom"/>
          </w:tcPr>
          <w:p>
            <w:pPr>
              <w:spacing w:after="0"/>
              <w:rPr>
                <w:sz w:val="20"/>
                <w:szCs w:val="20"/>
                <w:color w:val="auto"/>
              </w:rPr>
            </w:pPr>
            <w:r>
              <w:rPr>
                <w:rFonts w:ascii="Arial" w:cs="Arial" w:eastAsia="Arial" w:hAnsi="Arial"/>
                <w:sz w:val="15"/>
                <w:szCs w:val="15"/>
                <w:color w:val="4D4D4F"/>
              </w:rPr>
              <w:t>Multifamily New Construction</w:t>
            </w:r>
          </w:p>
        </w:tc>
        <w:tc>
          <w:tcPr>
            <w:tcW w:w="420" w:type="dxa"/>
            <w:vAlign w:val="bottom"/>
          </w:tcPr>
          <w:p>
            <w:pPr>
              <w:jc w:val="right"/>
              <w:spacing w:after="0"/>
              <w:rPr>
                <w:sz w:val="20"/>
                <w:szCs w:val="20"/>
                <w:color w:val="auto"/>
              </w:rPr>
            </w:pPr>
            <w:r>
              <w:rPr>
                <w:rFonts w:ascii="Arial" w:cs="Arial" w:eastAsia="Arial" w:hAnsi="Arial"/>
                <w:sz w:val="15"/>
                <w:szCs w:val="15"/>
                <w:color w:val="4D4D4F"/>
              </w:rPr>
              <w:t>11%</w:t>
            </w:r>
          </w:p>
        </w:tc>
      </w:tr>
    </w:tbl>
    <w:p>
      <w:pPr>
        <w:spacing w:after="0" w:line="397" w:lineRule="exact"/>
        <w:rPr>
          <w:sz w:val="20"/>
          <w:szCs w:val="20"/>
          <w:color w:val="auto"/>
        </w:rPr>
      </w:pPr>
    </w:p>
    <w:p>
      <w:pPr>
        <w:ind w:right="580"/>
        <w:spacing w:after="0" w:line="273" w:lineRule="auto"/>
        <w:rPr>
          <w:sz w:val="20"/>
          <w:szCs w:val="20"/>
          <w:color w:val="auto"/>
        </w:rPr>
      </w:pPr>
      <w:r>
        <w:rPr>
          <w:rFonts w:ascii="Arial" w:cs="Arial" w:eastAsia="Arial" w:hAnsi="Arial"/>
          <w:sz w:val="15"/>
          <w:szCs w:val="15"/>
          <w:i w:val="1"/>
          <w:iCs w:val="1"/>
          <w:color w:val="4D4D4F"/>
        </w:rPr>
        <w:t>Company data for the year ended December 30, 2023.</w:t>
      </w:r>
    </w:p>
    <w:p>
      <w:pPr>
        <w:spacing w:after="0" w:line="200" w:lineRule="exact"/>
        <w:rPr>
          <w:sz w:val="20"/>
          <w:szCs w:val="20"/>
          <w:color w:val="auto"/>
        </w:rPr>
      </w:pPr>
    </w:p>
    <w:p>
      <w:pPr>
        <w:sectPr>
          <w:pgSz w:w="12240" w:h="15840" w:orient="portrait"/>
          <w:cols w:equalWidth="0" w:num="2">
            <w:col w:w="6207" w:space="720"/>
            <w:col w:w="3080"/>
          </w:cols>
          <w:pgMar w:left="1113" w:top="1440" w:right="1120" w:bottom="0" w:gutter="0" w:footer="0" w:header="0"/>
        </w:sectPr>
      </w:pPr>
    </w:p>
    <w:p>
      <w:pPr>
        <w:spacing w:after="0" w:line="122" w:lineRule="exact"/>
        <w:rPr>
          <w:sz w:val="20"/>
          <w:szCs w:val="20"/>
          <w:color w:val="auto"/>
        </w:rPr>
      </w:pPr>
    </w:p>
    <w:p>
      <w:pPr>
        <w:ind w:left="8467"/>
        <w:spacing w:after="0"/>
        <w:rPr>
          <w:sz w:val="20"/>
          <w:szCs w:val="20"/>
          <w:color w:val="auto"/>
        </w:rPr>
      </w:pPr>
      <w:r>
        <w:rPr>
          <w:rFonts w:ascii="Arial" w:cs="Arial" w:eastAsia="Arial" w:hAnsi="Arial"/>
          <w:sz w:val="12"/>
          <w:szCs w:val="12"/>
          <w:color w:val="4D4D4F"/>
        </w:rPr>
        <w:t xml:space="preserve">FORTUNE BRANDS  /  </w:t>
      </w:r>
      <w:r>
        <w:rPr>
          <w:rFonts w:ascii="Arial" w:cs="Arial" w:eastAsia="Arial" w:hAnsi="Arial"/>
          <w:sz w:val="16"/>
          <w:szCs w:val="16"/>
          <w:b w:val="1"/>
          <w:bCs w:val="1"/>
          <w:color w:val="1A4E79"/>
        </w:rPr>
        <w:t>3</w:t>
      </w:r>
    </w:p>
    <w:p>
      <w:pPr>
        <w:sectPr>
          <w:pgSz w:w="12240" w:h="15840" w:orient="portrait"/>
          <w:cols w:equalWidth="0" w:num="1">
            <w:col w:w="10007"/>
          </w:cols>
          <w:pgMar w:left="1113" w:top="1440" w:right="1120" w:bottom="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wp:posOffset>
            </wp:positionH>
            <wp:positionV relativeFrom="page">
              <wp:posOffset>0</wp:posOffset>
            </wp:positionV>
            <wp:extent cx="7746365" cy="10057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7746365"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61"/>
          <w:szCs w:val="61"/>
          <w:b w:val="1"/>
          <w:bCs w:val="1"/>
          <w:color w:val="FFFFFF"/>
        </w:rPr>
        <w:t>INNOVATING</w:t>
      </w:r>
    </w:p>
    <w:p>
      <w:pPr>
        <w:spacing w:after="0" w:line="14" w:lineRule="exact"/>
        <w:rPr>
          <w:sz w:val="20"/>
          <w:szCs w:val="20"/>
          <w:color w:val="auto"/>
        </w:rPr>
      </w:pPr>
    </w:p>
    <w:p>
      <w:pPr>
        <w:spacing w:after="0"/>
        <w:rPr>
          <w:sz w:val="20"/>
          <w:szCs w:val="20"/>
          <w:color w:val="auto"/>
        </w:rPr>
      </w:pPr>
      <w:r>
        <w:rPr>
          <w:rFonts w:ascii="Arial" w:cs="Arial" w:eastAsia="Arial" w:hAnsi="Arial"/>
          <w:sz w:val="61"/>
          <w:szCs w:val="61"/>
          <w:b w:val="1"/>
          <w:bCs w:val="1"/>
          <w:color w:val="FFFFFF"/>
        </w:rPr>
        <w:t>WITH OUR BRANDS</w:t>
      </w:r>
    </w:p>
    <w:p>
      <w:pPr>
        <w:sectPr>
          <w:pgSz w:w="12240" w:h="15840" w:orient="portrait"/>
          <w:cols w:equalWidth="0" w:num="1">
            <w:col w:w="9680"/>
          </w:cols>
          <w:pgMar w:left="112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4 </w:t>
      </w:r>
      <w:r>
        <w:rPr>
          <w:rFonts w:ascii="Arial" w:cs="Arial" w:eastAsia="Arial" w:hAnsi="Arial"/>
          <w:sz w:val="12"/>
          <w:szCs w:val="12"/>
          <w:color w:val="FFFFFF"/>
        </w:rPr>
        <w:t>/  FORTUNE BRANDS</w:t>
      </w:r>
    </w:p>
    <w:p>
      <w:pPr>
        <w:sectPr>
          <w:pgSz w:w="12240" w:h="15840" w:orient="portrait"/>
          <w:cols w:equalWidth="0" w:num="1">
            <w:col w:w="9680"/>
          </w:cols>
          <w:pgMar w:left="1120" w:top="1440" w:right="1440" w:bottom="0" w:gutter="0" w:footer="0" w:header="0"/>
          <w:type w:val="continuous"/>
        </w:sectPr>
      </w:pPr>
    </w:p>
    <w:bookmarkStart w:id="6" w:name="page7"/>
    <w:bookmarkEnd w:id="6"/>
    <w:p>
      <w:pPr>
        <w:jc w:val="center"/>
        <w:ind w:right="-119"/>
        <w:spacing w:after="0"/>
        <w:rPr>
          <w:sz w:val="20"/>
          <w:szCs w:val="20"/>
          <w:color w:val="auto"/>
        </w:rPr>
      </w:pPr>
      <w:r>
        <w:rPr>
          <w:rFonts w:ascii="Arial" w:cs="Arial" w:eastAsia="Arial" w:hAnsi="Arial"/>
          <w:sz w:val="16"/>
          <w:szCs w:val="16"/>
          <w:color w:val="231F20"/>
        </w:rPr>
        <w:t>UNITED STATES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231F20"/>
        </w:rPr>
        <w:t>SECURITIES AND EXCHANGE COMMISSION</w:t>
      </w:r>
    </w:p>
    <w:p>
      <w:pPr>
        <w:spacing w:after="0" w:line="5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231F20"/>
        </w:rPr>
        <w:t>Washington, D.C. 20549</w:t>
      </w:r>
    </w:p>
    <w:p>
      <w:pPr>
        <w:spacing w:after="0" w:line="4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231F20"/>
        </w:rPr>
        <w:t>Form 10-K</w:t>
      </w:r>
    </w:p>
    <w:p>
      <w:pPr>
        <w:spacing w:after="0" w:line="158" w:lineRule="exact"/>
        <w:rPr>
          <w:sz w:val="20"/>
          <w:szCs w:val="20"/>
          <w:color w:val="auto"/>
        </w:rPr>
      </w:pPr>
    </w:p>
    <w:p>
      <w:pPr>
        <w:jc w:val="center"/>
        <w:ind w:left="3040" w:right="140" w:hanging="2778"/>
        <w:spacing w:after="0" w:line="321" w:lineRule="auto"/>
        <w:tabs>
          <w:tab w:leader="none" w:pos="474" w:val="left"/>
        </w:tabs>
        <w:numPr>
          <w:ilvl w:val="0"/>
          <w:numId w:val="8"/>
        </w:numPr>
        <w:rPr>
          <w:rFonts w:ascii="PMingLiU" w:cs="PMingLiU" w:eastAsia="PMingLiU" w:hAnsi="PMingLiU"/>
          <w:sz w:val="18"/>
          <w:szCs w:val="18"/>
          <w:color w:val="231F20"/>
        </w:rPr>
      </w:pPr>
      <w:r>
        <w:rPr>
          <w:rFonts w:ascii="Arial" w:cs="Arial" w:eastAsia="Arial" w:hAnsi="Arial"/>
          <w:sz w:val="18"/>
          <w:szCs w:val="18"/>
          <w:b w:val="1"/>
          <w:bCs w:val="1"/>
          <w:color w:val="231F20"/>
        </w:rPr>
        <w:t xml:space="preserve">ANNUAL REPORT PURSUANT TO SECTION 13 OR 15(d) OF THE SECURITIES EXCHANGE ACT OF 1934 </w:t>
      </w:r>
      <w:r>
        <w:rPr>
          <w:rFonts w:ascii="Arial" w:cs="Arial" w:eastAsia="Arial" w:hAnsi="Arial"/>
          <w:sz w:val="18"/>
          <w:szCs w:val="18"/>
          <w:color w:val="231F20"/>
        </w:rPr>
        <w:t>For the fiscal year ended December 30, 2023</w:t>
      </w:r>
    </w:p>
    <w:p>
      <w:pPr>
        <w:spacing w:after="0" w:line="25" w:lineRule="exact"/>
        <w:rPr>
          <w:rFonts w:ascii="PMingLiU" w:cs="PMingLiU" w:eastAsia="PMingLiU" w:hAnsi="PMingLiU"/>
          <w:sz w:val="18"/>
          <w:szCs w:val="18"/>
          <w:color w:val="231F20"/>
        </w:rPr>
      </w:pPr>
    </w:p>
    <w:p>
      <w:pPr>
        <w:ind w:left="520" w:hanging="203"/>
        <w:spacing w:after="0"/>
        <w:tabs>
          <w:tab w:leader="none" w:pos="520" w:val="left"/>
        </w:tabs>
        <w:numPr>
          <w:ilvl w:val="1"/>
          <w:numId w:val="8"/>
        </w:numPr>
        <w:rPr>
          <w:rFonts w:ascii="PMingLiU" w:cs="PMingLiU" w:eastAsia="PMingLiU" w:hAnsi="PMingLiU"/>
          <w:sz w:val="18"/>
          <w:szCs w:val="18"/>
          <w:color w:val="231F20"/>
        </w:rPr>
      </w:pPr>
      <w:r>
        <w:rPr>
          <w:rFonts w:ascii="Arial" w:cs="Arial" w:eastAsia="Arial" w:hAnsi="Arial"/>
          <w:sz w:val="18"/>
          <w:szCs w:val="18"/>
          <w:b w:val="1"/>
          <w:bCs w:val="1"/>
          <w:color w:val="231F20"/>
        </w:rPr>
        <w:t>TRANSITION REPORT PURSUANT TO SECTION 13 OR 15(d) OF THE SECURITIES EXCHANGE ACT OF</w:t>
      </w:r>
    </w:p>
    <w:p>
      <w:pPr>
        <w:spacing w:after="0" w:line="15" w:lineRule="exact"/>
        <w:rPr>
          <w:rFonts w:ascii="PMingLiU" w:cs="PMingLiU" w:eastAsia="PMingLiU" w:hAnsi="PMingLiU"/>
          <w:sz w:val="18"/>
          <w:szCs w:val="18"/>
          <w:color w:val="231F20"/>
        </w:rPr>
      </w:pPr>
    </w:p>
    <w:p>
      <w:pPr>
        <w:ind w:left="4660"/>
        <w:spacing w:after="0"/>
        <w:rPr>
          <w:rFonts w:ascii="PMingLiU" w:cs="PMingLiU" w:eastAsia="PMingLiU" w:hAnsi="PMingLiU"/>
          <w:sz w:val="18"/>
          <w:szCs w:val="18"/>
          <w:color w:val="231F20"/>
        </w:rPr>
      </w:pPr>
      <w:r>
        <w:rPr>
          <w:rFonts w:ascii="Arial" w:cs="Arial" w:eastAsia="Arial" w:hAnsi="Arial"/>
          <w:sz w:val="18"/>
          <w:szCs w:val="18"/>
          <w:b w:val="1"/>
          <w:bCs w:val="1"/>
          <w:color w:val="231F20"/>
        </w:rPr>
        <w:t>1934</w:t>
      </w:r>
    </w:p>
    <w:p>
      <w:pPr>
        <w:spacing w:after="0" w:line="51" w:lineRule="exact"/>
        <w:rPr>
          <w:sz w:val="20"/>
          <w:szCs w:val="20"/>
          <w:color w:val="auto"/>
        </w:rPr>
      </w:pPr>
    </w:p>
    <w:p>
      <w:pPr>
        <w:ind w:left="2900"/>
        <w:spacing w:after="0"/>
        <w:rPr>
          <w:sz w:val="20"/>
          <w:szCs w:val="20"/>
          <w:color w:val="auto"/>
        </w:rPr>
      </w:pPr>
      <w:r>
        <w:rPr>
          <w:rFonts w:ascii="Arial" w:cs="Arial" w:eastAsia="Arial" w:hAnsi="Arial"/>
          <w:sz w:val="18"/>
          <w:szCs w:val="18"/>
          <w:color w:val="231F20"/>
        </w:rPr>
        <w:t xml:space="preserve">For the transition period from </w:t>
      </w:r>
      <w:r>
        <w:rPr>
          <w:rFonts w:ascii="Arial" w:cs="Arial" w:eastAsia="Arial" w:hAnsi="Arial"/>
          <w:sz w:val="18"/>
          <w:szCs w:val="18"/>
          <w:u w:val="single" w:color="auto"/>
          <w:color w:val="231F20"/>
        </w:rPr>
        <w:t>______</w:t>
      </w:r>
      <w:r>
        <w:rPr>
          <w:rFonts w:ascii="Arial" w:cs="Arial" w:eastAsia="Arial" w:hAnsi="Arial"/>
          <w:sz w:val="18"/>
          <w:szCs w:val="18"/>
          <w:color w:val="231F20"/>
        </w:rPr>
        <w:t xml:space="preserve"> to</w:t>
      </w:r>
      <w:r>
        <w:rPr>
          <w:rFonts w:ascii="Arial" w:cs="Arial" w:eastAsia="Arial" w:hAnsi="Arial"/>
          <w:sz w:val="18"/>
          <w:szCs w:val="18"/>
          <w:u w:val="single" w:color="auto"/>
          <w:color w:val="231F20"/>
        </w:rPr>
        <w:t>______</w:t>
      </w:r>
      <w:r>
        <w:rPr>
          <w:rFonts w:ascii="Arial" w:cs="Arial" w:eastAsia="Arial" w:hAnsi="Arial"/>
          <w:sz w:val="18"/>
          <w:szCs w:val="18"/>
          <w:color w:val="231F20"/>
        </w:rPr>
        <w:t>_</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31F20"/>
        </w:rPr>
        <w:t>Commission file number 1-35166</w:t>
      </w:r>
    </w:p>
    <w:p>
      <w:pPr>
        <w:spacing w:after="0" w:line="40" w:lineRule="exact"/>
        <w:rPr>
          <w:sz w:val="20"/>
          <w:szCs w:val="20"/>
          <w:color w:val="auto"/>
        </w:rPr>
      </w:pPr>
    </w:p>
    <w:p>
      <w:pPr>
        <w:jc w:val="center"/>
        <w:ind w:right="-139"/>
        <w:spacing w:after="0"/>
        <w:rPr>
          <w:sz w:val="20"/>
          <w:szCs w:val="20"/>
          <w:color w:val="auto"/>
        </w:rPr>
      </w:pPr>
      <w:r>
        <w:rPr>
          <w:rFonts w:ascii="Arial" w:cs="Arial" w:eastAsia="Arial" w:hAnsi="Arial"/>
          <w:sz w:val="49"/>
          <w:szCs w:val="49"/>
          <w:b w:val="1"/>
          <w:bCs w:val="1"/>
          <w:color w:val="231F20"/>
        </w:rPr>
        <w:t>Fortune Brands Innovations, Inc.</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231F20"/>
        </w:rPr>
        <w:t>(Exact name of registrant as specified in its charter)</w:t>
      </w:r>
    </w:p>
    <w:p>
      <w:pPr>
        <w:spacing w:after="0" w:line="138" w:lineRule="exact"/>
        <w:rPr>
          <w:sz w:val="20"/>
          <w:szCs w:val="20"/>
          <w:color w:val="auto"/>
        </w:rPr>
      </w:pPr>
    </w:p>
    <w:p>
      <w:pPr>
        <w:ind w:left="2120"/>
        <w:spacing w:after="0"/>
        <w:tabs>
          <w:tab w:leader="none" w:pos="6800" w:val="left"/>
        </w:tabs>
        <w:rPr>
          <w:sz w:val="20"/>
          <w:szCs w:val="20"/>
          <w:color w:val="auto"/>
        </w:rPr>
      </w:pPr>
      <w:r>
        <w:rPr>
          <w:rFonts w:ascii="Arial" w:cs="Arial" w:eastAsia="Arial" w:hAnsi="Arial"/>
          <w:sz w:val="16"/>
          <w:szCs w:val="16"/>
          <w:b w:val="1"/>
          <w:bCs w:val="1"/>
          <w:color w:val="231F20"/>
        </w:rPr>
        <w:t>Delaware</w:t>
      </w:r>
      <w:r>
        <w:rPr>
          <w:sz w:val="20"/>
          <w:szCs w:val="20"/>
          <w:color w:val="auto"/>
        </w:rPr>
        <w:tab/>
      </w:r>
      <w:r>
        <w:rPr>
          <w:rFonts w:ascii="Arial" w:cs="Arial" w:eastAsia="Arial" w:hAnsi="Arial"/>
          <w:sz w:val="16"/>
          <w:szCs w:val="16"/>
          <w:b w:val="1"/>
          <w:bCs w:val="1"/>
          <w:color w:val="231F20"/>
        </w:rPr>
        <w:t>62-1411546</w:t>
      </w:r>
    </w:p>
    <w:p>
      <w:pPr>
        <w:spacing w:after="0" w:line="14" w:lineRule="exact"/>
        <w:rPr>
          <w:sz w:val="20"/>
          <w:szCs w:val="20"/>
          <w:color w:val="auto"/>
        </w:rPr>
      </w:pPr>
    </w:p>
    <w:p>
      <w:pPr>
        <w:ind w:left="1540"/>
        <w:spacing w:after="0"/>
        <w:tabs>
          <w:tab w:leader="none" w:pos="6780" w:val="left"/>
        </w:tabs>
        <w:rPr>
          <w:sz w:val="20"/>
          <w:szCs w:val="20"/>
          <w:color w:val="auto"/>
        </w:rPr>
      </w:pPr>
      <w:r>
        <w:rPr>
          <w:rFonts w:ascii="Arial" w:cs="Arial" w:eastAsia="Arial" w:hAnsi="Arial"/>
          <w:sz w:val="14"/>
          <w:szCs w:val="14"/>
          <w:color w:val="231F20"/>
        </w:rPr>
        <w:t>(State or Other Jurisdiction of</w:t>
      </w:r>
      <w:r>
        <w:rPr>
          <w:sz w:val="20"/>
          <w:szCs w:val="20"/>
          <w:color w:val="auto"/>
        </w:rPr>
        <w:tab/>
      </w:r>
      <w:r>
        <w:rPr>
          <w:rFonts w:ascii="Arial" w:cs="Arial" w:eastAsia="Arial" w:hAnsi="Arial"/>
          <w:sz w:val="14"/>
          <w:szCs w:val="14"/>
          <w:color w:val="231F20"/>
        </w:rPr>
        <w:t>(IRS Employer</w:t>
      </w:r>
    </w:p>
    <w:p>
      <w:pPr>
        <w:ind w:left="1540"/>
        <w:spacing w:after="0"/>
        <w:tabs>
          <w:tab w:leader="none" w:pos="6680" w:val="left"/>
        </w:tabs>
        <w:rPr>
          <w:sz w:val="20"/>
          <w:szCs w:val="20"/>
          <w:color w:val="auto"/>
        </w:rPr>
      </w:pPr>
      <w:r>
        <w:rPr>
          <w:rFonts w:ascii="Arial" w:cs="Arial" w:eastAsia="Arial" w:hAnsi="Arial"/>
          <w:sz w:val="14"/>
          <w:szCs w:val="14"/>
          <w:color w:val="231F20"/>
        </w:rPr>
        <w:t>Incorporation or Organization)</w:t>
      </w:r>
      <w:r>
        <w:rPr>
          <w:sz w:val="20"/>
          <w:szCs w:val="20"/>
          <w:color w:val="auto"/>
        </w:rPr>
        <w:tab/>
      </w:r>
      <w:r>
        <w:rPr>
          <w:rFonts w:ascii="Arial" w:cs="Arial" w:eastAsia="Arial" w:hAnsi="Arial"/>
          <w:sz w:val="14"/>
          <w:szCs w:val="14"/>
          <w:color w:val="231F20"/>
        </w:rPr>
        <w:t>Identification No.)</w:t>
      </w:r>
    </w:p>
    <w:p>
      <w:pPr>
        <w:spacing w:after="0" w:line="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520 Lake Cook Road, Deerfield, IL 60015-5611</w:t>
      </w:r>
    </w:p>
    <w:p>
      <w:pPr>
        <w:spacing w:after="0" w:line="20"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18"/>
          <w:szCs w:val="18"/>
          <w:color w:val="231F20"/>
        </w:rPr>
        <w:t>(Address of Principal Executive Offices)</w:t>
        <w:tab/>
        <w:t>(Zip Code)</w:t>
      </w:r>
    </w:p>
    <w:p>
      <w:pPr>
        <w:spacing w:after="0" w:line="4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231F20"/>
        </w:rPr>
        <w:t>Registrant’s telephone number, including area code: (847) 484-4400</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6"/>
          <w:szCs w:val="16"/>
          <w:color w:val="231F20"/>
        </w:rPr>
        <w:t>Securities registered pursuant to Section 12(b) of the Act:</w:t>
      </w:r>
    </w:p>
    <w:p>
      <w:pPr>
        <w:spacing w:after="0" w:line="71" w:lineRule="exact"/>
        <w:rPr>
          <w:sz w:val="20"/>
          <w:szCs w:val="20"/>
          <w:color w:val="auto"/>
        </w:rPr>
      </w:pPr>
    </w:p>
    <w:p>
      <w:pPr>
        <w:ind w:left="1000"/>
        <w:spacing w:after="0"/>
        <w:tabs>
          <w:tab w:leader="none" w:pos="4080" w:val="left"/>
          <w:tab w:leader="none" w:pos="6700" w:val="left"/>
        </w:tabs>
        <w:rPr>
          <w:sz w:val="20"/>
          <w:szCs w:val="20"/>
          <w:color w:val="auto"/>
        </w:rPr>
      </w:pPr>
      <w:r>
        <w:rPr>
          <w:rFonts w:ascii="Arial" w:cs="Arial" w:eastAsia="Arial" w:hAnsi="Arial"/>
          <w:sz w:val="16"/>
          <w:szCs w:val="16"/>
          <w:b w:val="1"/>
          <w:bCs w:val="1"/>
          <w:color w:val="231F20"/>
        </w:rPr>
        <w:t>Title of each class</w:t>
      </w:r>
      <w:r>
        <w:rPr>
          <w:sz w:val="20"/>
          <w:szCs w:val="20"/>
          <w:color w:val="auto"/>
        </w:rPr>
        <w:tab/>
      </w:r>
      <w:r>
        <w:rPr>
          <w:rFonts w:ascii="Arial" w:cs="Arial" w:eastAsia="Arial" w:hAnsi="Arial"/>
          <w:sz w:val="16"/>
          <w:szCs w:val="16"/>
          <w:b w:val="1"/>
          <w:bCs w:val="1"/>
          <w:color w:val="231F20"/>
        </w:rPr>
        <w:t>Trading Symbols(s)</w:t>
      </w:r>
      <w:r>
        <w:rPr>
          <w:sz w:val="20"/>
          <w:szCs w:val="20"/>
          <w:color w:val="auto"/>
        </w:rPr>
        <w:tab/>
      </w:r>
      <w:r>
        <w:rPr>
          <w:rFonts w:ascii="Arial" w:cs="Arial" w:eastAsia="Arial" w:hAnsi="Arial"/>
          <w:sz w:val="16"/>
          <w:szCs w:val="16"/>
          <w:b w:val="1"/>
          <w:bCs w:val="1"/>
          <w:color w:val="231F20"/>
        </w:rPr>
        <w:t>Name of each exchange on which</w:t>
      </w:r>
    </w:p>
    <w:p>
      <w:pPr>
        <w:spacing w:after="0" w:line="18"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231F20"/>
        </w:rPr>
        <w:t>registered</w:t>
      </w:r>
    </w:p>
    <w:p>
      <w:pPr>
        <w:spacing w:after="0" w:line="65" w:lineRule="exact"/>
        <w:rPr>
          <w:sz w:val="20"/>
          <w:szCs w:val="20"/>
          <w:color w:val="auto"/>
        </w:rPr>
      </w:pPr>
    </w:p>
    <w:p>
      <w:pPr>
        <w:ind w:left="180"/>
        <w:spacing w:after="0"/>
        <w:tabs>
          <w:tab w:leader="none" w:pos="4660" w:val="left"/>
          <w:tab w:leader="none" w:pos="7040" w:val="left"/>
        </w:tabs>
        <w:rPr>
          <w:sz w:val="20"/>
          <w:szCs w:val="20"/>
          <w:color w:val="auto"/>
        </w:rPr>
      </w:pPr>
      <w:r>
        <w:rPr>
          <w:rFonts w:ascii="Arial" w:cs="Arial" w:eastAsia="Arial" w:hAnsi="Arial"/>
          <w:sz w:val="16"/>
          <w:szCs w:val="16"/>
          <w:color w:val="231F20"/>
        </w:rPr>
        <w:t>Common Stock, par value $0.01 per share</w:t>
      </w:r>
      <w:r>
        <w:rPr>
          <w:sz w:val="20"/>
          <w:szCs w:val="20"/>
          <w:color w:val="auto"/>
        </w:rPr>
        <w:tab/>
      </w:r>
      <w:r>
        <w:rPr>
          <w:rFonts w:ascii="Arial" w:cs="Arial" w:eastAsia="Arial" w:hAnsi="Arial"/>
          <w:sz w:val="16"/>
          <w:szCs w:val="16"/>
          <w:color w:val="231F20"/>
        </w:rPr>
        <w:t>FBIN</w:t>
      </w:r>
      <w:r>
        <w:rPr>
          <w:sz w:val="20"/>
          <w:szCs w:val="20"/>
          <w:color w:val="auto"/>
        </w:rPr>
        <w:tab/>
      </w:r>
      <w:r>
        <w:rPr>
          <w:rFonts w:ascii="Arial" w:cs="Arial" w:eastAsia="Arial" w:hAnsi="Arial"/>
          <w:sz w:val="16"/>
          <w:szCs w:val="16"/>
          <w:color w:val="231F20"/>
        </w:rPr>
        <w:t>New York Stock Exchange</w:t>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Securities registered pursuant to Section 12(g) of the Act: None</w:t>
      </w:r>
    </w:p>
    <w:p>
      <w:pPr>
        <w:spacing w:after="0" w:line="119" w:lineRule="exact"/>
        <w:rPr>
          <w:sz w:val="20"/>
          <w:szCs w:val="20"/>
          <w:color w:val="auto"/>
        </w:rPr>
      </w:pPr>
    </w:p>
    <w:p>
      <w:pPr>
        <w:ind w:left="120"/>
        <w:spacing w:after="0"/>
        <w:tabs>
          <w:tab w:leader="none" w:pos="8420" w:val="left"/>
          <w:tab w:leader="none" w:pos="8940" w:val="left"/>
          <w:tab w:leader="none" w:pos="9300" w:val="left"/>
        </w:tabs>
        <w:rPr>
          <w:sz w:val="20"/>
          <w:szCs w:val="20"/>
          <w:color w:val="auto"/>
        </w:rPr>
      </w:pPr>
      <w:r>
        <w:rPr>
          <w:rFonts w:ascii="Arial" w:cs="Arial" w:eastAsia="Arial" w:hAnsi="Arial"/>
          <w:sz w:val="15"/>
          <w:szCs w:val="15"/>
          <w:color w:val="231F20"/>
        </w:rPr>
        <w:t>Indicate by check mark if the registrant is a well-known seasoned issuer, as defined in Rule 405 of the Securities Act. Yes</w:t>
      </w:r>
      <w:r>
        <w:rPr>
          <w:sz w:val="20"/>
          <w:szCs w:val="20"/>
          <w:color w:val="auto"/>
        </w:rPr>
        <w:tab/>
      </w:r>
      <w:r>
        <w:rPr>
          <w:rFonts w:ascii="PMingLiU" w:cs="PMingLiU" w:eastAsia="PMingLiU" w:hAnsi="PMingLiU"/>
          <w:sz w:val="15"/>
          <w:szCs w:val="15"/>
          <w:color w:val="231F20"/>
        </w:rPr>
        <w:t/>
      </w:r>
      <w:r>
        <w:rPr>
          <w:sz w:val="20"/>
          <w:szCs w:val="20"/>
          <w:color w:val="auto"/>
        </w:rPr>
        <w:tab/>
      </w:r>
      <w:r>
        <w:rPr>
          <w:rFonts w:ascii="Arial" w:cs="Arial" w:eastAsia="Arial" w:hAnsi="Arial"/>
          <w:sz w:val="15"/>
          <w:szCs w:val="15"/>
          <w:color w:val="231F20"/>
        </w:rPr>
        <w:t>No</w:t>
      </w:r>
      <w:r>
        <w:rPr>
          <w:sz w:val="20"/>
          <w:szCs w:val="20"/>
          <w:color w:val="auto"/>
        </w:rPr>
        <w:tab/>
      </w:r>
      <w:r>
        <w:rPr>
          <w:rFonts w:ascii="PMingLiU" w:cs="PMingLiU" w:eastAsia="PMingLiU" w:hAnsi="PMingLiU"/>
          <w:sz w:val="15"/>
          <w:szCs w:val="15"/>
          <w:color w:val="231F20"/>
        </w:rPr>
        <w:t/>
      </w:r>
    </w:p>
    <w:p>
      <w:pPr>
        <w:spacing w:after="0" w:line="94" w:lineRule="exact"/>
        <w:rPr>
          <w:sz w:val="20"/>
          <w:szCs w:val="20"/>
          <w:color w:val="auto"/>
        </w:rPr>
      </w:pPr>
    </w:p>
    <w:p>
      <w:pPr>
        <w:ind w:left="120"/>
        <w:spacing w:after="0"/>
        <w:tabs>
          <w:tab w:leader="none" w:pos="8500" w:val="left"/>
          <w:tab w:leader="none" w:pos="9020" w:val="left"/>
          <w:tab w:leader="none" w:pos="9380" w:val="left"/>
        </w:tabs>
        <w:rPr>
          <w:sz w:val="20"/>
          <w:szCs w:val="20"/>
          <w:color w:val="auto"/>
        </w:rPr>
      </w:pPr>
      <w:r>
        <w:rPr>
          <w:rFonts w:ascii="Arial" w:cs="Arial" w:eastAsia="Arial" w:hAnsi="Arial"/>
          <w:sz w:val="15"/>
          <w:szCs w:val="15"/>
          <w:color w:val="231F20"/>
        </w:rPr>
        <w:t>Indicate by check mark if the registrant is not required to file reports pursuant to Section 13 or Section 15(d) of the Act. Yes</w:t>
      </w:r>
      <w:r>
        <w:rPr>
          <w:sz w:val="20"/>
          <w:szCs w:val="20"/>
          <w:color w:val="auto"/>
        </w:rPr>
        <w:tab/>
      </w:r>
      <w:r>
        <w:rPr>
          <w:rFonts w:ascii="PMingLiU" w:cs="PMingLiU" w:eastAsia="PMingLiU" w:hAnsi="PMingLiU"/>
          <w:sz w:val="15"/>
          <w:szCs w:val="15"/>
          <w:color w:val="231F20"/>
        </w:rPr>
        <w:t/>
      </w:r>
      <w:r>
        <w:rPr>
          <w:sz w:val="20"/>
          <w:szCs w:val="20"/>
          <w:color w:val="auto"/>
        </w:rPr>
        <w:tab/>
      </w:r>
      <w:r>
        <w:rPr>
          <w:rFonts w:ascii="Arial" w:cs="Arial" w:eastAsia="Arial" w:hAnsi="Arial"/>
          <w:sz w:val="15"/>
          <w:szCs w:val="15"/>
          <w:color w:val="231F20"/>
        </w:rPr>
        <w:t>No</w:t>
      </w:r>
      <w:r>
        <w:rPr>
          <w:sz w:val="20"/>
          <w:szCs w:val="20"/>
          <w:color w:val="auto"/>
        </w:rPr>
        <w:tab/>
      </w:r>
      <w:r>
        <w:rPr>
          <w:rFonts w:ascii="PMingLiU" w:cs="PMingLiU" w:eastAsia="PMingLiU" w:hAnsi="PMingLiU"/>
          <w:sz w:val="15"/>
          <w:szCs w:val="15"/>
          <w:color w:val="231F20"/>
        </w:rPr>
        <w:t/>
      </w:r>
    </w:p>
    <w:p>
      <w:pPr>
        <w:spacing w:after="0" w:line="96" w:lineRule="exact"/>
        <w:rPr>
          <w:sz w:val="20"/>
          <w:szCs w:val="20"/>
          <w:color w:val="auto"/>
        </w:rPr>
      </w:pPr>
    </w:p>
    <w:p>
      <w:pPr>
        <w:ind w:left="120" w:right="40"/>
        <w:spacing w:after="0" w:line="242" w:lineRule="auto"/>
        <w:rPr>
          <w:sz w:val="20"/>
          <w:szCs w:val="20"/>
          <w:color w:val="auto"/>
        </w:rPr>
      </w:pPr>
      <w:r>
        <w:rPr>
          <w:rFonts w:ascii="Arial" w:cs="Arial" w:eastAsia="Arial" w:hAnsi="Arial"/>
          <w:sz w:val="15"/>
          <w:szCs w:val="15"/>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0"/>
          <w:szCs w:val="20"/>
          <w:color w:val="auto"/>
        </w:rPr>
      </w:pPr>
    </w:p>
    <w:p>
      <w:pPr>
        <w:ind w:left="120"/>
        <w:spacing w:after="0"/>
        <w:tabs>
          <w:tab w:leader="none" w:pos="4300" w:val="left"/>
          <w:tab w:leader="none" w:pos="4760" w:val="left"/>
          <w:tab w:leader="none" w:pos="5120" w:val="left"/>
        </w:tabs>
        <w:rPr>
          <w:sz w:val="20"/>
          <w:szCs w:val="20"/>
          <w:color w:val="auto"/>
        </w:rPr>
      </w:pPr>
      <w:r>
        <w:rPr>
          <w:rFonts w:ascii="Arial" w:cs="Arial" w:eastAsia="Arial" w:hAnsi="Arial"/>
          <w:sz w:val="15"/>
          <w:szCs w:val="15"/>
          <w:color w:val="231F20"/>
        </w:rPr>
        <w:t>subject to such filing requirements for the past 90 days. Yes</w:t>
      </w:r>
      <w:r>
        <w:rPr>
          <w:sz w:val="20"/>
          <w:szCs w:val="20"/>
          <w:color w:val="auto"/>
        </w:rPr>
        <w:tab/>
      </w:r>
      <w:r>
        <w:rPr>
          <w:rFonts w:ascii="PMingLiU" w:cs="PMingLiU" w:eastAsia="PMingLiU" w:hAnsi="PMingLiU"/>
          <w:sz w:val="15"/>
          <w:szCs w:val="15"/>
          <w:color w:val="231F20"/>
        </w:rPr>
        <w:t/>
      </w:r>
      <w:r>
        <w:rPr>
          <w:sz w:val="20"/>
          <w:szCs w:val="20"/>
          <w:color w:val="auto"/>
        </w:rPr>
        <w:tab/>
      </w:r>
      <w:r>
        <w:rPr>
          <w:rFonts w:ascii="Arial" w:cs="Arial" w:eastAsia="Arial" w:hAnsi="Arial"/>
          <w:sz w:val="15"/>
          <w:szCs w:val="15"/>
          <w:color w:val="231F20"/>
        </w:rPr>
        <w:t>No</w:t>
      </w:r>
      <w:r>
        <w:rPr>
          <w:sz w:val="20"/>
          <w:szCs w:val="20"/>
          <w:color w:val="auto"/>
        </w:rPr>
        <w:tab/>
      </w:r>
      <w:r>
        <w:rPr>
          <w:rFonts w:ascii="PMingLiU" w:cs="PMingLiU" w:eastAsia="PMingLiU" w:hAnsi="PMingLiU"/>
          <w:sz w:val="15"/>
          <w:szCs w:val="15"/>
          <w:color w:val="231F20"/>
        </w:rPr>
        <w:t/>
      </w:r>
    </w:p>
    <w:p>
      <w:pPr>
        <w:spacing w:after="0" w:line="80" w:lineRule="exact"/>
        <w:rPr>
          <w:sz w:val="20"/>
          <w:szCs w:val="20"/>
          <w:color w:val="auto"/>
        </w:rPr>
      </w:pPr>
    </w:p>
    <w:p>
      <w:pPr>
        <w:ind w:left="120" w:right="120"/>
        <w:spacing w:after="0" w:line="242" w:lineRule="auto"/>
        <w:rPr>
          <w:sz w:val="20"/>
          <w:szCs w:val="20"/>
          <w:color w:val="auto"/>
        </w:rPr>
      </w:pPr>
      <w:r>
        <w:rPr>
          <w:rFonts w:ascii="Arial" w:cs="Arial" w:eastAsia="Arial" w:hAnsi="Arial"/>
          <w:sz w:val="15"/>
          <w:szCs w:val="15"/>
          <w:color w:val="231F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0"/>
          <w:szCs w:val="20"/>
          <w:color w:val="auto"/>
        </w:rPr>
      </w:pPr>
    </w:p>
    <w:p>
      <w:pPr>
        <w:ind w:left="120"/>
        <w:spacing w:after="0"/>
        <w:tabs>
          <w:tab w:leader="none" w:pos="540" w:val="left"/>
          <w:tab w:leader="none" w:pos="1000" w:val="left"/>
          <w:tab w:leader="none" w:pos="1360" w:val="left"/>
        </w:tabs>
        <w:rPr>
          <w:sz w:val="20"/>
          <w:szCs w:val="20"/>
          <w:color w:val="auto"/>
        </w:rPr>
      </w:pPr>
      <w:r>
        <w:rPr>
          <w:rFonts w:ascii="Arial" w:cs="Arial" w:eastAsia="Arial" w:hAnsi="Arial"/>
          <w:sz w:val="15"/>
          <w:szCs w:val="15"/>
          <w:color w:val="231F20"/>
        </w:rPr>
        <w:t>Yes</w:t>
      </w:r>
      <w:r>
        <w:rPr>
          <w:sz w:val="20"/>
          <w:szCs w:val="20"/>
          <w:color w:val="auto"/>
        </w:rPr>
        <w:tab/>
      </w:r>
      <w:r>
        <w:rPr>
          <w:rFonts w:ascii="PMingLiU" w:cs="PMingLiU" w:eastAsia="PMingLiU" w:hAnsi="PMingLiU"/>
          <w:sz w:val="15"/>
          <w:szCs w:val="15"/>
          <w:color w:val="231F20"/>
        </w:rPr>
        <w:t/>
      </w:r>
      <w:r>
        <w:rPr>
          <w:sz w:val="20"/>
          <w:szCs w:val="20"/>
          <w:color w:val="auto"/>
        </w:rPr>
        <w:tab/>
      </w:r>
      <w:r>
        <w:rPr>
          <w:rFonts w:ascii="Arial" w:cs="Arial" w:eastAsia="Arial" w:hAnsi="Arial"/>
          <w:sz w:val="15"/>
          <w:szCs w:val="15"/>
          <w:color w:val="231F20"/>
        </w:rPr>
        <w:t>No</w:t>
      </w:r>
      <w:r>
        <w:rPr>
          <w:sz w:val="20"/>
          <w:szCs w:val="20"/>
          <w:color w:val="auto"/>
        </w:rPr>
        <w:tab/>
      </w:r>
      <w:r>
        <w:rPr>
          <w:rFonts w:ascii="PMingLiU" w:cs="PMingLiU" w:eastAsia="PMingLiU" w:hAnsi="PMingLiU"/>
          <w:sz w:val="15"/>
          <w:szCs w:val="15"/>
          <w:color w:val="231F20"/>
        </w:rPr>
        <w:t/>
      </w:r>
    </w:p>
    <w:p>
      <w:pPr>
        <w:spacing w:after="0" w:line="78" w:lineRule="exact"/>
        <w:rPr>
          <w:sz w:val="20"/>
          <w:szCs w:val="20"/>
          <w:color w:val="auto"/>
        </w:rPr>
      </w:pPr>
    </w:p>
    <w:p>
      <w:pPr>
        <w:ind w:left="120" w:right="240"/>
        <w:spacing w:after="0" w:line="255" w:lineRule="auto"/>
        <w:rPr>
          <w:sz w:val="20"/>
          <w:szCs w:val="20"/>
          <w:color w:val="auto"/>
        </w:rPr>
      </w:pPr>
      <w:r>
        <w:rPr>
          <w:rFonts w:ascii="Arial" w:cs="Arial" w:eastAsia="Arial" w:hAnsi="Arial"/>
          <w:sz w:val="15"/>
          <w:szCs w:val="15"/>
          <w:color w:val="231F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17" w:lineRule="exact"/>
        <w:rPr>
          <w:sz w:val="20"/>
          <w:szCs w:val="20"/>
          <w:color w:val="auto"/>
        </w:rPr>
      </w:pPr>
    </w:p>
    <w:p>
      <w:pPr>
        <w:ind w:left="120"/>
        <w:spacing w:after="0"/>
        <w:tabs>
          <w:tab w:leader="none" w:pos="2600" w:val="left"/>
          <w:tab w:leader="none" w:pos="4420" w:val="left"/>
          <w:tab w:leader="none" w:pos="6540" w:val="left"/>
          <w:tab w:leader="none" w:pos="9440" w:val="left"/>
        </w:tabs>
        <w:rPr>
          <w:sz w:val="20"/>
          <w:szCs w:val="20"/>
          <w:color w:val="auto"/>
        </w:rPr>
      </w:pPr>
      <w:r>
        <w:rPr>
          <w:rFonts w:ascii="Arial" w:cs="Arial" w:eastAsia="Arial" w:hAnsi="Arial"/>
          <w:sz w:val="15"/>
          <w:szCs w:val="15"/>
          <w:color w:val="231F20"/>
        </w:rPr>
        <w:t>Large accelerated filer</w:t>
      </w:r>
      <w:r>
        <w:rPr>
          <w:sz w:val="20"/>
          <w:szCs w:val="20"/>
          <w:color w:val="auto"/>
        </w:rPr>
        <w:tab/>
      </w:r>
      <w:r>
        <w:rPr>
          <w:rFonts w:ascii="PMingLiU" w:cs="PMingLiU" w:eastAsia="PMingLiU" w:hAnsi="PMingLiU"/>
          <w:sz w:val="15"/>
          <w:szCs w:val="15"/>
          <w:color w:val="231F20"/>
        </w:rPr>
        <w:t xml:space="preserve">  </w:t>
      </w:r>
      <w:r>
        <w:rPr>
          <w:rFonts w:ascii="Arial" w:cs="Arial" w:eastAsia="Arial" w:hAnsi="Arial"/>
          <w:sz w:val="15"/>
          <w:szCs w:val="15"/>
          <w:color w:val="231F20"/>
        </w:rPr>
        <w:t>Accelerated filer</w:t>
      </w:r>
      <w:r>
        <w:rPr>
          <w:sz w:val="20"/>
          <w:szCs w:val="20"/>
          <w:color w:val="auto"/>
        </w:rPr>
        <w:tab/>
      </w:r>
      <w:r>
        <w:rPr>
          <w:rFonts w:ascii="PMingLiU" w:cs="PMingLiU" w:eastAsia="PMingLiU" w:hAnsi="PMingLiU"/>
          <w:sz w:val="15"/>
          <w:szCs w:val="15"/>
          <w:color w:val="231F20"/>
        </w:rPr>
        <w:t xml:space="preserve"> </w:t>
      </w:r>
      <w:r>
        <w:rPr>
          <w:rFonts w:ascii="Arial" w:cs="Arial" w:eastAsia="Arial" w:hAnsi="Arial"/>
          <w:sz w:val="15"/>
          <w:szCs w:val="15"/>
          <w:color w:val="231F20"/>
        </w:rPr>
        <w:t>Non-accelerated filer</w:t>
      </w:r>
      <w:r>
        <w:rPr>
          <w:sz w:val="20"/>
          <w:szCs w:val="20"/>
          <w:color w:val="auto"/>
        </w:rPr>
        <w:tab/>
      </w:r>
      <w:r>
        <w:rPr>
          <w:rFonts w:ascii="PMingLiU" w:cs="PMingLiU" w:eastAsia="PMingLiU" w:hAnsi="PMingLiU"/>
          <w:sz w:val="15"/>
          <w:szCs w:val="15"/>
          <w:color w:val="231F20"/>
        </w:rPr>
        <w:t xml:space="preserve"> </w:t>
      </w:r>
      <w:r>
        <w:rPr>
          <w:rFonts w:ascii="Arial" w:cs="Arial" w:eastAsia="Arial" w:hAnsi="Arial"/>
          <w:sz w:val="15"/>
          <w:szCs w:val="15"/>
          <w:color w:val="231F20"/>
        </w:rPr>
        <w:t>Smaller reporting company</w:t>
      </w:r>
      <w:r>
        <w:rPr>
          <w:sz w:val="20"/>
          <w:szCs w:val="20"/>
          <w:color w:val="auto"/>
        </w:rPr>
        <w:tab/>
      </w:r>
      <w:r>
        <w:rPr>
          <w:rFonts w:ascii="PMingLiU" w:cs="PMingLiU" w:eastAsia="PMingLiU" w:hAnsi="PMingLiU"/>
          <w:sz w:val="15"/>
          <w:szCs w:val="15"/>
          <w:color w:val="231F20"/>
        </w:rPr>
        <w:t/>
      </w:r>
    </w:p>
    <w:p>
      <w:pPr>
        <w:spacing w:after="0" w:line="28" w:lineRule="exact"/>
        <w:rPr>
          <w:sz w:val="20"/>
          <w:szCs w:val="20"/>
          <w:color w:val="auto"/>
        </w:rPr>
      </w:pPr>
    </w:p>
    <w:p>
      <w:pPr>
        <w:ind w:left="120"/>
        <w:spacing w:after="0"/>
        <w:tabs>
          <w:tab w:leader="none" w:pos="2600" w:val="left"/>
        </w:tabs>
        <w:rPr>
          <w:sz w:val="20"/>
          <w:szCs w:val="20"/>
          <w:color w:val="auto"/>
        </w:rPr>
      </w:pPr>
      <w:r>
        <w:rPr>
          <w:rFonts w:ascii="Arial" w:cs="Arial" w:eastAsia="Arial" w:hAnsi="Arial"/>
          <w:sz w:val="15"/>
          <w:szCs w:val="15"/>
          <w:color w:val="231F20"/>
        </w:rPr>
        <w:t>Emerging growth company</w:t>
      </w:r>
      <w:r>
        <w:rPr>
          <w:sz w:val="20"/>
          <w:szCs w:val="20"/>
          <w:color w:val="auto"/>
        </w:rPr>
        <w:tab/>
      </w:r>
      <w:r>
        <w:rPr>
          <w:rFonts w:ascii="PMingLiU" w:cs="PMingLiU" w:eastAsia="PMingLiU" w:hAnsi="PMingLiU"/>
          <w:sz w:val="15"/>
          <w:szCs w:val="15"/>
          <w:color w:val="231F20"/>
        </w:rPr>
        <w:t/>
      </w:r>
    </w:p>
    <w:p>
      <w:pPr>
        <w:spacing w:after="0" w:line="121" w:lineRule="exact"/>
        <w:rPr>
          <w:sz w:val="20"/>
          <w:szCs w:val="20"/>
          <w:color w:val="auto"/>
        </w:rPr>
      </w:pPr>
    </w:p>
    <w:p>
      <w:pPr>
        <w:ind w:left="120" w:right="160"/>
        <w:spacing w:after="0" w:line="314" w:lineRule="auto"/>
        <w:rPr>
          <w:sz w:val="20"/>
          <w:szCs w:val="20"/>
          <w:color w:val="auto"/>
        </w:rPr>
      </w:pPr>
      <w:r>
        <w:rPr>
          <w:rFonts w:ascii="Arial" w:cs="Arial" w:eastAsia="Arial" w:hAnsi="Arial"/>
          <w:sz w:val="15"/>
          <w:szCs w:val="15"/>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5"/>
          <w:szCs w:val="15"/>
          <w:color w:val="231F20"/>
        </w:rPr>
        <w:t/>
      </w:r>
    </w:p>
    <w:p>
      <w:pPr>
        <w:spacing w:after="0" w:line="18" w:lineRule="exact"/>
        <w:rPr>
          <w:sz w:val="20"/>
          <w:szCs w:val="20"/>
          <w:color w:val="auto"/>
        </w:rPr>
      </w:pPr>
    </w:p>
    <w:p>
      <w:pPr>
        <w:ind w:left="120" w:right="20"/>
        <w:spacing w:after="0" w:line="242" w:lineRule="auto"/>
        <w:rPr>
          <w:sz w:val="20"/>
          <w:szCs w:val="20"/>
          <w:color w:val="auto"/>
        </w:rPr>
      </w:pPr>
      <w:r>
        <w:rPr>
          <w:rFonts w:ascii="Arial" w:cs="Arial" w:eastAsia="Arial" w:hAnsi="Arial"/>
          <w:sz w:val="15"/>
          <w:szCs w:val="15"/>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5"/>
          <w:szCs w:val="15"/>
          <w:color w:val="231F20"/>
        </w:rPr>
        <w:t xml:space="preserve">accounting firm that prepared or issued its audit report. </w:t>
      </w:r>
      <w:r>
        <w:rPr>
          <w:rFonts w:ascii="PMingLiU" w:cs="PMingLiU" w:eastAsia="PMingLiU" w:hAnsi="PMingLiU"/>
          <w:sz w:val="15"/>
          <w:szCs w:val="15"/>
          <w:color w:val="231F20"/>
        </w:rPr>
        <w:t/>
      </w:r>
    </w:p>
    <w:p>
      <w:pPr>
        <w:spacing w:after="0" w:line="119" w:lineRule="exact"/>
        <w:rPr>
          <w:sz w:val="20"/>
          <w:szCs w:val="20"/>
          <w:color w:val="auto"/>
        </w:rPr>
      </w:pPr>
    </w:p>
    <w:p>
      <w:pPr>
        <w:ind w:left="120" w:right="360"/>
        <w:spacing w:after="0" w:line="314" w:lineRule="auto"/>
        <w:rPr>
          <w:sz w:val="20"/>
          <w:szCs w:val="20"/>
          <w:color w:val="auto"/>
        </w:rPr>
      </w:pPr>
      <w:r>
        <w:rPr>
          <w:rFonts w:ascii="Arial" w:cs="Arial" w:eastAsia="Arial" w:hAnsi="Arial"/>
          <w:sz w:val="15"/>
          <w:szCs w:val="15"/>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5"/>
          <w:szCs w:val="15"/>
          <w:color w:val="231F20"/>
        </w:rPr>
        <w:t/>
      </w:r>
    </w:p>
    <w:p>
      <w:pPr>
        <w:spacing w:after="0" w:line="18" w:lineRule="exact"/>
        <w:rPr>
          <w:sz w:val="20"/>
          <w:szCs w:val="20"/>
          <w:color w:val="auto"/>
        </w:rPr>
      </w:pPr>
    </w:p>
    <w:p>
      <w:pPr>
        <w:ind w:left="120" w:right="580"/>
        <w:spacing w:after="0" w:line="314" w:lineRule="auto"/>
        <w:rPr>
          <w:sz w:val="20"/>
          <w:szCs w:val="20"/>
          <w:color w:val="auto"/>
        </w:rPr>
      </w:pPr>
      <w:r>
        <w:rPr>
          <w:rFonts w:ascii="Arial" w:cs="Arial" w:eastAsia="Arial" w:hAnsi="Arial"/>
          <w:sz w:val="15"/>
          <w:szCs w:val="15"/>
          <w:color w:val="231F20"/>
        </w:rPr>
        <w:t xml:space="preserve">Indicate by check mark whether any of those error corrections are restatements that required a recovery analysis of incentive-based compensation received by any of the registrant’s executive oGcers during the relevant recovery period pursuant to §240.10D-1(b). </w:t>
      </w:r>
      <w:r>
        <w:rPr>
          <w:rFonts w:ascii="PMingLiU" w:cs="PMingLiU" w:eastAsia="PMingLiU" w:hAnsi="PMingLiU"/>
          <w:sz w:val="15"/>
          <w:szCs w:val="15"/>
          <w:color w:val="231F20"/>
        </w:rPr>
        <w:t/>
      </w:r>
    </w:p>
    <w:p>
      <w:pPr>
        <w:spacing w:after="0" w:line="17" w:lineRule="exact"/>
        <w:rPr>
          <w:sz w:val="20"/>
          <w:szCs w:val="20"/>
          <w:color w:val="auto"/>
        </w:rPr>
      </w:pPr>
    </w:p>
    <w:p>
      <w:pPr>
        <w:ind w:left="120"/>
        <w:spacing w:after="0"/>
        <w:tabs>
          <w:tab w:leader="none" w:pos="7440" w:val="left"/>
          <w:tab w:leader="none" w:pos="7920" w:val="left"/>
          <w:tab w:leader="none" w:pos="8280" w:val="left"/>
        </w:tabs>
        <w:rPr>
          <w:sz w:val="20"/>
          <w:szCs w:val="20"/>
          <w:color w:val="auto"/>
        </w:rPr>
      </w:pPr>
      <w:r>
        <w:rPr>
          <w:rFonts w:ascii="Arial" w:cs="Arial" w:eastAsia="Arial" w:hAnsi="Arial"/>
          <w:sz w:val="15"/>
          <w:szCs w:val="15"/>
          <w:color w:val="231F20"/>
        </w:rPr>
        <w:t>Indicate by check mark whether the registrant is a shell company (as defined in Rule 12b-2 of the Act). Yes</w:t>
      </w:r>
      <w:r>
        <w:rPr>
          <w:sz w:val="20"/>
          <w:szCs w:val="20"/>
          <w:color w:val="auto"/>
        </w:rPr>
        <w:tab/>
      </w:r>
      <w:r>
        <w:rPr>
          <w:rFonts w:ascii="PMingLiU" w:cs="PMingLiU" w:eastAsia="PMingLiU" w:hAnsi="PMingLiU"/>
          <w:sz w:val="15"/>
          <w:szCs w:val="15"/>
          <w:color w:val="231F20"/>
        </w:rPr>
        <w:t/>
      </w:r>
      <w:r>
        <w:rPr>
          <w:sz w:val="20"/>
          <w:szCs w:val="20"/>
          <w:color w:val="auto"/>
        </w:rPr>
        <w:tab/>
      </w:r>
      <w:r>
        <w:rPr>
          <w:rFonts w:ascii="Arial" w:cs="Arial" w:eastAsia="Arial" w:hAnsi="Arial"/>
          <w:sz w:val="15"/>
          <w:szCs w:val="15"/>
          <w:color w:val="231F20"/>
        </w:rPr>
        <w:t>No</w:t>
      </w:r>
      <w:r>
        <w:rPr>
          <w:sz w:val="20"/>
          <w:szCs w:val="20"/>
          <w:color w:val="auto"/>
        </w:rPr>
        <w:tab/>
      </w:r>
      <w:r>
        <w:rPr>
          <w:rFonts w:ascii="PMingLiU" w:cs="PMingLiU" w:eastAsia="PMingLiU" w:hAnsi="PMingLiU"/>
          <w:sz w:val="15"/>
          <w:szCs w:val="15"/>
          <w:color w:val="231F20"/>
        </w:rPr>
        <w:t/>
      </w:r>
    </w:p>
    <w:p>
      <w:pPr>
        <w:spacing w:after="0" w:line="96" w:lineRule="exact"/>
        <w:rPr>
          <w:sz w:val="20"/>
          <w:szCs w:val="20"/>
          <w:color w:val="auto"/>
        </w:rPr>
      </w:pPr>
    </w:p>
    <w:p>
      <w:pPr>
        <w:jc w:val="both"/>
        <w:ind w:left="120" w:right="200"/>
        <w:spacing w:after="0" w:line="255" w:lineRule="auto"/>
        <w:rPr>
          <w:sz w:val="20"/>
          <w:szCs w:val="20"/>
          <w:color w:val="auto"/>
        </w:rPr>
      </w:pPr>
      <w:r>
        <w:rPr>
          <w:rFonts w:ascii="Arial" w:cs="Arial" w:eastAsia="Arial" w:hAnsi="Arial"/>
          <w:sz w:val="15"/>
          <w:szCs w:val="15"/>
          <w:color w:val="231F20"/>
        </w:rPr>
        <w:t>The aggregate market value of the registrant’s voting common equity held by non-affiliates of the registrant at July 1, 2023 (the last day of the registrant’s most recent second quarter) was $9,095,529,175. The number of shares outstanding of the registrant’s common stock, par value $0.01 per share, at February 9, 2024, was 126,128,651.</w:t>
      </w:r>
    </w:p>
    <w:p>
      <w:pPr>
        <w:spacing w:after="0" w:line="3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231F20"/>
        </w:rPr>
        <w:t>DOCUMENTS INCORPORATED BY REFERENCE</w:t>
      </w:r>
    </w:p>
    <w:p>
      <w:pPr>
        <w:sectPr>
          <w:pgSz w:w="12240" w:h="15840" w:orient="portrait"/>
          <w:cols w:equalWidth="0" w:num="1">
            <w:col w:w="9600"/>
          </w:cols>
          <w:pgMar w:left="1440" w:top="848" w:right="1200" w:bottom="1056" w:gutter="0" w:footer="0" w:header="0"/>
        </w:sectPr>
      </w:pPr>
    </w:p>
    <w:p>
      <w:pPr>
        <w:spacing w:after="0" w:line="81" w:lineRule="exact"/>
        <w:rPr>
          <w:sz w:val="20"/>
          <w:szCs w:val="20"/>
          <w:color w:val="auto"/>
        </w:rPr>
      </w:pPr>
    </w:p>
    <w:p>
      <w:pPr>
        <w:ind w:left="120" w:right="20"/>
        <w:spacing w:after="0" w:line="265" w:lineRule="auto"/>
        <w:rPr>
          <w:sz w:val="20"/>
          <w:szCs w:val="20"/>
          <w:color w:val="auto"/>
        </w:rPr>
      </w:pPr>
      <w:r>
        <w:rPr>
          <w:rFonts w:ascii="Arial" w:cs="Arial" w:eastAsia="Arial" w:hAnsi="Arial"/>
          <w:sz w:val="15"/>
          <w:szCs w:val="15"/>
          <w:color w:val="231F20"/>
        </w:rPr>
        <w:t>Certain information contained in the registrant’s proxy statement for its Annual Meeting of Stockholders to be held on May 7, 2024 (to be filed not later than 120 days after the end of the registrant’s fiscal year) (the “2024 Proxy Statement”) is incorporated by reference into Part III hereof.</w:t>
      </w:r>
    </w:p>
    <w:p>
      <w:pPr>
        <w:sectPr>
          <w:pgSz w:w="12240" w:h="15840" w:orient="portrait"/>
          <w:cols w:equalWidth="0" w:num="1">
            <w:col w:w="9600"/>
          </w:cols>
          <w:pgMar w:left="1440" w:top="848" w:right="1200" w:bottom="1056"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231F20"/>
        </w:rPr>
        <w:t>Form 10-K 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0" w:type="dxa"/>
            <w:vAlign w:val="bottom"/>
            <w:vMerge w:val="restart"/>
          </w:tcPr>
          <w:p>
            <w:pPr>
              <w:spacing w:after="0"/>
              <w:rPr>
                <w:sz w:val="20"/>
                <w:szCs w:val="20"/>
                <w:color w:val="auto"/>
              </w:rPr>
            </w:pPr>
            <w:r>
              <w:rPr>
                <w:rFonts w:ascii="Arial" w:cs="Arial" w:eastAsia="Arial" w:hAnsi="Arial"/>
                <w:sz w:val="20"/>
                <w:szCs w:val="20"/>
                <w:b w:val="1"/>
                <w:bCs w:val="1"/>
                <w:color w:val="231F20"/>
              </w:rPr>
              <w:t>PART I</w:t>
            </w:r>
          </w:p>
        </w:tc>
        <w:tc>
          <w:tcPr>
            <w:tcW w:w="8200" w:type="dxa"/>
            <w:vAlign w:val="bottom"/>
          </w:tcPr>
          <w:p>
            <w:pPr>
              <w:spacing w:after="0"/>
              <w:rPr>
                <w:sz w:val="17"/>
                <w:szCs w:val="17"/>
                <w:color w:val="auto"/>
              </w:rPr>
            </w:pPr>
          </w:p>
        </w:tc>
        <w:tc>
          <w:tcPr>
            <w:tcW w:w="440" w:type="dxa"/>
            <w:vAlign w:val="bottom"/>
            <w:tcBorders>
              <w:bottom w:val="single" w:sz="8" w:color="231F20"/>
            </w:tcBorders>
          </w:tcPr>
          <w:p>
            <w:pPr>
              <w:jc w:val="right"/>
              <w:spacing w:after="0"/>
              <w:rPr>
                <w:sz w:val="20"/>
                <w:szCs w:val="20"/>
                <w:color w:val="auto"/>
              </w:rPr>
            </w:pPr>
            <w:r>
              <w:rPr>
                <w:rFonts w:ascii="Arial" w:cs="Arial" w:eastAsia="Arial" w:hAnsi="Arial"/>
                <w:sz w:val="16"/>
                <w:szCs w:val="16"/>
                <w:b w:val="1"/>
                <w:bCs w:val="1"/>
                <w:color w:val="231F20"/>
              </w:rPr>
              <w:t>Page</w:t>
            </w:r>
          </w:p>
        </w:tc>
        <w:tc>
          <w:tcPr>
            <w:tcW w:w="0" w:type="dxa"/>
            <w:vAlign w:val="bottom"/>
          </w:tcPr>
          <w:p>
            <w:pPr>
              <w:spacing w:after="0"/>
              <w:rPr>
                <w:sz w:val="1"/>
                <w:szCs w:val="1"/>
                <w:color w:val="auto"/>
              </w:rPr>
            </w:pPr>
          </w:p>
        </w:tc>
      </w:tr>
      <w:tr>
        <w:trPr>
          <w:trHeight w:val="203"/>
        </w:trPr>
        <w:tc>
          <w:tcPr>
            <w:tcW w:w="840" w:type="dxa"/>
            <w:vAlign w:val="bottom"/>
            <w:vMerge w:val="continue"/>
          </w:tcPr>
          <w:p>
            <w:pPr>
              <w:spacing w:after="0"/>
              <w:rPr>
                <w:sz w:val="17"/>
                <w:szCs w:val="17"/>
                <w:color w:val="auto"/>
              </w:rPr>
            </w:pPr>
          </w:p>
        </w:tc>
        <w:tc>
          <w:tcPr>
            <w:tcW w:w="8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1.</w:t>
            </w:r>
          </w:p>
        </w:tc>
        <w:tc>
          <w:tcPr>
            <w:tcW w:w="8200" w:type="dxa"/>
            <w:vAlign w:val="bottom"/>
          </w:tcPr>
          <w:p>
            <w:pPr>
              <w:ind w:left="20"/>
              <w:spacing w:after="0"/>
              <w:rPr>
                <w:sz w:val="20"/>
                <w:szCs w:val="20"/>
                <w:color w:val="auto"/>
              </w:rPr>
            </w:pPr>
            <w:r>
              <w:rPr>
                <w:rFonts w:ascii="Arial" w:cs="Arial" w:eastAsia="Arial" w:hAnsi="Arial"/>
                <w:sz w:val="20"/>
                <w:szCs w:val="20"/>
                <w:color w:val="231F20"/>
              </w:rPr>
              <w:t>Business.</w:t>
            </w:r>
          </w:p>
        </w:tc>
        <w:tc>
          <w:tcPr>
            <w:tcW w:w="440" w:type="dxa"/>
            <w:vAlign w:val="bottom"/>
          </w:tcPr>
          <w:p>
            <w:pPr>
              <w:jc w:val="right"/>
              <w:spacing w:after="0"/>
              <w:rPr>
                <w:sz w:val="20"/>
                <w:szCs w:val="20"/>
                <w:color w:val="auto"/>
              </w:rPr>
            </w:pPr>
            <w:r>
              <w:rPr>
                <w:rFonts w:ascii="Arial" w:cs="Arial" w:eastAsia="Arial" w:hAnsi="Arial"/>
                <w:sz w:val="20"/>
                <w:szCs w:val="20"/>
                <w:color w:val="231F20"/>
              </w:rPr>
              <w:t>1</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1A.</w:t>
            </w:r>
          </w:p>
        </w:tc>
        <w:tc>
          <w:tcPr>
            <w:tcW w:w="8200" w:type="dxa"/>
            <w:vAlign w:val="bottom"/>
          </w:tcPr>
          <w:p>
            <w:pPr>
              <w:ind w:left="20"/>
              <w:spacing w:after="0"/>
              <w:rPr>
                <w:sz w:val="20"/>
                <w:szCs w:val="20"/>
                <w:color w:val="auto"/>
              </w:rPr>
            </w:pPr>
            <w:r>
              <w:rPr>
                <w:rFonts w:ascii="Arial" w:cs="Arial" w:eastAsia="Arial" w:hAnsi="Arial"/>
                <w:sz w:val="20"/>
                <w:szCs w:val="20"/>
                <w:color w:val="231F20"/>
              </w:rPr>
              <w:t>Risk Factors.</w:t>
            </w:r>
          </w:p>
        </w:tc>
        <w:tc>
          <w:tcPr>
            <w:tcW w:w="440" w:type="dxa"/>
            <w:vAlign w:val="bottom"/>
          </w:tcPr>
          <w:p>
            <w:pPr>
              <w:jc w:val="right"/>
              <w:spacing w:after="0"/>
              <w:rPr>
                <w:sz w:val="20"/>
                <w:szCs w:val="20"/>
                <w:color w:val="auto"/>
              </w:rPr>
            </w:pPr>
            <w:r>
              <w:rPr>
                <w:rFonts w:ascii="Arial" w:cs="Arial" w:eastAsia="Arial" w:hAnsi="Arial"/>
                <w:sz w:val="20"/>
                <w:szCs w:val="20"/>
                <w:color w:val="231F20"/>
              </w:rPr>
              <w:t>7</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1B.</w:t>
            </w:r>
          </w:p>
        </w:tc>
        <w:tc>
          <w:tcPr>
            <w:tcW w:w="8200" w:type="dxa"/>
            <w:vAlign w:val="bottom"/>
          </w:tcPr>
          <w:p>
            <w:pPr>
              <w:ind w:left="20"/>
              <w:spacing w:after="0"/>
              <w:rPr>
                <w:sz w:val="20"/>
                <w:szCs w:val="20"/>
                <w:color w:val="auto"/>
              </w:rPr>
            </w:pPr>
            <w:r>
              <w:rPr>
                <w:rFonts w:ascii="Arial" w:cs="Arial" w:eastAsia="Arial" w:hAnsi="Arial"/>
                <w:sz w:val="20"/>
                <w:szCs w:val="20"/>
                <w:color w:val="231F20"/>
              </w:rPr>
              <w:t>Unresolved Staff Comments.</w:t>
            </w:r>
          </w:p>
        </w:tc>
        <w:tc>
          <w:tcPr>
            <w:tcW w:w="440" w:type="dxa"/>
            <w:vAlign w:val="bottom"/>
          </w:tcPr>
          <w:p>
            <w:pPr>
              <w:jc w:val="right"/>
              <w:spacing w:after="0"/>
              <w:rPr>
                <w:sz w:val="20"/>
                <w:szCs w:val="20"/>
                <w:color w:val="auto"/>
              </w:rPr>
            </w:pPr>
            <w:r>
              <w:rPr>
                <w:rFonts w:ascii="Arial" w:cs="Arial" w:eastAsia="Arial" w:hAnsi="Arial"/>
                <w:sz w:val="20"/>
                <w:szCs w:val="20"/>
                <w:color w:val="231F20"/>
              </w:rPr>
              <w:t>17</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1C.</w:t>
            </w:r>
          </w:p>
        </w:tc>
        <w:tc>
          <w:tcPr>
            <w:tcW w:w="8200" w:type="dxa"/>
            <w:vAlign w:val="bottom"/>
          </w:tcPr>
          <w:p>
            <w:pPr>
              <w:ind w:left="20"/>
              <w:spacing w:after="0"/>
              <w:rPr>
                <w:sz w:val="20"/>
                <w:szCs w:val="20"/>
                <w:color w:val="auto"/>
              </w:rPr>
            </w:pPr>
            <w:r>
              <w:rPr>
                <w:rFonts w:ascii="Arial" w:cs="Arial" w:eastAsia="Arial" w:hAnsi="Arial"/>
                <w:sz w:val="20"/>
                <w:szCs w:val="20"/>
                <w:color w:val="231F20"/>
              </w:rPr>
              <w:t>Cybersecurity.</w:t>
            </w:r>
          </w:p>
        </w:tc>
        <w:tc>
          <w:tcPr>
            <w:tcW w:w="440" w:type="dxa"/>
            <w:vAlign w:val="bottom"/>
          </w:tcPr>
          <w:p>
            <w:pPr>
              <w:jc w:val="right"/>
              <w:spacing w:after="0"/>
              <w:rPr>
                <w:sz w:val="20"/>
                <w:szCs w:val="20"/>
                <w:color w:val="auto"/>
              </w:rPr>
            </w:pPr>
            <w:r>
              <w:rPr>
                <w:rFonts w:ascii="Arial" w:cs="Arial" w:eastAsia="Arial" w:hAnsi="Arial"/>
                <w:sz w:val="20"/>
                <w:szCs w:val="20"/>
                <w:color w:val="231F20"/>
              </w:rPr>
              <w:t>17</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2.</w:t>
            </w:r>
          </w:p>
        </w:tc>
        <w:tc>
          <w:tcPr>
            <w:tcW w:w="8200" w:type="dxa"/>
            <w:vAlign w:val="bottom"/>
          </w:tcPr>
          <w:p>
            <w:pPr>
              <w:ind w:left="20"/>
              <w:spacing w:after="0"/>
              <w:rPr>
                <w:sz w:val="20"/>
                <w:szCs w:val="20"/>
                <w:color w:val="auto"/>
              </w:rPr>
            </w:pPr>
            <w:r>
              <w:rPr>
                <w:rFonts w:ascii="Arial" w:cs="Arial" w:eastAsia="Arial" w:hAnsi="Arial"/>
                <w:sz w:val="20"/>
                <w:szCs w:val="20"/>
                <w:color w:val="231F20"/>
              </w:rPr>
              <w:t>Properties.</w:t>
            </w:r>
          </w:p>
        </w:tc>
        <w:tc>
          <w:tcPr>
            <w:tcW w:w="440" w:type="dxa"/>
            <w:vAlign w:val="bottom"/>
          </w:tcPr>
          <w:p>
            <w:pPr>
              <w:jc w:val="right"/>
              <w:spacing w:after="0"/>
              <w:rPr>
                <w:sz w:val="20"/>
                <w:szCs w:val="20"/>
                <w:color w:val="auto"/>
              </w:rPr>
            </w:pPr>
            <w:r>
              <w:rPr>
                <w:rFonts w:ascii="Arial" w:cs="Arial" w:eastAsia="Arial" w:hAnsi="Arial"/>
                <w:sz w:val="20"/>
                <w:szCs w:val="20"/>
                <w:color w:val="231F20"/>
              </w:rPr>
              <w:t>18</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3.</w:t>
            </w:r>
          </w:p>
        </w:tc>
        <w:tc>
          <w:tcPr>
            <w:tcW w:w="8200" w:type="dxa"/>
            <w:vAlign w:val="bottom"/>
          </w:tcPr>
          <w:p>
            <w:pPr>
              <w:ind w:left="20"/>
              <w:spacing w:after="0"/>
              <w:rPr>
                <w:sz w:val="20"/>
                <w:szCs w:val="20"/>
                <w:color w:val="auto"/>
              </w:rPr>
            </w:pPr>
            <w:r>
              <w:rPr>
                <w:rFonts w:ascii="Arial" w:cs="Arial" w:eastAsia="Arial" w:hAnsi="Arial"/>
                <w:sz w:val="20"/>
                <w:szCs w:val="20"/>
                <w:color w:val="231F20"/>
              </w:rPr>
              <w:t>Legal Proceedings.</w:t>
            </w:r>
          </w:p>
        </w:tc>
        <w:tc>
          <w:tcPr>
            <w:tcW w:w="440" w:type="dxa"/>
            <w:vAlign w:val="bottom"/>
          </w:tcPr>
          <w:p>
            <w:pPr>
              <w:jc w:val="right"/>
              <w:spacing w:after="0"/>
              <w:rPr>
                <w:sz w:val="20"/>
                <w:szCs w:val="20"/>
                <w:color w:val="auto"/>
              </w:rPr>
            </w:pPr>
            <w:r>
              <w:rPr>
                <w:rFonts w:ascii="Arial" w:cs="Arial" w:eastAsia="Arial" w:hAnsi="Arial"/>
                <w:sz w:val="20"/>
                <w:szCs w:val="20"/>
                <w:color w:val="231F20"/>
              </w:rPr>
              <w:t>19</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4.</w:t>
            </w:r>
          </w:p>
        </w:tc>
        <w:tc>
          <w:tcPr>
            <w:tcW w:w="8200" w:type="dxa"/>
            <w:vAlign w:val="bottom"/>
          </w:tcPr>
          <w:p>
            <w:pPr>
              <w:ind w:left="20"/>
              <w:spacing w:after="0"/>
              <w:rPr>
                <w:sz w:val="20"/>
                <w:szCs w:val="20"/>
                <w:color w:val="auto"/>
              </w:rPr>
            </w:pPr>
            <w:r>
              <w:rPr>
                <w:rFonts w:ascii="Arial" w:cs="Arial" w:eastAsia="Arial" w:hAnsi="Arial"/>
                <w:sz w:val="20"/>
                <w:szCs w:val="20"/>
                <w:color w:val="231F20"/>
              </w:rPr>
              <w:t>Mine Safety Disclosures.</w:t>
            </w:r>
          </w:p>
        </w:tc>
        <w:tc>
          <w:tcPr>
            <w:tcW w:w="440" w:type="dxa"/>
            <w:vAlign w:val="bottom"/>
          </w:tcPr>
          <w:p>
            <w:pPr>
              <w:jc w:val="right"/>
              <w:spacing w:after="0"/>
              <w:rPr>
                <w:sz w:val="20"/>
                <w:szCs w:val="20"/>
                <w:color w:val="auto"/>
              </w:rPr>
            </w:pPr>
            <w:r>
              <w:rPr>
                <w:rFonts w:ascii="Arial" w:cs="Arial" w:eastAsia="Arial" w:hAnsi="Arial"/>
                <w:sz w:val="20"/>
                <w:szCs w:val="20"/>
                <w:color w:val="231F20"/>
              </w:rPr>
              <w:t>19</w:t>
            </w:r>
          </w:p>
        </w:tc>
        <w:tc>
          <w:tcPr>
            <w:tcW w:w="0" w:type="dxa"/>
            <w:vAlign w:val="bottom"/>
          </w:tcPr>
          <w:p>
            <w:pPr>
              <w:spacing w:after="0"/>
              <w:rPr>
                <w:sz w:val="1"/>
                <w:szCs w:val="1"/>
                <w:color w:val="auto"/>
              </w:rPr>
            </w:pPr>
          </w:p>
        </w:tc>
      </w:tr>
      <w:tr>
        <w:trPr>
          <w:trHeight w:val="273"/>
        </w:trPr>
        <w:tc>
          <w:tcPr>
            <w:tcW w:w="840" w:type="dxa"/>
            <w:vAlign w:val="bottom"/>
          </w:tcPr>
          <w:p>
            <w:pPr>
              <w:spacing w:after="0"/>
              <w:rPr>
                <w:sz w:val="23"/>
                <w:szCs w:val="23"/>
                <w:color w:val="auto"/>
              </w:rPr>
            </w:pPr>
          </w:p>
        </w:tc>
        <w:tc>
          <w:tcPr>
            <w:tcW w:w="8200" w:type="dxa"/>
            <w:vAlign w:val="bottom"/>
          </w:tcPr>
          <w:p>
            <w:pPr>
              <w:ind w:left="20"/>
              <w:spacing w:after="0"/>
              <w:rPr>
                <w:sz w:val="20"/>
                <w:szCs w:val="20"/>
                <w:color w:val="auto"/>
              </w:rPr>
            </w:pPr>
            <w:r>
              <w:rPr>
                <w:rFonts w:ascii="Arial" w:cs="Arial" w:eastAsia="Arial" w:hAnsi="Arial"/>
                <w:sz w:val="20"/>
                <w:szCs w:val="20"/>
                <w:color w:val="231F20"/>
              </w:rPr>
              <w:t>Information about our Executive Officers.</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840" w:type="dxa"/>
            <w:vAlign w:val="bottom"/>
          </w:tcPr>
          <w:p>
            <w:pPr>
              <w:spacing w:after="0"/>
              <w:rPr>
                <w:sz w:val="20"/>
                <w:szCs w:val="20"/>
                <w:color w:val="auto"/>
              </w:rPr>
            </w:pPr>
            <w:r>
              <w:rPr>
                <w:rFonts w:ascii="Arial" w:cs="Arial" w:eastAsia="Arial" w:hAnsi="Arial"/>
                <w:sz w:val="20"/>
                <w:szCs w:val="20"/>
                <w:b w:val="1"/>
                <w:bCs w:val="1"/>
                <w:color w:val="231F20"/>
              </w:rPr>
              <w:t>PART II</w:t>
            </w:r>
          </w:p>
        </w:tc>
        <w:tc>
          <w:tcPr>
            <w:tcW w:w="8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5.</w:t>
            </w:r>
          </w:p>
        </w:tc>
        <w:tc>
          <w:tcPr>
            <w:tcW w:w="8200" w:type="dxa"/>
            <w:vAlign w:val="bottom"/>
          </w:tcPr>
          <w:p>
            <w:pPr>
              <w:ind w:left="20"/>
              <w:spacing w:after="0"/>
              <w:rPr>
                <w:sz w:val="20"/>
                <w:szCs w:val="20"/>
                <w:color w:val="auto"/>
              </w:rPr>
            </w:pPr>
            <w:r>
              <w:rPr>
                <w:rFonts w:ascii="Arial" w:cs="Arial" w:eastAsia="Arial" w:hAnsi="Arial"/>
                <w:sz w:val="20"/>
                <w:szCs w:val="20"/>
                <w:color w:val="231F20"/>
              </w:rPr>
              <w:t>Market for Registrant’s Common Equity, Related Stockholder Matters and Issuer</w:t>
            </w:r>
          </w:p>
        </w:tc>
        <w:tc>
          <w:tcPr>
            <w:tcW w:w="440" w:type="dxa"/>
            <w:vAlign w:val="bottom"/>
          </w:tcPr>
          <w:p>
            <w:pPr>
              <w:jc w:val="right"/>
              <w:spacing w:after="0"/>
              <w:rPr>
                <w:sz w:val="20"/>
                <w:szCs w:val="20"/>
                <w:color w:val="auto"/>
              </w:rPr>
            </w:pPr>
            <w:r>
              <w:rPr>
                <w:rFonts w:ascii="Arial" w:cs="Arial" w:eastAsia="Arial" w:hAnsi="Arial"/>
                <w:sz w:val="20"/>
                <w:szCs w:val="20"/>
                <w:color w:val="231F20"/>
              </w:rPr>
              <w:t>21</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20"/>
                <w:szCs w:val="20"/>
                <w:color w:val="231F20"/>
              </w:rPr>
              <w:t>Purchases of Equity Securities.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6.</w:t>
            </w:r>
          </w:p>
        </w:tc>
        <w:tc>
          <w:tcPr>
            <w:tcW w:w="8200" w:type="dxa"/>
            <w:vAlign w:val="bottom"/>
          </w:tcPr>
          <w:p>
            <w:pPr>
              <w:ind w:left="20"/>
              <w:spacing w:after="0"/>
              <w:rPr>
                <w:sz w:val="20"/>
                <w:szCs w:val="20"/>
                <w:color w:val="auto"/>
              </w:rPr>
            </w:pPr>
            <w:r>
              <w:rPr>
                <w:rFonts w:ascii="Arial" w:cs="Arial" w:eastAsia="Arial" w:hAnsi="Arial"/>
                <w:sz w:val="20"/>
                <w:szCs w:val="20"/>
                <w:color w:val="231F20"/>
              </w:rPr>
              <w:t>Reserved.</w:t>
            </w:r>
          </w:p>
        </w:tc>
        <w:tc>
          <w:tcPr>
            <w:tcW w:w="440" w:type="dxa"/>
            <w:vAlign w:val="bottom"/>
          </w:tcPr>
          <w:p>
            <w:pPr>
              <w:jc w:val="right"/>
              <w:spacing w:after="0"/>
              <w:rPr>
                <w:sz w:val="20"/>
                <w:szCs w:val="20"/>
                <w:color w:val="auto"/>
              </w:rPr>
            </w:pPr>
            <w:r>
              <w:rPr>
                <w:rFonts w:ascii="Arial" w:cs="Arial" w:eastAsia="Arial" w:hAnsi="Arial"/>
                <w:sz w:val="20"/>
                <w:szCs w:val="20"/>
                <w:color w:val="231F20"/>
              </w:rPr>
              <w:t>22</w:t>
            </w:r>
          </w:p>
        </w:tc>
        <w:tc>
          <w:tcPr>
            <w:tcW w:w="0" w:type="dxa"/>
            <w:vAlign w:val="bottom"/>
          </w:tcPr>
          <w:p>
            <w:pPr>
              <w:spacing w:after="0"/>
              <w:rPr>
                <w:sz w:val="1"/>
                <w:szCs w:val="1"/>
                <w:color w:val="auto"/>
              </w:rPr>
            </w:pPr>
          </w:p>
        </w:tc>
      </w:tr>
      <w:tr>
        <w:trPr>
          <w:trHeight w:val="231"/>
        </w:trPr>
        <w:tc>
          <w:tcPr>
            <w:tcW w:w="840" w:type="dxa"/>
            <w:vAlign w:val="bottom"/>
          </w:tcPr>
          <w:p>
            <w:pPr>
              <w:spacing w:after="0"/>
              <w:rPr>
                <w:sz w:val="20"/>
                <w:szCs w:val="20"/>
                <w:color w:val="auto"/>
              </w:rPr>
            </w:pPr>
            <w:r>
              <w:rPr>
                <w:rFonts w:ascii="Arial" w:cs="Arial" w:eastAsia="Arial" w:hAnsi="Arial"/>
                <w:sz w:val="20"/>
                <w:szCs w:val="20"/>
                <w:color w:val="231F20"/>
              </w:rPr>
              <w:t>Item 7.</w:t>
            </w:r>
          </w:p>
        </w:tc>
        <w:tc>
          <w:tcPr>
            <w:tcW w:w="8200" w:type="dxa"/>
            <w:vAlign w:val="bottom"/>
          </w:tcPr>
          <w:p>
            <w:pPr>
              <w:ind w:left="20"/>
              <w:spacing w:after="0"/>
              <w:rPr>
                <w:sz w:val="20"/>
                <w:szCs w:val="20"/>
                <w:color w:val="auto"/>
              </w:rPr>
            </w:pPr>
            <w:r>
              <w:rPr>
                <w:rFonts w:ascii="Arial" w:cs="Arial" w:eastAsia="Arial" w:hAnsi="Arial"/>
                <w:sz w:val="20"/>
                <w:szCs w:val="20"/>
                <w:color w:val="231F20"/>
              </w:rPr>
              <w:t>Management’s Discussion and Analysis of Financial Condition and Results of Operations.</w:t>
            </w:r>
          </w:p>
        </w:tc>
        <w:tc>
          <w:tcPr>
            <w:tcW w:w="440" w:type="dxa"/>
            <w:vAlign w:val="bottom"/>
          </w:tcPr>
          <w:p>
            <w:pPr>
              <w:jc w:val="right"/>
              <w:spacing w:after="0"/>
              <w:rPr>
                <w:sz w:val="20"/>
                <w:szCs w:val="20"/>
                <w:color w:val="auto"/>
              </w:rPr>
            </w:pPr>
            <w:r>
              <w:rPr>
                <w:rFonts w:ascii="Arial" w:cs="Arial" w:eastAsia="Arial" w:hAnsi="Arial"/>
                <w:sz w:val="20"/>
                <w:szCs w:val="20"/>
                <w:color w:val="231F20"/>
              </w:rPr>
              <w:t>23</w:t>
            </w:r>
          </w:p>
        </w:tc>
        <w:tc>
          <w:tcPr>
            <w:tcW w:w="0" w:type="dxa"/>
            <w:vAlign w:val="bottom"/>
          </w:tcPr>
          <w:p>
            <w:pPr>
              <w:spacing w:after="0"/>
              <w:rPr>
                <w:sz w:val="1"/>
                <w:szCs w:val="1"/>
                <w:color w:val="auto"/>
              </w:rPr>
            </w:pPr>
          </w:p>
        </w:tc>
      </w:tr>
      <w:tr>
        <w:trPr>
          <w:trHeight w:val="235"/>
        </w:trPr>
        <w:tc>
          <w:tcPr>
            <w:tcW w:w="84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20"/>
                <w:szCs w:val="20"/>
                <w:color w:val="231F20"/>
              </w:rPr>
              <w:t>Results of Operations</w:t>
            </w:r>
            <w:r>
              <w:rPr>
                <w:rFonts w:ascii="Times New Roman" w:cs="Times New Roman" w:eastAsia="Times New Roman" w:hAnsi="Times New Roman"/>
                <w:sz w:val="20"/>
                <w:szCs w:val="20"/>
                <w:color w:val="231F20"/>
              </w:rPr>
              <w:t>.</w:t>
            </w:r>
          </w:p>
        </w:tc>
        <w:tc>
          <w:tcPr>
            <w:tcW w:w="440" w:type="dxa"/>
            <w:vAlign w:val="bottom"/>
          </w:tcPr>
          <w:p>
            <w:pPr>
              <w:jc w:val="right"/>
              <w:spacing w:after="0"/>
              <w:rPr>
                <w:sz w:val="20"/>
                <w:szCs w:val="20"/>
                <w:color w:val="auto"/>
              </w:rPr>
            </w:pPr>
            <w:r>
              <w:rPr>
                <w:rFonts w:ascii="Arial" w:cs="Arial" w:eastAsia="Arial" w:hAnsi="Arial"/>
                <w:sz w:val="20"/>
                <w:szCs w:val="20"/>
                <w:color w:val="231F20"/>
              </w:rPr>
              <w:t>25</w:t>
            </w:r>
          </w:p>
        </w:tc>
        <w:tc>
          <w:tcPr>
            <w:tcW w:w="0" w:type="dxa"/>
            <w:vAlign w:val="bottom"/>
          </w:tcPr>
          <w:p>
            <w:pPr>
              <w:spacing w:after="0"/>
              <w:rPr>
                <w:sz w:val="1"/>
                <w:szCs w:val="1"/>
                <w:color w:val="auto"/>
              </w:rPr>
            </w:pPr>
          </w:p>
        </w:tc>
      </w:tr>
      <w:tr>
        <w:trPr>
          <w:trHeight w:val="231"/>
        </w:trPr>
        <w:tc>
          <w:tcPr>
            <w:tcW w:w="84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20"/>
                <w:szCs w:val="20"/>
                <w:color w:val="231F20"/>
              </w:rPr>
              <w:t>Liquidity and Capital Resources.</w:t>
            </w:r>
          </w:p>
        </w:tc>
        <w:tc>
          <w:tcPr>
            <w:tcW w:w="440" w:type="dxa"/>
            <w:vAlign w:val="bottom"/>
          </w:tcPr>
          <w:p>
            <w:pPr>
              <w:jc w:val="right"/>
              <w:spacing w:after="0"/>
              <w:rPr>
                <w:sz w:val="20"/>
                <w:szCs w:val="20"/>
                <w:color w:val="auto"/>
              </w:rPr>
            </w:pPr>
            <w:r>
              <w:rPr>
                <w:rFonts w:ascii="Arial" w:cs="Arial" w:eastAsia="Arial" w:hAnsi="Arial"/>
                <w:sz w:val="20"/>
                <w:szCs w:val="20"/>
                <w:color w:val="231F20"/>
              </w:rPr>
              <w:t>31</w:t>
            </w:r>
          </w:p>
        </w:tc>
        <w:tc>
          <w:tcPr>
            <w:tcW w:w="0" w:type="dxa"/>
            <w:vAlign w:val="bottom"/>
          </w:tcPr>
          <w:p>
            <w:pPr>
              <w:spacing w:after="0"/>
              <w:rPr>
                <w:sz w:val="1"/>
                <w:szCs w:val="1"/>
                <w:color w:val="auto"/>
              </w:rPr>
            </w:pPr>
          </w:p>
        </w:tc>
      </w:tr>
      <w:tr>
        <w:trPr>
          <w:trHeight w:val="235"/>
        </w:trPr>
        <w:tc>
          <w:tcPr>
            <w:tcW w:w="84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20"/>
                <w:szCs w:val="20"/>
                <w:color w:val="231F20"/>
              </w:rPr>
              <w:t>Critical Accounting Estimates</w:t>
            </w:r>
            <w:r>
              <w:rPr>
                <w:rFonts w:ascii="Times New Roman" w:cs="Times New Roman" w:eastAsia="Times New Roman" w:hAnsi="Times New Roman"/>
                <w:sz w:val="20"/>
                <w:szCs w:val="20"/>
                <w:color w:val="231F20"/>
              </w:rPr>
              <w:t>.</w:t>
            </w:r>
          </w:p>
        </w:tc>
        <w:tc>
          <w:tcPr>
            <w:tcW w:w="440" w:type="dxa"/>
            <w:vAlign w:val="bottom"/>
          </w:tcPr>
          <w:p>
            <w:pPr>
              <w:jc w:val="right"/>
              <w:spacing w:after="0"/>
              <w:rPr>
                <w:sz w:val="20"/>
                <w:szCs w:val="20"/>
                <w:color w:val="auto"/>
              </w:rPr>
            </w:pPr>
            <w:r>
              <w:rPr>
                <w:rFonts w:ascii="Arial" w:cs="Arial" w:eastAsia="Arial" w:hAnsi="Arial"/>
                <w:sz w:val="20"/>
                <w:szCs w:val="20"/>
                <w:color w:val="231F20"/>
              </w:rPr>
              <w:t>36</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7A.</w:t>
            </w:r>
          </w:p>
        </w:tc>
        <w:tc>
          <w:tcPr>
            <w:tcW w:w="8200" w:type="dxa"/>
            <w:vAlign w:val="bottom"/>
          </w:tcPr>
          <w:p>
            <w:pPr>
              <w:ind w:left="20"/>
              <w:spacing w:after="0"/>
              <w:rPr>
                <w:sz w:val="20"/>
                <w:szCs w:val="20"/>
                <w:color w:val="auto"/>
              </w:rPr>
            </w:pPr>
            <w:r>
              <w:rPr>
                <w:rFonts w:ascii="Arial" w:cs="Arial" w:eastAsia="Arial" w:hAnsi="Arial"/>
                <w:sz w:val="20"/>
                <w:szCs w:val="20"/>
                <w:color w:val="231F20"/>
              </w:rPr>
              <w:t>Quantitative and Qualitative Disclosures about Market Risk.</w:t>
            </w:r>
          </w:p>
        </w:tc>
        <w:tc>
          <w:tcPr>
            <w:tcW w:w="440" w:type="dxa"/>
            <w:vAlign w:val="bottom"/>
          </w:tcPr>
          <w:p>
            <w:pPr>
              <w:jc w:val="right"/>
              <w:spacing w:after="0"/>
              <w:rPr>
                <w:sz w:val="20"/>
                <w:szCs w:val="20"/>
                <w:color w:val="auto"/>
              </w:rPr>
            </w:pPr>
            <w:r>
              <w:rPr>
                <w:rFonts w:ascii="Arial" w:cs="Arial" w:eastAsia="Arial" w:hAnsi="Arial"/>
                <w:sz w:val="20"/>
                <w:szCs w:val="20"/>
                <w:color w:val="231F20"/>
              </w:rPr>
              <w:t>42</w:t>
            </w:r>
          </w:p>
        </w:tc>
        <w:tc>
          <w:tcPr>
            <w:tcW w:w="0" w:type="dxa"/>
            <w:vAlign w:val="bottom"/>
          </w:tcPr>
          <w:p>
            <w:pPr>
              <w:spacing w:after="0"/>
              <w:rPr>
                <w:sz w:val="1"/>
                <w:szCs w:val="1"/>
                <w:color w:val="auto"/>
              </w:rPr>
            </w:pPr>
          </w:p>
        </w:tc>
      </w:tr>
      <w:tr>
        <w:trPr>
          <w:trHeight w:val="231"/>
        </w:trPr>
        <w:tc>
          <w:tcPr>
            <w:tcW w:w="840" w:type="dxa"/>
            <w:vAlign w:val="bottom"/>
          </w:tcPr>
          <w:p>
            <w:pPr>
              <w:spacing w:after="0"/>
              <w:rPr>
                <w:sz w:val="20"/>
                <w:szCs w:val="20"/>
                <w:color w:val="auto"/>
              </w:rPr>
            </w:pPr>
            <w:r>
              <w:rPr>
                <w:rFonts w:ascii="Arial" w:cs="Arial" w:eastAsia="Arial" w:hAnsi="Arial"/>
                <w:sz w:val="20"/>
                <w:szCs w:val="20"/>
                <w:color w:val="231F20"/>
              </w:rPr>
              <w:t>Item 8.</w:t>
            </w:r>
          </w:p>
        </w:tc>
        <w:tc>
          <w:tcPr>
            <w:tcW w:w="8200" w:type="dxa"/>
            <w:vAlign w:val="bottom"/>
          </w:tcPr>
          <w:p>
            <w:pPr>
              <w:ind w:left="20"/>
              <w:spacing w:after="0"/>
              <w:rPr>
                <w:sz w:val="20"/>
                <w:szCs w:val="20"/>
                <w:color w:val="auto"/>
              </w:rPr>
            </w:pPr>
            <w:r>
              <w:rPr>
                <w:rFonts w:ascii="Arial" w:cs="Arial" w:eastAsia="Arial" w:hAnsi="Arial"/>
                <w:sz w:val="20"/>
                <w:szCs w:val="20"/>
                <w:color w:val="231F20"/>
              </w:rPr>
              <w:t>Financial Statements and Supplementary Data.</w:t>
            </w:r>
          </w:p>
        </w:tc>
        <w:tc>
          <w:tcPr>
            <w:tcW w:w="440" w:type="dxa"/>
            <w:vAlign w:val="bottom"/>
          </w:tcPr>
          <w:p>
            <w:pPr>
              <w:jc w:val="right"/>
              <w:spacing w:after="0"/>
              <w:rPr>
                <w:sz w:val="20"/>
                <w:szCs w:val="20"/>
                <w:color w:val="auto"/>
              </w:rPr>
            </w:pPr>
            <w:r>
              <w:rPr>
                <w:rFonts w:ascii="Arial" w:cs="Arial" w:eastAsia="Arial" w:hAnsi="Arial"/>
                <w:sz w:val="20"/>
                <w:szCs w:val="20"/>
                <w:color w:val="231F20"/>
              </w:rPr>
              <w:t>43</w:t>
            </w:r>
          </w:p>
        </w:tc>
        <w:tc>
          <w:tcPr>
            <w:tcW w:w="0" w:type="dxa"/>
            <w:vAlign w:val="bottom"/>
          </w:tcPr>
          <w:p>
            <w:pPr>
              <w:spacing w:after="0"/>
              <w:rPr>
                <w:sz w:val="1"/>
                <w:szCs w:val="1"/>
                <w:color w:val="auto"/>
              </w:rPr>
            </w:pPr>
          </w:p>
        </w:tc>
      </w:tr>
      <w:tr>
        <w:trPr>
          <w:trHeight w:val="235"/>
        </w:trPr>
        <w:tc>
          <w:tcPr>
            <w:tcW w:w="84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20"/>
                <w:szCs w:val="20"/>
                <w:color w:val="231F20"/>
              </w:rPr>
              <w:t>Notes to Consolidated Financial Statements</w:t>
            </w:r>
            <w:r>
              <w:rPr>
                <w:rFonts w:ascii="Times New Roman" w:cs="Times New Roman" w:eastAsia="Times New Roman" w:hAnsi="Times New Roman"/>
                <w:sz w:val="20"/>
                <w:szCs w:val="20"/>
                <w:color w:val="231F20"/>
              </w:rPr>
              <w:t>.</w:t>
            </w:r>
          </w:p>
        </w:tc>
        <w:tc>
          <w:tcPr>
            <w:tcW w:w="440" w:type="dxa"/>
            <w:vAlign w:val="bottom"/>
          </w:tcPr>
          <w:p>
            <w:pPr>
              <w:jc w:val="right"/>
              <w:spacing w:after="0"/>
              <w:rPr>
                <w:sz w:val="20"/>
                <w:szCs w:val="20"/>
                <w:color w:val="auto"/>
              </w:rPr>
            </w:pPr>
            <w:r>
              <w:rPr>
                <w:rFonts w:ascii="Arial" w:cs="Arial" w:eastAsia="Arial" w:hAnsi="Arial"/>
                <w:sz w:val="20"/>
                <w:szCs w:val="20"/>
                <w:color w:val="231F20"/>
              </w:rPr>
              <w:t>53</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9.</w:t>
            </w:r>
          </w:p>
        </w:tc>
        <w:tc>
          <w:tcPr>
            <w:tcW w:w="8200" w:type="dxa"/>
            <w:vAlign w:val="bottom"/>
          </w:tcPr>
          <w:p>
            <w:pPr>
              <w:ind w:left="20"/>
              <w:spacing w:after="0"/>
              <w:rPr>
                <w:sz w:val="20"/>
                <w:szCs w:val="20"/>
                <w:color w:val="auto"/>
              </w:rPr>
            </w:pPr>
            <w:r>
              <w:rPr>
                <w:rFonts w:ascii="Arial" w:cs="Arial" w:eastAsia="Arial" w:hAnsi="Arial"/>
                <w:sz w:val="20"/>
                <w:szCs w:val="20"/>
                <w:color w:val="231F20"/>
              </w:rPr>
              <w:t>Changes in and Disagreements With Accountants on Accounting and Financial</w:t>
            </w:r>
          </w:p>
        </w:tc>
        <w:tc>
          <w:tcPr>
            <w:tcW w:w="440" w:type="dxa"/>
            <w:vAlign w:val="bottom"/>
          </w:tcPr>
          <w:p>
            <w:pPr>
              <w:jc w:val="right"/>
              <w:spacing w:after="0"/>
              <w:rPr>
                <w:sz w:val="20"/>
                <w:szCs w:val="20"/>
                <w:color w:val="auto"/>
              </w:rPr>
            </w:pPr>
            <w:r>
              <w:rPr>
                <w:rFonts w:ascii="Arial" w:cs="Arial" w:eastAsia="Arial" w:hAnsi="Arial"/>
                <w:sz w:val="20"/>
                <w:szCs w:val="20"/>
                <w:color w:val="231F20"/>
              </w:rPr>
              <w:t>90</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20"/>
                <w:szCs w:val="20"/>
                <w:color w:val="231F20"/>
              </w:rPr>
              <w:t>Disclosure.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9A.</w:t>
            </w:r>
          </w:p>
        </w:tc>
        <w:tc>
          <w:tcPr>
            <w:tcW w:w="8200" w:type="dxa"/>
            <w:vAlign w:val="bottom"/>
          </w:tcPr>
          <w:p>
            <w:pPr>
              <w:ind w:left="20"/>
              <w:spacing w:after="0"/>
              <w:rPr>
                <w:sz w:val="20"/>
                <w:szCs w:val="20"/>
                <w:color w:val="auto"/>
              </w:rPr>
            </w:pPr>
            <w:r>
              <w:rPr>
                <w:rFonts w:ascii="Arial" w:cs="Arial" w:eastAsia="Arial" w:hAnsi="Arial"/>
                <w:sz w:val="20"/>
                <w:szCs w:val="20"/>
                <w:color w:val="231F20"/>
              </w:rPr>
              <w:t>Controls and Procedures.</w:t>
            </w:r>
          </w:p>
        </w:tc>
        <w:tc>
          <w:tcPr>
            <w:tcW w:w="440" w:type="dxa"/>
            <w:vAlign w:val="bottom"/>
          </w:tcPr>
          <w:p>
            <w:pPr>
              <w:jc w:val="right"/>
              <w:spacing w:after="0"/>
              <w:rPr>
                <w:sz w:val="20"/>
                <w:szCs w:val="20"/>
                <w:color w:val="auto"/>
              </w:rPr>
            </w:pPr>
            <w:r>
              <w:rPr>
                <w:rFonts w:ascii="Arial" w:cs="Arial" w:eastAsia="Arial" w:hAnsi="Arial"/>
                <w:sz w:val="20"/>
                <w:szCs w:val="20"/>
                <w:color w:val="231F20"/>
              </w:rPr>
              <w:t>90</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9B.</w:t>
            </w:r>
          </w:p>
        </w:tc>
        <w:tc>
          <w:tcPr>
            <w:tcW w:w="8200" w:type="dxa"/>
            <w:vAlign w:val="bottom"/>
          </w:tcPr>
          <w:p>
            <w:pPr>
              <w:ind w:left="20"/>
              <w:spacing w:after="0"/>
              <w:rPr>
                <w:sz w:val="20"/>
                <w:szCs w:val="20"/>
                <w:color w:val="auto"/>
              </w:rPr>
            </w:pPr>
            <w:r>
              <w:rPr>
                <w:rFonts w:ascii="Arial" w:cs="Arial" w:eastAsia="Arial" w:hAnsi="Arial"/>
                <w:sz w:val="20"/>
                <w:szCs w:val="20"/>
                <w:color w:val="231F20"/>
              </w:rPr>
              <w:t>Other Information.</w:t>
            </w:r>
          </w:p>
        </w:tc>
        <w:tc>
          <w:tcPr>
            <w:tcW w:w="440" w:type="dxa"/>
            <w:vAlign w:val="bottom"/>
          </w:tcPr>
          <w:p>
            <w:pPr>
              <w:jc w:val="right"/>
              <w:spacing w:after="0"/>
              <w:rPr>
                <w:sz w:val="20"/>
                <w:szCs w:val="20"/>
                <w:color w:val="auto"/>
              </w:rPr>
            </w:pPr>
            <w:r>
              <w:rPr>
                <w:rFonts w:ascii="Arial" w:cs="Arial" w:eastAsia="Arial" w:hAnsi="Arial"/>
                <w:sz w:val="20"/>
                <w:szCs w:val="20"/>
                <w:color w:val="231F20"/>
              </w:rPr>
              <w:t>90</w:t>
            </w:r>
          </w:p>
        </w:tc>
        <w:tc>
          <w:tcPr>
            <w:tcW w:w="0" w:type="dxa"/>
            <w:vAlign w:val="bottom"/>
          </w:tcPr>
          <w:p>
            <w:pPr>
              <w:spacing w:after="0"/>
              <w:rPr>
                <w:sz w:val="1"/>
                <w:szCs w:val="1"/>
                <w:color w:val="auto"/>
              </w:rPr>
            </w:pPr>
          </w:p>
        </w:tc>
      </w:tr>
      <w:tr>
        <w:trPr>
          <w:trHeight w:val="273"/>
        </w:trPr>
        <w:tc>
          <w:tcPr>
            <w:tcW w:w="840" w:type="dxa"/>
            <w:vAlign w:val="bottom"/>
          </w:tcPr>
          <w:p>
            <w:pPr>
              <w:spacing w:after="0"/>
              <w:rPr>
                <w:sz w:val="20"/>
                <w:szCs w:val="20"/>
                <w:color w:val="auto"/>
              </w:rPr>
            </w:pPr>
            <w:r>
              <w:rPr>
                <w:rFonts w:ascii="Arial" w:cs="Arial" w:eastAsia="Arial" w:hAnsi="Arial"/>
                <w:sz w:val="20"/>
                <w:szCs w:val="20"/>
                <w:color w:val="231F20"/>
              </w:rPr>
              <w:t>Item 9C.</w:t>
            </w:r>
          </w:p>
        </w:tc>
        <w:tc>
          <w:tcPr>
            <w:tcW w:w="8200" w:type="dxa"/>
            <w:vAlign w:val="bottom"/>
          </w:tcPr>
          <w:p>
            <w:pPr>
              <w:ind w:left="20"/>
              <w:spacing w:after="0"/>
              <w:rPr>
                <w:sz w:val="20"/>
                <w:szCs w:val="20"/>
                <w:color w:val="auto"/>
              </w:rPr>
            </w:pPr>
            <w:r>
              <w:rPr>
                <w:rFonts w:ascii="Arial" w:cs="Arial" w:eastAsia="Arial" w:hAnsi="Arial"/>
                <w:sz w:val="20"/>
                <w:szCs w:val="20"/>
                <w:color w:val="231F20"/>
              </w:rPr>
              <w:t>Disclosure Regarding Foreign Jurisdictions that Prevent Inspections.</w:t>
            </w:r>
          </w:p>
        </w:tc>
        <w:tc>
          <w:tcPr>
            <w:tcW w:w="440" w:type="dxa"/>
            <w:vAlign w:val="bottom"/>
          </w:tcPr>
          <w:p>
            <w:pPr>
              <w:jc w:val="right"/>
              <w:spacing w:after="0"/>
              <w:rPr>
                <w:sz w:val="20"/>
                <w:szCs w:val="20"/>
                <w:color w:val="auto"/>
              </w:rPr>
            </w:pPr>
            <w:r>
              <w:rPr>
                <w:rFonts w:ascii="Arial" w:cs="Arial" w:eastAsia="Arial" w:hAnsi="Arial"/>
                <w:sz w:val="20"/>
                <w:szCs w:val="20"/>
                <w:color w:val="231F20"/>
              </w:rPr>
              <w:t>91</w:t>
            </w:r>
          </w:p>
        </w:tc>
        <w:tc>
          <w:tcPr>
            <w:tcW w:w="0" w:type="dxa"/>
            <w:vAlign w:val="bottom"/>
          </w:tcPr>
          <w:p>
            <w:pPr>
              <w:spacing w:after="0"/>
              <w:rPr>
                <w:sz w:val="1"/>
                <w:szCs w:val="1"/>
                <w:color w:val="auto"/>
              </w:rPr>
            </w:pPr>
          </w:p>
        </w:tc>
      </w:tr>
      <w:tr>
        <w:trPr>
          <w:trHeight w:val="425"/>
        </w:trPr>
        <w:tc>
          <w:tcPr>
            <w:tcW w:w="840" w:type="dxa"/>
            <w:vAlign w:val="bottom"/>
          </w:tcPr>
          <w:p>
            <w:pPr>
              <w:spacing w:after="0"/>
              <w:rPr>
                <w:sz w:val="20"/>
                <w:szCs w:val="20"/>
                <w:color w:val="auto"/>
              </w:rPr>
            </w:pPr>
            <w:r>
              <w:rPr>
                <w:rFonts w:ascii="Arial" w:cs="Arial" w:eastAsia="Arial" w:hAnsi="Arial"/>
                <w:sz w:val="20"/>
                <w:szCs w:val="20"/>
                <w:b w:val="1"/>
                <w:bCs w:val="1"/>
                <w:color w:val="231F20"/>
              </w:rPr>
              <w:t>PART III</w:t>
            </w:r>
          </w:p>
        </w:tc>
        <w:tc>
          <w:tcPr>
            <w:tcW w:w="8200" w:type="dxa"/>
            <w:vAlign w:val="bottom"/>
            <w:vMerge w:val="restart"/>
          </w:tcPr>
          <w:p>
            <w:pPr>
              <w:ind w:left="20"/>
              <w:spacing w:after="0"/>
              <w:rPr>
                <w:sz w:val="20"/>
                <w:szCs w:val="20"/>
                <w:color w:val="auto"/>
              </w:rPr>
            </w:pPr>
            <w:r>
              <w:rPr>
                <w:rFonts w:ascii="Arial" w:cs="Arial" w:eastAsia="Arial" w:hAnsi="Arial"/>
                <w:sz w:val="20"/>
                <w:szCs w:val="20"/>
                <w:color w:val="231F20"/>
              </w:rPr>
              <w:t>Directors, Executive Officers and Corporate Governance</w:t>
            </w:r>
            <w:r>
              <w:rPr>
                <w:rFonts w:ascii="Times New Roman" w:cs="Times New Roman" w:eastAsia="Times New Roman" w:hAnsi="Times New Roman"/>
                <w:sz w:val="20"/>
                <w:szCs w:val="20"/>
                <w:color w:val="231F20"/>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40" w:type="dxa"/>
            <w:vAlign w:val="bottom"/>
          </w:tcPr>
          <w:p>
            <w:pPr>
              <w:spacing w:after="0"/>
              <w:rPr>
                <w:sz w:val="20"/>
                <w:szCs w:val="20"/>
                <w:color w:val="auto"/>
              </w:rPr>
            </w:pPr>
            <w:r>
              <w:rPr>
                <w:rFonts w:ascii="Arial" w:cs="Arial" w:eastAsia="Arial" w:hAnsi="Arial"/>
                <w:sz w:val="20"/>
                <w:szCs w:val="20"/>
                <w:color w:val="231F20"/>
              </w:rPr>
              <w:t>Item 10.</w:t>
            </w:r>
          </w:p>
        </w:tc>
        <w:tc>
          <w:tcPr>
            <w:tcW w:w="8200" w:type="dxa"/>
            <w:vAlign w:val="bottom"/>
            <w:vMerge w:val="continue"/>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231F20"/>
              </w:rPr>
              <w:t>92</w:t>
            </w:r>
          </w:p>
        </w:tc>
        <w:tc>
          <w:tcPr>
            <w:tcW w:w="0" w:type="dxa"/>
            <w:vAlign w:val="bottom"/>
          </w:tcPr>
          <w:p>
            <w:pPr>
              <w:spacing w:after="0"/>
              <w:rPr>
                <w:sz w:val="1"/>
                <w:szCs w:val="1"/>
                <w:color w:val="auto"/>
              </w:rPr>
            </w:pPr>
          </w:p>
        </w:tc>
      </w:tr>
      <w:tr>
        <w:trPr>
          <w:trHeight w:val="235"/>
        </w:trPr>
        <w:tc>
          <w:tcPr>
            <w:tcW w:w="840" w:type="dxa"/>
            <w:vAlign w:val="bottom"/>
          </w:tcPr>
          <w:p>
            <w:pPr>
              <w:spacing w:after="0"/>
              <w:rPr>
                <w:sz w:val="20"/>
                <w:szCs w:val="20"/>
                <w:color w:val="auto"/>
              </w:rPr>
            </w:pPr>
            <w:r>
              <w:rPr>
                <w:rFonts w:ascii="Arial" w:cs="Arial" w:eastAsia="Arial" w:hAnsi="Arial"/>
                <w:sz w:val="20"/>
                <w:szCs w:val="20"/>
                <w:color w:val="231F20"/>
              </w:rPr>
              <w:t>Item 11.</w:t>
            </w:r>
          </w:p>
        </w:tc>
        <w:tc>
          <w:tcPr>
            <w:tcW w:w="8200" w:type="dxa"/>
            <w:vAlign w:val="bottom"/>
          </w:tcPr>
          <w:p>
            <w:pPr>
              <w:ind w:left="20"/>
              <w:spacing w:after="0"/>
              <w:rPr>
                <w:sz w:val="20"/>
                <w:szCs w:val="20"/>
                <w:color w:val="auto"/>
              </w:rPr>
            </w:pPr>
            <w:r>
              <w:rPr>
                <w:rFonts w:ascii="Arial" w:cs="Arial" w:eastAsia="Arial" w:hAnsi="Arial"/>
                <w:sz w:val="20"/>
                <w:szCs w:val="20"/>
                <w:color w:val="231F20"/>
              </w:rPr>
              <w:t>Executive Compensation</w:t>
            </w:r>
            <w:r>
              <w:rPr>
                <w:rFonts w:ascii="Times New Roman" w:cs="Times New Roman" w:eastAsia="Times New Roman" w:hAnsi="Times New Roman"/>
                <w:sz w:val="20"/>
                <w:szCs w:val="20"/>
                <w:color w:val="231F20"/>
              </w:rPr>
              <w:t>.</w:t>
            </w:r>
          </w:p>
        </w:tc>
        <w:tc>
          <w:tcPr>
            <w:tcW w:w="440" w:type="dxa"/>
            <w:vAlign w:val="bottom"/>
          </w:tcPr>
          <w:p>
            <w:pPr>
              <w:jc w:val="right"/>
              <w:spacing w:after="0"/>
              <w:rPr>
                <w:sz w:val="20"/>
                <w:szCs w:val="20"/>
                <w:color w:val="auto"/>
              </w:rPr>
            </w:pPr>
            <w:r>
              <w:rPr>
                <w:rFonts w:ascii="Arial" w:cs="Arial" w:eastAsia="Arial" w:hAnsi="Arial"/>
                <w:sz w:val="20"/>
                <w:szCs w:val="20"/>
                <w:color w:val="231F20"/>
              </w:rPr>
              <w:t>92</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12.</w:t>
            </w:r>
          </w:p>
        </w:tc>
        <w:tc>
          <w:tcPr>
            <w:tcW w:w="8200" w:type="dxa"/>
            <w:vAlign w:val="bottom"/>
          </w:tcPr>
          <w:p>
            <w:pPr>
              <w:ind w:left="20"/>
              <w:spacing w:after="0"/>
              <w:rPr>
                <w:sz w:val="20"/>
                <w:szCs w:val="20"/>
                <w:color w:val="auto"/>
              </w:rPr>
            </w:pPr>
            <w:r>
              <w:rPr>
                <w:rFonts w:ascii="Arial" w:cs="Arial" w:eastAsia="Arial" w:hAnsi="Arial"/>
                <w:sz w:val="20"/>
                <w:szCs w:val="20"/>
                <w:color w:val="231F20"/>
              </w:rPr>
              <w:t>Security Ownership of Certain Beneficial Owners and Management and Related</w:t>
            </w:r>
          </w:p>
        </w:tc>
        <w:tc>
          <w:tcPr>
            <w:tcW w:w="440" w:type="dxa"/>
            <w:vAlign w:val="bottom"/>
          </w:tcPr>
          <w:p>
            <w:pPr>
              <w:jc w:val="right"/>
              <w:spacing w:after="0"/>
              <w:rPr>
                <w:sz w:val="20"/>
                <w:szCs w:val="20"/>
                <w:color w:val="auto"/>
              </w:rPr>
            </w:pPr>
            <w:r>
              <w:rPr>
                <w:rFonts w:ascii="Arial" w:cs="Arial" w:eastAsia="Arial" w:hAnsi="Arial"/>
                <w:sz w:val="20"/>
                <w:szCs w:val="20"/>
                <w:color w:val="231F20"/>
              </w:rPr>
              <w:t>92</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p>
        </w:tc>
        <w:tc>
          <w:tcPr>
            <w:tcW w:w="8200" w:type="dxa"/>
            <w:vAlign w:val="bottom"/>
          </w:tcPr>
          <w:p>
            <w:pPr>
              <w:ind w:left="20"/>
              <w:spacing w:after="0"/>
              <w:rPr>
                <w:sz w:val="20"/>
                <w:szCs w:val="20"/>
                <w:color w:val="auto"/>
              </w:rPr>
            </w:pPr>
            <w:r>
              <w:rPr>
                <w:rFonts w:ascii="Arial" w:cs="Arial" w:eastAsia="Arial" w:hAnsi="Arial"/>
                <w:sz w:val="20"/>
                <w:szCs w:val="20"/>
                <w:color w:val="231F20"/>
              </w:rPr>
              <w:t>Stockholder Matters.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13.</w:t>
            </w:r>
          </w:p>
        </w:tc>
        <w:tc>
          <w:tcPr>
            <w:tcW w:w="8200" w:type="dxa"/>
            <w:vAlign w:val="bottom"/>
          </w:tcPr>
          <w:p>
            <w:pPr>
              <w:ind w:left="20"/>
              <w:spacing w:after="0"/>
              <w:rPr>
                <w:sz w:val="20"/>
                <w:szCs w:val="20"/>
                <w:color w:val="auto"/>
              </w:rPr>
            </w:pPr>
            <w:r>
              <w:rPr>
                <w:rFonts w:ascii="Arial" w:cs="Arial" w:eastAsia="Arial" w:hAnsi="Arial"/>
                <w:sz w:val="20"/>
                <w:szCs w:val="20"/>
                <w:color w:val="231F20"/>
              </w:rPr>
              <w:t>Certain Relationships and Related Transactions, and Director Independence.</w:t>
            </w:r>
          </w:p>
        </w:tc>
        <w:tc>
          <w:tcPr>
            <w:tcW w:w="440" w:type="dxa"/>
            <w:vAlign w:val="bottom"/>
          </w:tcPr>
          <w:p>
            <w:pPr>
              <w:jc w:val="right"/>
              <w:spacing w:after="0"/>
              <w:rPr>
                <w:sz w:val="20"/>
                <w:szCs w:val="20"/>
                <w:color w:val="auto"/>
              </w:rPr>
            </w:pPr>
            <w:r>
              <w:rPr>
                <w:rFonts w:ascii="Arial" w:cs="Arial" w:eastAsia="Arial" w:hAnsi="Arial"/>
                <w:sz w:val="20"/>
                <w:szCs w:val="20"/>
                <w:color w:val="231F20"/>
              </w:rPr>
              <w:t>92</w:t>
            </w:r>
          </w:p>
        </w:tc>
        <w:tc>
          <w:tcPr>
            <w:tcW w:w="0" w:type="dxa"/>
            <w:vAlign w:val="bottom"/>
          </w:tcPr>
          <w:p>
            <w:pPr>
              <w:spacing w:after="0"/>
              <w:rPr>
                <w:sz w:val="1"/>
                <w:szCs w:val="1"/>
                <w:color w:val="auto"/>
              </w:rPr>
            </w:pPr>
          </w:p>
        </w:tc>
      </w:tr>
      <w:tr>
        <w:trPr>
          <w:trHeight w:val="273"/>
        </w:trPr>
        <w:tc>
          <w:tcPr>
            <w:tcW w:w="840" w:type="dxa"/>
            <w:vAlign w:val="bottom"/>
          </w:tcPr>
          <w:p>
            <w:pPr>
              <w:spacing w:after="0"/>
              <w:rPr>
                <w:sz w:val="20"/>
                <w:szCs w:val="20"/>
                <w:color w:val="auto"/>
              </w:rPr>
            </w:pPr>
            <w:r>
              <w:rPr>
                <w:rFonts w:ascii="Arial" w:cs="Arial" w:eastAsia="Arial" w:hAnsi="Arial"/>
                <w:sz w:val="20"/>
                <w:szCs w:val="20"/>
                <w:color w:val="231F20"/>
              </w:rPr>
              <w:t>Item 14.</w:t>
            </w:r>
          </w:p>
        </w:tc>
        <w:tc>
          <w:tcPr>
            <w:tcW w:w="8200" w:type="dxa"/>
            <w:vAlign w:val="bottom"/>
          </w:tcPr>
          <w:p>
            <w:pPr>
              <w:ind w:left="20"/>
              <w:spacing w:after="0"/>
              <w:rPr>
                <w:sz w:val="20"/>
                <w:szCs w:val="20"/>
                <w:color w:val="auto"/>
              </w:rPr>
            </w:pPr>
            <w:r>
              <w:rPr>
                <w:rFonts w:ascii="Arial" w:cs="Arial" w:eastAsia="Arial" w:hAnsi="Arial"/>
                <w:sz w:val="20"/>
                <w:szCs w:val="20"/>
                <w:color w:val="231F20"/>
              </w:rPr>
              <w:t>Principal Accountant Fees and Services.</w:t>
            </w:r>
          </w:p>
        </w:tc>
        <w:tc>
          <w:tcPr>
            <w:tcW w:w="440" w:type="dxa"/>
            <w:vAlign w:val="bottom"/>
          </w:tcPr>
          <w:p>
            <w:pPr>
              <w:jc w:val="right"/>
              <w:spacing w:after="0"/>
              <w:rPr>
                <w:sz w:val="20"/>
                <w:szCs w:val="20"/>
                <w:color w:val="auto"/>
              </w:rPr>
            </w:pPr>
            <w:r>
              <w:rPr>
                <w:rFonts w:ascii="Arial" w:cs="Arial" w:eastAsia="Arial" w:hAnsi="Arial"/>
                <w:sz w:val="20"/>
                <w:szCs w:val="20"/>
                <w:color w:val="231F20"/>
              </w:rPr>
              <w:t>92</w:t>
            </w:r>
          </w:p>
        </w:tc>
        <w:tc>
          <w:tcPr>
            <w:tcW w:w="0" w:type="dxa"/>
            <w:vAlign w:val="bottom"/>
          </w:tcPr>
          <w:p>
            <w:pPr>
              <w:spacing w:after="0"/>
              <w:rPr>
                <w:sz w:val="1"/>
                <w:szCs w:val="1"/>
                <w:color w:val="auto"/>
              </w:rPr>
            </w:pPr>
          </w:p>
        </w:tc>
      </w:tr>
      <w:tr>
        <w:trPr>
          <w:trHeight w:val="425"/>
        </w:trPr>
        <w:tc>
          <w:tcPr>
            <w:tcW w:w="840" w:type="dxa"/>
            <w:vAlign w:val="bottom"/>
          </w:tcPr>
          <w:p>
            <w:pPr>
              <w:spacing w:after="0"/>
              <w:rPr>
                <w:sz w:val="20"/>
                <w:szCs w:val="20"/>
                <w:color w:val="auto"/>
              </w:rPr>
            </w:pPr>
            <w:r>
              <w:rPr>
                <w:rFonts w:ascii="Arial" w:cs="Arial" w:eastAsia="Arial" w:hAnsi="Arial"/>
                <w:sz w:val="20"/>
                <w:szCs w:val="20"/>
                <w:b w:val="1"/>
                <w:bCs w:val="1"/>
                <w:color w:val="231F20"/>
              </w:rPr>
              <w:t>PART IV</w:t>
            </w:r>
          </w:p>
        </w:tc>
        <w:tc>
          <w:tcPr>
            <w:tcW w:w="8200" w:type="dxa"/>
            <w:vAlign w:val="bottom"/>
            <w:vMerge w:val="restart"/>
          </w:tcPr>
          <w:p>
            <w:pPr>
              <w:ind w:left="20"/>
              <w:spacing w:after="0"/>
              <w:rPr>
                <w:sz w:val="20"/>
                <w:szCs w:val="20"/>
                <w:color w:val="auto"/>
              </w:rPr>
            </w:pPr>
            <w:r>
              <w:rPr>
                <w:rFonts w:ascii="Arial" w:cs="Arial" w:eastAsia="Arial" w:hAnsi="Arial"/>
                <w:sz w:val="20"/>
                <w:szCs w:val="20"/>
                <w:color w:val="231F20"/>
              </w:rPr>
              <w:t>Exhibits and Financial Statement Schedules</w:t>
            </w:r>
            <w:r>
              <w:rPr>
                <w:rFonts w:ascii="Times New Roman" w:cs="Times New Roman" w:eastAsia="Times New Roman" w:hAnsi="Times New Roman"/>
                <w:sz w:val="20"/>
                <w:szCs w:val="20"/>
                <w:color w:val="231F20"/>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15.</w:t>
            </w:r>
          </w:p>
        </w:tc>
        <w:tc>
          <w:tcPr>
            <w:tcW w:w="8200" w:type="dxa"/>
            <w:vAlign w:val="bottom"/>
            <w:vMerge w:val="continue"/>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231F20"/>
              </w:rPr>
              <w:t>93</w:t>
            </w:r>
          </w:p>
        </w:tc>
        <w:tc>
          <w:tcPr>
            <w:tcW w:w="0" w:type="dxa"/>
            <w:vAlign w:val="bottom"/>
          </w:tcPr>
          <w:p>
            <w:pPr>
              <w:spacing w:after="0"/>
              <w:rPr>
                <w:sz w:val="1"/>
                <w:szCs w:val="1"/>
                <w:color w:val="auto"/>
              </w:rPr>
            </w:pPr>
          </w:p>
        </w:tc>
      </w:tr>
      <w:tr>
        <w:trPr>
          <w:trHeight w:val="233"/>
        </w:trPr>
        <w:tc>
          <w:tcPr>
            <w:tcW w:w="840" w:type="dxa"/>
            <w:vAlign w:val="bottom"/>
          </w:tcPr>
          <w:p>
            <w:pPr>
              <w:spacing w:after="0"/>
              <w:rPr>
                <w:sz w:val="20"/>
                <w:szCs w:val="20"/>
                <w:color w:val="auto"/>
              </w:rPr>
            </w:pPr>
            <w:r>
              <w:rPr>
                <w:rFonts w:ascii="Arial" w:cs="Arial" w:eastAsia="Arial" w:hAnsi="Arial"/>
                <w:sz w:val="20"/>
                <w:szCs w:val="20"/>
                <w:color w:val="231F20"/>
              </w:rPr>
              <w:t>Item 16.</w:t>
            </w:r>
          </w:p>
        </w:tc>
        <w:tc>
          <w:tcPr>
            <w:tcW w:w="8200" w:type="dxa"/>
            <w:vAlign w:val="bottom"/>
          </w:tcPr>
          <w:p>
            <w:pPr>
              <w:ind w:left="20"/>
              <w:spacing w:after="0"/>
              <w:rPr>
                <w:sz w:val="20"/>
                <w:szCs w:val="20"/>
                <w:color w:val="auto"/>
              </w:rPr>
            </w:pPr>
            <w:r>
              <w:rPr>
                <w:rFonts w:ascii="Arial" w:cs="Arial" w:eastAsia="Arial" w:hAnsi="Arial"/>
                <w:sz w:val="20"/>
                <w:szCs w:val="20"/>
                <w:color w:val="231F20"/>
              </w:rPr>
              <w:t>Form 10-K Summary.</w:t>
            </w:r>
          </w:p>
        </w:tc>
        <w:tc>
          <w:tcPr>
            <w:tcW w:w="440" w:type="dxa"/>
            <w:vAlign w:val="bottom"/>
          </w:tcPr>
          <w:p>
            <w:pPr>
              <w:jc w:val="right"/>
              <w:spacing w:after="0"/>
              <w:rPr>
                <w:sz w:val="20"/>
                <w:szCs w:val="20"/>
                <w:color w:val="auto"/>
              </w:rPr>
            </w:pPr>
            <w:r>
              <w:rPr>
                <w:rFonts w:ascii="Arial" w:cs="Arial" w:eastAsia="Arial" w:hAnsi="Arial"/>
                <w:sz w:val="20"/>
                <w:szCs w:val="20"/>
                <w:color w:val="231F20"/>
              </w:rPr>
              <w:t>96</w:t>
            </w:r>
          </w:p>
        </w:tc>
        <w:tc>
          <w:tcPr>
            <w:tcW w:w="0" w:type="dxa"/>
            <w:vAlign w:val="bottom"/>
          </w:tcPr>
          <w:p>
            <w:pPr>
              <w:spacing w:after="0"/>
              <w:rPr>
                <w:sz w:val="1"/>
                <w:szCs w:val="1"/>
                <w:color w:val="auto"/>
              </w:rPr>
            </w:pPr>
          </w:p>
        </w:tc>
      </w:tr>
      <w:tr>
        <w:trPr>
          <w:trHeight w:val="233"/>
        </w:trPr>
        <w:tc>
          <w:tcPr>
            <w:tcW w:w="9040" w:type="dxa"/>
            <w:vAlign w:val="bottom"/>
            <w:gridSpan w:val="2"/>
          </w:tcPr>
          <w:p>
            <w:pPr>
              <w:spacing w:after="0"/>
              <w:rPr>
                <w:sz w:val="20"/>
                <w:szCs w:val="20"/>
                <w:color w:val="auto"/>
              </w:rPr>
            </w:pPr>
            <w:r>
              <w:rPr>
                <w:rFonts w:ascii="Arial" w:cs="Arial" w:eastAsia="Arial" w:hAnsi="Arial"/>
                <w:sz w:val="20"/>
                <w:szCs w:val="20"/>
                <w:color w:val="231F20"/>
              </w:rPr>
              <w:t>Signatures</w:t>
            </w:r>
          </w:p>
        </w:tc>
        <w:tc>
          <w:tcPr>
            <w:tcW w:w="440" w:type="dxa"/>
            <w:vAlign w:val="bottom"/>
          </w:tcPr>
          <w:p>
            <w:pPr>
              <w:jc w:val="right"/>
              <w:spacing w:after="0"/>
              <w:rPr>
                <w:sz w:val="20"/>
                <w:szCs w:val="20"/>
                <w:color w:val="auto"/>
              </w:rPr>
            </w:pPr>
            <w:r>
              <w:rPr>
                <w:rFonts w:ascii="Arial" w:cs="Arial" w:eastAsia="Arial" w:hAnsi="Arial"/>
                <w:sz w:val="20"/>
                <w:szCs w:val="20"/>
                <w:color w:val="231F20"/>
              </w:rPr>
              <w:t>97</w:t>
            </w:r>
          </w:p>
        </w:tc>
        <w:tc>
          <w:tcPr>
            <w:tcW w:w="0" w:type="dxa"/>
            <w:vAlign w:val="bottom"/>
          </w:tcPr>
          <w:p>
            <w:pPr>
              <w:spacing w:after="0"/>
              <w:rPr>
                <w:sz w:val="1"/>
                <w:szCs w:val="1"/>
                <w:color w:val="auto"/>
              </w:rPr>
            </w:pPr>
          </w:p>
        </w:tc>
      </w:tr>
      <w:tr>
        <w:trPr>
          <w:trHeight w:val="273"/>
        </w:trPr>
        <w:tc>
          <w:tcPr>
            <w:tcW w:w="9040" w:type="dxa"/>
            <w:vAlign w:val="bottom"/>
            <w:gridSpan w:val="2"/>
          </w:tcPr>
          <w:p>
            <w:pPr>
              <w:spacing w:after="0"/>
              <w:rPr>
                <w:sz w:val="20"/>
                <w:szCs w:val="20"/>
                <w:color w:val="auto"/>
              </w:rPr>
            </w:pPr>
            <w:r>
              <w:rPr>
                <w:rFonts w:ascii="Arial" w:cs="Arial" w:eastAsia="Arial" w:hAnsi="Arial"/>
                <w:sz w:val="20"/>
                <w:szCs w:val="20"/>
                <w:color w:val="231F20"/>
              </w:rPr>
              <w:t>Schedule II Valuation and Qualifying Accounts</w:t>
            </w:r>
          </w:p>
        </w:tc>
        <w:tc>
          <w:tcPr>
            <w:tcW w:w="440" w:type="dxa"/>
            <w:vAlign w:val="bottom"/>
          </w:tcPr>
          <w:p>
            <w:pPr>
              <w:jc w:val="right"/>
              <w:spacing w:after="0"/>
              <w:rPr>
                <w:sz w:val="20"/>
                <w:szCs w:val="20"/>
                <w:color w:val="auto"/>
              </w:rPr>
            </w:pPr>
            <w:r>
              <w:rPr>
                <w:rFonts w:ascii="Arial" w:cs="Arial" w:eastAsia="Arial" w:hAnsi="Arial"/>
                <w:sz w:val="20"/>
                <w:szCs w:val="20"/>
                <w:color w:val="231F20"/>
              </w:rPr>
              <w:t>98</w:t>
            </w:r>
          </w:p>
        </w:tc>
        <w:tc>
          <w:tcPr>
            <w:tcW w:w="0" w:type="dxa"/>
            <w:vAlign w:val="bottom"/>
          </w:tcPr>
          <w:p>
            <w:pPr>
              <w:spacing w:after="0"/>
              <w:rPr>
                <w:sz w:val="1"/>
                <w:szCs w:val="1"/>
                <w:color w:val="auto"/>
              </w:rPr>
            </w:pPr>
          </w:p>
        </w:tc>
      </w:tr>
    </w:tbl>
    <w:p>
      <w:pPr>
        <w:sectPr>
          <w:pgSz w:w="12240" w:h="15840" w:orient="portrait"/>
          <w:cols w:equalWidth="0" w:num="1">
            <w:col w:w="9480"/>
          </w:cols>
          <w:pgMar w:left="1380" w:top="846" w:right="1380"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231F20"/>
        </w:rPr>
        <w:t>PART I</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231F20"/>
        </w:rPr>
        <w:t>Item 1.</w:t>
      </w:r>
      <w:r>
        <w:rPr>
          <w:sz w:val="20"/>
          <w:szCs w:val="20"/>
          <w:color w:val="auto"/>
        </w:rPr>
        <w:tab/>
      </w:r>
      <w:r>
        <w:rPr>
          <w:rFonts w:ascii="Arial" w:cs="Arial" w:eastAsia="Arial" w:hAnsi="Arial"/>
          <w:sz w:val="19"/>
          <w:szCs w:val="19"/>
          <w:b w:val="1"/>
          <w:bCs w:val="1"/>
          <w:color w:val="231F20"/>
        </w:rPr>
        <w:t>Business.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Cautionary Statement Concerning Forward-Looking Statements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231F20"/>
        </w:rPr>
        <w:t>This Annual Report on Form 10-K contains certain “forward-looking statements” made pursuant to the safe harbor provisions of Section 27A of the Securities Act of 1933, as amended (the “Securities Act”), and Section 21E of the Securities Exchange Act of 1934, as amended (the “Exchange Act”). Forward-looking statements include all statements that are not historical statements of fact and those regarding our intent, belief or expectations for our business, operations, financial performance or financial condition, in addition to statements regarding our expectations for the markets in which we operate, general business strategies, the market potential of our brands, trends in the housing market, the potential impact of costs, including material and labor costs, the potential impact of inflation, expected capital spending, expected pension contributions, the expected impact of acquisitions, dispositions and other strategic transactions including the expected benefits and costs of the spin-off of MasterBrand, Inc. and the tax-free nature of the spin-off transaction, the anticipated effects of recently issued accounting standards on our financial statements, and other matters that are not historical in nature. Statements that include the words “believes,” “expects,” “anticipates,” “intends,” “projects,” “estimates,” “plans,” “outlook,” “positioned”, “confident,” and “opportunity” and similar expressions or future or conditional verbs such as “will,” “should,” “would,” “may”, and “could” are generally forward-looking in nature and not historical facts. Where, in any forward-looking statement, we express an expectation or belief as to future results or events, such expectation or belief is based on current expectations, plans, estimates, assumptions and projections of our management about our industry, business and future financial results available at the time this report is filed with the Securities and Exchange Commission (the “SEC”). Although we believe that these statements are based on reasonable assumptions, they are subject to numerous factors, risks and uncertainties that could cause actual outcomes and results to be materially different from those indicated in such statements, including but not limited to those listed in the section below entitled “Risk Factors.” We undertake no obligation to, and expressly disclaim any such obligation to, update, amend, clarify or revise any forward-looking statements to reflect changed assumptions, the occurrence of anticipated or unanticipated events, new information or changes to future results over time or otherwise, except as required by law.</w:t>
      </w:r>
    </w:p>
    <w:p>
      <w:pPr>
        <w:spacing w:after="0" w:line="305"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231F20"/>
        </w:rPr>
        <w:t>Unless the context otherwise requires, references in this Annual Report on Form 10-K to “Fortune Brands,” the “Company,” “we,” “our” or “us” refer to Fortune Brands Innovations, Inc. and its consolidated subsidiaries.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Our Company</w:t>
      </w:r>
    </w:p>
    <w:p>
      <w:pPr>
        <w:spacing w:after="0" w:line="182"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231F20"/>
        </w:rPr>
        <w:t>We are a leading innovation company focused on creating smarter, safer and more beautiful homes and lives that competes in attractive long-term growth markets in our product categories. We sell our products through a wide array of sales channels, including kitchen and bath dealers, wholesalers oriented toward builders or professional remodelers, industrial and locksmith distributors, “do-it-yourself” remodeling-oriented home centers, showrooms, e-commerce and other retail outlets.</w:t>
      </w:r>
    </w:p>
    <w:p>
      <w:pPr>
        <w:spacing w:after="0" w:line="176"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231F20"/>
        </w:rPr>
        <w:t>On January 19, 2023, the Board of Directors of the Company approved a change to the Company’s fiscal year end from December 31 to a 52- or 53-week fiscal year ending on the Saturday closest but not subsequent to December 31 of each year, effective as of the commencement of the Company’s fiscal year on January 1, 2023. This change was made in order to align the Company’s fiscal year with that of its operating businesses and to align the Company’s reporting calendar with how the Company evaluates its businesses. The Company's fiscal 2023 year end is the 52-weeks ended December 30, 2023 (herein referred to as "2023").</w:t>
      </w:r>
    </w:p>
    <w:p>
      <w:pPr>
        <w:spacing w:after="0" w:line="133"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231F20"/>
        </w:rPr>
        <w:t>Effective in the first quarter of 2023, the Company revised its segment reporting from two reportable segments, Water Innovations (referred to as Water) and Outdoors &amp; Security, to three reportable segments, Water, Outdoors and Security. The change in segment reporting was made to align with changes made in the manner our chief operating decision maker reviews the Company’s operating results in assessing performance and allocating resources. Comparative prior period amounts have been recast to conform to the new segment presentation.</w:t>
      </w:r>
    </w:p>
    <w:p>
      <w:pPr>
        <w:sectPr>
          <w:pgSz w:w="12240" w:h="15840" w:orient="portrait"/>
          <w:cols w:equalWidth="0" w:num="1">
            <w:col w:w="9460"/>
          </w:cols>
          <w:pgMar w:left="1380" w:top="1336" w:right="1400" w:bottom="9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1</w:t>
      </w:r>
    </w:p>
    <w:p>
      <w:pPr>
        <w:sectPr>
          <w:pgSz w:w="12240" w:h="15840" w:orient="portrait"/>
          <w:cols w:equalWidth="0" w:num="1">
            <w:col w:w="9460"/>
          </w:cols>
          <w:pgMar w:left="1380" w:top="1336" w:right="1400" w:bottom="95" w:gutter="0" w:footer="0" w:header="0"/>
          <w:type w:val="continuous"/>
        </w:sectPr>
      </w:pPr>
    </w:p>
    <w:bookmarkStart w:id="9" w:name="page10"/>
    <w:bookmarkEnd w:id="9"/>
    <w:p>
      <w:pPr>
        <w:ind w:right="20"/>
        <w:spacing w:after="0" w:line="235" w:lineRule="auto"/>
        <w:rPr>
          <w:sz w:val="20"/>
          <w:szCs w:val="20"/>
          <w:color w:val="auto"/>
        </w:rPr>
      </w:pPr>
      <w:r>
        <w:rPr>
          <w:rFonts w:ascii="Arial" w:cs="Arial" w:eastAsia="Arial" w:hAnsi="Arial"/>
          <w:sz w:val="20"/>
          <w:szCs w:val="20"/>
          <w:color w:val="231F20"/>
        </w:rPr>
        <w:t>Historically, Fortune Brands operated a Cabinets business segment that manufactured and sold cabinets and vanities for the kitchen, bath and other parts of the home. On December 14, 2022, the Company completed the separation of its Cabinets business, MasterBrand, Inc. ("MasterBrand"), via a tax-free spin-off transaction (the "Separation"). The Separation created two independent, publicly traded companies. Immediately following completion of the Separation, the Company changed its name from "Fortune Brands Home &amp; Security, Inc." to "Fortune Brands Innovations, Inc." and its stock ticker symbol changed from "FBHS" to "FBIN" to better reflect its focus on activities core to brands and innovation. As a result of the Separation, our former Cabinets segment was disposed of, and the operating results of the Cabinets business are reported as discontinued operations for all periods presented within this Annual Report on Form 10-K. All amounts, percentages and disclosures for all periods presented reflect only the continuing operations of the Company unless otherwise noted. See Note 5, Discontinued Operations, in the consolidated financial statements in Item 8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Our Strategy</w:t>
      </w:r>
    </w:p>
    <w:p>
      <w:pPr>
        <w:spacing w:after="0" w:line="212"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b w:val="1"/>
          <w:bCs w:val="1"/>
          <w:i w:val="1"/>
          <w:iCs w:val="1"/>
          <w:color w:val="231F20"/>
        </w:rPr>
        <w:t>Building on leading business and brand positions in attractive growth and return categories</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have leading brands with what we believe to be sustainable competitive advantages in many of our product categories, which we sell primarily in North America and China. We believe that established brands are meaningful to both consumers and trade customers in their respective categories and that we have the opportunity to, among other things, gain share in the marketplace and continue to strengthen many of our brands through cross-branding, expanding into adjacent product categories, and expanding in international and e-commerce markets. For example, we are continuing to align our Water Innovations, Outdoors and Security products with long-term secular trends within connected products, outdoor living, sustainability, water management, material conversion, and safety and wellness. We are committed to continuing to invest in our capacity and supply chain through strategic sourcing, automation, machine learning, artificial intelligence, data-driven insights and processes, and leveraging our global scale to strengthen our business and continue to meet demand for our products.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Developing innovative products and processes for customers and consumers</w:t>
      </w:r>
      <w:r>
        <w:rPr>
          <w:rFonts w:ascii="Arial" w:cs="Arial" w:eastAsia="Arial" w:hAnsi="Arial"/>
          <w:sz w:val="20"/>
          <w:szCs w:val="20"/>
          <w:b w:val="1"/>
          <w:bCs w:val="1"/>
          <w:color w:val="231F20"/>
        </w:rPr>
        <w:t>.</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We have a long</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track record of successful product and process innovations that introduce valued new products to our customers and consumers, including products that save water, utilize recycled materials, conserve energy and protect people. We are committed to continuing to invest in new product development and enhance customer service to strengthen our leading brands and penetrate adjacent markets, including in the digital space and connected products.</w:t>
      </w:r>
    </w:p>
    <w:p>
      <w:pPr>
        <w:spacing w:after="0" w:line="132"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b w:val="1"/>
          <w:bCs w:val="1"/>
          <w:i w:val="1"/>
          <w:iCs w:val="1"/>
          <w:color w:val="231F20"/>
        </w:rPr>
        <w:t xml:space="preserve">Building an aligned organization using the Fortune Brands Advantage to drive results. </w:t>
      </w:r>
      <w:r>
        <w:rPr>
          <w:rFonts w:ascii="Arial" w:cs="Arial" w:eastAsia="Arial" w:hAnsi="Arial"/>
          <w:sz w:val="20"/>
          <w:szCs w:val="20"/>
          <w:color w:val="231F20"/>
        </w:rPr>
        <w:t>While our</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business segments are focused on distinct product categories and are responsible for their own performance, the Fortune Brands Advantage is an operating model consisting of a set of unifying capabilities that we believe are critical to our strategic growth across all of our businesses. The Fortune Brands Advantage currently consists of four critical pillars:</w:t>
      </w:r>
    </w:p>
    <w:p>
      <w:pPr>
        <w:spacing w:after="0" w:line="41" w:lineRule="exact"/>
        <w:rPr>
          <w:sz w:val="20"/>
          <w:szCs w:val="20"/>
          <w:color w:val="auto"/>
        </w:rPr>
      </w:pPr>
    </w:p>
    <w:p>
      <w:pPr>
        <w:ind w:left="860" w:right="360" w:hanging="490"/>
        <w:spacing w:after="0" w:line="279" w:lineRule="auto"/>
        <w:tabs>
          <w:tab w:leader="none" w:pos="860" w:val="left"/>
        </w:tabs>
        <w:numPr>
          <w:ilvl w:val="0"/>
          <w:numId w:val="9"/>
        </w:numPr>
        <w:rPr>
          <w:rFonts w:ascii="Arial" w:cs="Arial" w:eastAsia="Arial" w:hAnsi="Arial"/>
          <w:sz w:val="20"/>
          <w:szCs w:val="20"/>
          <w:color w:val="231F20"/>
        </w:rPr>
      </w:pPr>
      <w:r>
        <w:rPr>
          <w:rFonts w:ascii="Arial" w:cs="Arial" w:eastAsia="Arial" w:hAnsi="Arial"/>
          <w:sz w:val="20"/>
          <w:szCs w:val="20"/>
          <w:b w:val="1"/>
          <w:bCs w:val="1"/>
          <w:color w:val="231F20"/>
        </w:rPr>
        <w:t xml:space="preserve">Category Management </w:t>
      </w:r>
      <w:r>
        <w:rPr>
          <w:rFonts w:ascii="Arial" w:cs="Arial" w:eastAsia="Arial" w:hAnsi="Arial"/>
          <w:sz w:val="20"/>
          <w:szCs w:val="20"/>
          <w:color w:val="231F20"/>
        </w:rPr>
        <w:t>- Partnering with our channel partners to drive optimal performance</w:t>
      </w:r>
      <w:r>
        <w:rPr>
          <w:rFonts w:ascii="Arial" w:cs="Arial" w:eastAsia="Arial" w:hAnsi="Arial"/>
          <w:sz w:val="20"/>
          <w:szCs w:val="20"/>
          <w:b w:val="1"/>
          <w:bCs w:val="1"/>
          <w:color w:val="231F20"/>
        </w:rPr>
        <w:t xml:space="preserve"> </w:t>
      </w:r>
      <w:r>
        <w:rPr>
          <w:rFonts w:ascii="Arial" w:cs="Arial" w:eastAsia="Arial" w:hAnsi="Arial"/>
          <w:sz w:val="20"/>
          <w:szCs w:val="20"/>
          <w:color w:val="231F20"/>
        </w:rPr>
        <w:t>and best serve our consumers through actionable category insights.</w:t>
      </w:r>
    </w:p>
    <w:p>
      <w:pPr>
        <w:spacing w:after="0" w:line="1" w:lineRule="exact"/>
        <w:rPr>
          <w:rFonts w:ascii="Arial" w:cs="Arial" w:eastAsia="Arial" w:hAnsi="Arial"/>
          <w:sz w:val="20"/>
          <w:szCs w:val="20"/>
          <w:color w:val="231F20"/>
        </w:rPr>
      </w:pPr>
    </w:p>
    <w:p>
      <w:pPr>
        <w:ind w:left="860" w:right="340" w:hanging="490"/>
        <w:spacing w:after="0" w:line="247" w:lineRule="auto"/>
        <w:tabs>
          <w:tab w:leader="none" w:pos="860" w:val="left"/>
        </w:tabs>
        <w:numPr>
          <w:ilvl w:val="0"/>
          <w:numId w:val="9"/>
        </w:numPr>
        <w:rPr>
          <w:rFonts w:ascii="Arial" w:cs="Arial" w:eastAsia="Arial" w:hAnsi="Arial"/>
          <w:sz w:val="20"/>
          <w:szCs w:val="20"/>
          <w:color w:val="231F20"/>
        </w:rPr>
      </w:pPr>
      <w:r>
        <w:rPr>
          <w:rFonts w:ascii="Arial" w:cs="Arial" w:eastAsia="Arial" w:hAnsi="Arial"/>
          <w:sz w:val="20"/>
          <w:szCs w:val="20"/>
          <w:b w:val="1"/>
          <w:bCs w:val="1"/>
          <w:color w:val="231F20"/>
        </w:rPr>
        <w:t xml:space="preserve">Business Simplification </w:t>
      </w:r>
      <w:r>
        <w:rPr>
          <w:rFonts w:ascii="Arial" w:cs="Arial" w:eastAsia="Arial" w:hAnsi="Arial"/>
          <w:sz w:val="20"/>
          <w:szCs w:val="20"/>
          <w:color w:val="231F20"/>
        </w:rPr>
        <w:t>- Simplifying workstreams to be even more efficient. As part of the</w:t>
      </w:r>
      <w:r>
        <w:rPr>
          <w:rFonts w:ascii="Arial" w:cs="Arial" w:eastAsia="Arial" w:hAnsi="Arial"/>
          <w:sz w:val="20"/>
          <w:szCs w:val="20"/>
          <w:b w:val="1"/>
          <w:bCs w:val="1"/>
          <w:color w:val="231F20"/>
        </w:rPr>
        <w:t xml:space="preserve"> </w:t>
      </w:r>
      <w:r>
        <w:rPr>
          <w:rFonts w:ascii="Arial" w:cs="Arial" w:eastAsia="Arial" w:hAnsi="Arial"/>
          <w:sz w:val="20"/>
          <w:szCs w:val="20"/>
          <w:color w:val="231F20"/>
        </w:rPr>
        <w:t>Company’s reorganization and shift to a more aligned operating model under one leadership team, we expect to continue to prioritize activities that are core to brand, innovation, and channel</w:t>
      </w:r>
      <w:r>
        <w:rPr>
          <w:rFonts w:ascii="Arial" w:cs="Arial" w:eastAsia="Arial" w:hAnsi="Arial"/>
          <w:sz w:val="20"/>
          <w:szCs w:val="20"/>
          <w:color w:val="76777A"/>
        </w:rPr>
        <w:t>.</w:t>
      </w:r>
    </w:p>
    <w:p>
      <w:pPr>
        <w:spacing w:after="0" w:line="31" w:lineRule="exact"/>
        <w:rPr>
          <w:rFonts w:ascii="Arial" w:cs="Arial" w:eastAsia="Arial" w:hAnsi="Arial"/>
          <w:sz w:val="20"/>
          <w:szCs w:val="20"/>
          <w:color w:val="231F20"/>
        </w:rPr>
      </w:pPr>
    </w:p>
    <w:p>
      <w:pPr>
        <w:ind w:left="860" w:right="180" w:hanging="490"/>
        <w:spacing w:after="0" w:line="279" w:lineRule="auto"/>
        <w:tabs>
          <w:tab w:leader="none" w:pos="860" w:val="left"/>
        </w:tabs>
        <w:numPr>
          <w:ilvl w:val="0"/>
          <w:numId w:val="9"/>
        </w:numPr>
        <w:rPr>
          <w:rFonts w:ascii="Arial" w:cs="Arial" w:eastAsia="Arial" w:hAnsi="Arial"/>
          <w:sz w:val="20"/>
          <w:szCs w:val="20"/>
          <w:color w:val="231F20"/>
        </w:rPr>
      </w:pPr>
      <w:r>
        <w:rPr>
          <w:rFonts w:ascii="Arial" w:cs="Arial" w:eastAsia="Arial" w:hAnsi="Arial"/>
          <w:sz w:val="20"/>
          <w:szCs w:val="20"/>
          <w:b w:val="1"/>
          <w:bCs w:val="1"/>
          <w:color w:val="231F20"/>
        </w:rPr>
        <w:t xml:space="preserve">Global Supply Chain Excellence </w:t>
      </w:r>
      <w:r>
        <w:rPr>
          <w:rFonts w:ascii="Arial" w:cs="Arial" w:eastAsia="Arial" w:hAnsi="Arial"/>
          <w:sz w:val="20"/>
          <w:szCs w:val="20"/>
          <w:color w:val="231F20"/>
        </w:rPr>
        <w:t>- Leveraging our robust, global supply chain to strategically</w:t>
      </w:r>
      <w:r>
        <w:rPr>
          <w:rFonts w:ascii="Arial" w:cs="Arial" w:eastAsia="Arial" w:hAnsi="Arial"/>
          <w:sz w:val="20"/>
          <w:szCs w:val="20"/>
          <w:b w:val="1"/>
          <w:bCs w:val="1"/>
          <w:color w:val="231F20"/>
        </w:rPr>
        <w:t xml:space="preserve"> </w:t>
      </w:r>
      <w:r>
        <w:rPr>
          <w:rFonts w:ascii="Arial" w:cs="Arial" w:eastAsia="Arial" w:hAnsi="Arial"/>
          <w:sz w:val="20"/>
          <w:szCs w:val="20"/>
          <w:color w:val="231F20"/>
        </w:rPr>
        <w:t>drive scale efficiencies with cutting-edge capabilities.</w:t>
      </w:r>
    </w:p>
    <w:p>
      <w:pPr>
        <w:spacing w:after="0" w:line="1" w:lineRule="exact"/>
        <w:rPr>
          <w:rFonts w:ascii="Arial" w:cs="Arial" w:eastAsia="Arial" w:hAnsi="Arial"/>
          <w:sz w:val="20"/>
          <w:szCs w:val="20"/>
          <w:color w:val="231F20"/>
        </w:rPr>
      </w:pPr>
    </w:p>
    <w:p>
      <w:pPr>
        <w:ind w:left="860" w:right="120" w:hanging="490"/>
        <w:spacing w:after="0" w:line="236" w:lineRule="auto"/>
        <w:tabs>
          <w:tab w:leader="none" w:pos="860" w:val="left"/>
        </w:tabs>
        <w:numPr>
          <w:ilvl w:val="0"/>
          <w:numId w:val="9"/>
        </w:numPr>
        <w:rPr>
          <w:rFonts w:ascii="Arial" w:cs="Arial" w:eastAsia="Arial" w:hAnsi="Arial"/>
          <w:sz w:val="20"/>
          <w:szCs w:val="20"/>
          <w:color w:val="231F20"/>
        </w:rPr>
      </w:pPr>
      <w:r>
        <w:rPr>
          <w:rFonts w:ascii="Arial" w:cs="Arial" w:eastAsia="Arial" w:hAnsi="Arial"/>
          <w:sz w:val="20"/>
          <w:szCs w:val="20"/>
          <w:b w:val="1"/>
          <w:bCs w:val="1"/>
          <w:color w:val="231F20"/>
        </w:rPr>
        <w:t xml:space="preserve">Digital Transformation </w:t>
      </w:r>
      <w:r>
        <w:rPr>
          <w:rFonts w:ascii="Arial" w:cs="Arial" w:eastAsia="Arial" w:hAnsi="Arial"/>
          <w:sz w:val="20"/>
          <w:szCs w:val="20"/>
          <w:color w:val="231F20"/>
        </w:rPr>
        <w:t>- Supporting our products of the future with best-in-class services,</w:t>
      </w:r>
      <w:r>
        <w:rPr>
          <w:rFonts w:ascii="Arial" w:cs="Arial" w:eastAsia="Arial" w:hAnsi="Arial"/>
          <w:sz w:val="20"/>
          <w:szCs w:val="20"/>
          <w:b w:val="1"/>
          <w:bCs w:val="1"/>
          <w:color w:val="231F20"/>
        </w:rPr>
        <w:t xml:space="preserve"> </w:t>
      </w:r>
      <w:r>
        <w:rPr>
          <w:rFonts w:ascii="Arial" w:cs="Arial" w:eastAsia="Arial" w:hAnsi="Arial"/>
          <w:sz w:val="20"/>
          <w:szCs w:val="20"/>
          <w:color w:val="231F20"/>
        </w:rPr>
        <w:t>technology, data and analytics and using data science to unlock valuable consumer and business insights. We are advancing our digital strategy to fuel growth and aim to become a digital leader in our industry. We continue to invest in our digital capabilities to leverage our scale across technology, data and talent to further drive sustainable productivity and efficiency, enhance employee development, satisfaction and retention, and accelerate and sustain growth in e-commerce and connected products, sourcing and data science. This includes integrating our digital organization to improve speed to market and further develop a culture that fosters innovation, collaboration and value creation, and developing products supported by service technology, data and analytics.</w:t>
      </w:r>
    </w:p>
    <w:p>
      <w:pPr>
        <w:sectPr>
          <w:pgSz w:w="12240" w:h="15840" w:orient="portrait"/>
          <w:cols w:equalWidth="0" w:num="1">
            <w:col w:w="9460"/>
          </w:cols>
          <w:pgMar w:left="1380" w:top="1336" w:right="1400" w:bottom="95"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2</w:t>
      </w:r>
    </w:p>
    <w:p>
      <w:pPr>
        <w:sectPr>
          <w:pgSz w:w="12240" w:h="15840" w:orient="portrait"/>
          <w:cols w:equalWidth="0" w:num="1">
            <w:col w:w="9460"/>
          </w:cols>
          <w:pgMar w:left="1380" w:top="1336" w:right="1400" w:bottom="95" w:gutter="0" w:footer="0" w:header="0"/>
          <w:type w:val="continuous"/>
        </w:sectPr>
      </w:pPr>
    </w:p>
    <w:bookmarkStart w:id="10" w:name="page11"/>
    <w:bookmarkEnd w:id="10"/>
    <w:p>
      <w:pPr>
        <w:ind w:right="220"/>
        <w:spacing w:after="0" w:line="265" w:lineRule="auto"/>
        <w:rPr>
          <w:sz w:val="20"/>
          <w:szCs w:val="20"/>
          <w:color w:val="auto"/>
        </w:rPr>
      </w:pPr>
      <w:r>
        <w:rPr>
          <w:rFonts w:ascii="Arial" w:cs="Arial" w:eastAsia="Arial" w:hAnsi="Arial"/>
          <w:sz w:val="20"/>
          <w:szCs w:val="20"/>
          <w:color w:val="231F20"/>
        </w:rPr>
        <w:t>We continue to grow our competencies in these areas, allowing each of our businesses to take advantage of available opportunities for revenue growth and margin improvement, no matter the market environment.</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b w:val="1"/>
          <w:bCs w:val="1"/>
          <w:i w:val="1"/>
          <w:iCs w:val="1"/>
          <w:color w:val="231F20"/>
        </w:rPr>
        <w:t xml:space="preserve">Driving value through talent. </w:t>
      </w:r>
      <w:r>
        <w:rPr>
          <w:rFonts w:ascii="Arial" w:cs="Arial" w:eastAsia="Arial" w:hAnsi="Arial"/>
          <w:sz w:val="20"/>
          <w:szCs w:val="20"/>
          <w:color w:val="231F20"/>
        </w:rPr>
        <w:t>The Company has built a diverse and talented leadership team that is well</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 xml:space="preserve">positioned to continue to </w:t>
      </w:r>
      <w:r>
        <w:rPr>
          <w:rFonts w:ascii="Arial" w:cs="Arial" w:eastAsia="Arial" w:hAnsi="Arial"/>
          <w:sz w:val="20"/>
          <w:szCs w:val="20"/>
          <w:color w:val="474648"/>
        </w:rPr>
        <w:t>execute on our transformation to a more aligned operating model.</w:t>
      </w:r>
      <w:r>
        <w:rPr>
          <w:rFonts w:ascii="Arial" w:cs="Arial" w:eastAsia="Arial" w:hAnsi="Arial"/>
          <w:sz w:val="20"/>
          <w:szCs w:val="20"/>
          <w:color w:val="231F20"/>
        </w:rPr>
        <w:t xml:space="preserve"> We believe that investing in our employees is a critical component of our business strategy. We endeavor to do this through talent acquisition, development, succession planning and fostering a diverse and inclusive workforce.</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20"/>
          <w:szCs w:val="20"/>
          <w:b w:val="1"/>
          <w:bCs w:val="1"/>
          <w:i w:val="1"/>
          <w:iCs w:val="1"/>
          <w:color w:val="231F20"/>
        </w:rPr>
        <w:t xml:space="preserve">Enhancing returns and deploying our cash flow to high-return opportunities. </w:t>
      </w:r>
      <w:r>
        <w:rPr>
          <w:rFonts w:ascii="Arial" w:cs="Arial" w:eastAsia="Arial" w:hAnsi="Arial"/>
          <w:sz w:val="20"/>
          <w:szCs w:val="20"/>
          <w:color w:val="231F20"/>
        </w:rPr>
        <w:t>We continue to believe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our most attractive opportunities are to invest in profitable organic growth initiatives, pursue accretive strategic acquisitions, non-controlling equity investments, and joint ventures, and return cash to stockholders through a combination of dividends and repurchases of our common stock.</w:t>
      </w:r>
    </w:p>
    <w:p>
      <w:pPr>
        <w:spacing w:after="0" w:line="128"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231F20"/>
        </w:rPr>
        <w:t>We believe that advancing environmental, social and governance (“ESG”) initiatives and conducting business ethically is an important factor in allowing us to attract and retain the best talent. We continue to look for ways to improve our ESG programs and practices by focusing on ways to improve water conservation, waste reduction, and carbon and climate impact, keep our employees safe, and create a culture where all employees are treated with dignity and respect.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Business Segments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We have three business segments: Water Innovations ("Water"), Outdoors and Security.</w:t>
      </w:r>
    </w:p>
    <w:p>
      <w:pPr>
        <w:spacing w:after="0" w:line="185"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231F20"/>
        </w:rPr>
        <w:t>Our segments compete on the basis of innovation, fashion, quality, price, service and responsiveness to distributor, retailer and installer needs, as well as end-user consumer preferences. Our markets are very competitive. Approximately 20% of 2023 net sales were to international markets, and sales to two of the Company’s customers, Lowe’s Companies, Inc. (“Lowe’s”) and The Home Depot, Inc. (“The Home Depot”), accounted for 10.9% and 10.2% of the Company’s net sales, respectively, in 2023. Sales to all U.S. home centers in the aggregate were approximately 25% of net sales in 2023. In 2023, sales to our top ten customers represented approximately one-half of total sales.</w:t>
      </w:r>
    </w:p>
    <w:p>
      <w:pPr>
        <w:spacing w:after="0" w:line="134"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231F20"/>
        </w:rPr>
        <w:t xml:space="preserve">Water. </w:t>
      </w:r>
      <w:r>
        <w:rPr>
          <w:rFonts w:ascii="Arial" w:cs="Arial" w:eastAsia="Arial" w:hAnsi="Arial"/>
          <w:sz w:val="20"/>
          <w:szCs w:val="20"/>
          <w:color w:val="231F20"/>
        </w:rPr>
        <w:t>Our Water segment manufactures or assembles and sells faucets, accessories, kitchen sinks and</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waste disposals, predominantly under the Moen, ROHL, Riobel, Victoria+Albert, Perrin &amp; Rowe, Aqualisa, Shaws, Emtek and Schaub brands. Although this segment sells products principally in the U.S., China and Canada, this segment also sells in Europe, Mexico, Southeast Asia and South America. Approximately 28% of 2023 net sales were to international markets. This segment sells directly through its own sales force and indirectly through independent manufacturer's representatives, primarily to wholesalers, home centers and mass merchandisers. This segment is increasingly investing in digital trends and “smart” home capabilities. In aggregate, sales to The Home Depot and Lowe’s comprised approximately 18% of net sales of the Water segment in 2023. This segment’s chief competitors include Masco, Kohler, LIXIL Group, InSinkErator (owned by Whirlpool Corporation), Huida, Hgill, and Jomoo and imported private-label brands.</w:t>
      </w:r>
    </w:p>
    <w:p>
      <w:pPr>
        <w:spacing w:after="0" w:line="137"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b w:val="1"/>
          <w:bCs w:val="1"/>
          <w:i w:val="1"/>
          <w:iCs w:val="1"/>
          <w:color w:val="231F20"/>
        </w:rPr>
        <w:t xml:space="preserve">Outdoors. </w:t>
      </w:r>
      <w:r>
        <w:rPr>
          <w:rFonts w:ascii="Arial" w:cs="Arial" w:eastAsia="Arial" w:hAnsi="Arial"/>
          <w:sz w:val="20"/>
          <w:szCs w:val="20"/>
          <w:color w:val="231F20"/>
        </w:rPr>
        <w:t>Our Outdoors segment manufactures and sells fiberglass and steel entry door systems under</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the Therma-Tru brand, storm, screen and security doors under the Larson brand, composite decking, railing and cladding under the Fiberon brand, urethane millwork under the Fypon brand and wide-opening exterior door systems and outdoor enclosures under the Solar Innovations brand. This segment sells products principally in the U.S. and Canada. This segment’s principal customers are home centers, hardware and other retailers, millwork building products and wholesale distributors, industrial distributors and specialty dealers that provide products to the residential new construction market, as well as to the remodeling and renovation markets. In aggregate, sales to The Home Depot and Lowe’s comprised approximately 29% of net sales of the Outdoors segment in 2023. Therma-Tru, Larson, Fiberon, Fypon and Solar Innovations compete with Masonite, JELD-WEN, Andersen, Trex, Azek, Plastpro, Pella, and various regional and local suppliers.</w:t>
      </w:r>
    </w:p>
    <w:p>
      <w:pPr>
        <w:sectPr>
          <w:pgSz w:w="12240" w:h="15840" w:orient="portrait"/>
          <w:cols w:equalWidth="0" w:num="1">
            <w:col w:w="9480"/>
          </w:cols>
          <w:pgMar w:left="1380" w:top="1346"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3</w:t>
      </w:r>
    </w:p>
    <w:p>
      <w:pPr>
        <w:sectPr>
          <w:pgSz w:w="12240" w:h="15840" w:orient="portrait"/>
          <w:cols w:equalWidth="0" w:num="1">
            <w:col w:w="9480"/>
          </w:cols>
          <w:pgMar w:left="1380" w:top="1346" w:right="1380" w:bottom="95" w:gutter="0" w:footer="0" w:header="0"/>
          <w:type w:val="continuous"/>
        </w:sectPr>
      </w:pPr>
    </w:p>
    <w:bookmarkStart w:id="11" w:name="page12"/>
    <w:bookmarkEnd w:id="11"/>
    <w:p>
      <w:pPr>
        <w:ind w:right="40"/>
        <w:spacing w:after="0" w:line="245" w:lineRule="auto"/>
        <w:rPr>
          <w:sz w:val="20"/>
          <w:szCs w:val="20"/>
          <w:color w:val="auto"/>
        </w:rPr>
      </w:pPr>
      <w:r>
        <w:rPr>
          <w:rFonts w:ascii="Arial" w:cs="Arial" w:eastAsia="Arial" w:hAnsi="Arial"/>
          <w:sz w:val="20"/>
          <w:szCs w:val="20"/>
          <w:b w:val="1"/>
          <w:bCs w:val="1"/>
          <w:i w:val="1"/>
          <w:iCs w:val="1"/>
          <w:color w:val="231F20"/>
        </w:rPr>
        <w:t xml:space="preserve">Security. </w:t>
      </w:r>
      <w:r>
        <w:rPr>
          <w:rFonts w:ascii="Arial" w:cs="Arial" w:eastAsia="Arial" w:hAnsi="Arial"/>
          <w:sz w:val="20"/>
          <w:szCs w:val="20"/>
          <w:color w:val="231F20"/>
        </w:rPr>
        <w:t>Our Security segment’s products consist of locks, safety and security devices, and electronic</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security products manufactured, sourced and distributed primarily under the Master Lock, American Lock, Yale and August brands and fire resistant safes, security containers and commercial cabinets manufactured, sourced and distributed under the SentrySafe brand. This segment sells products principally in the U.S., Canada, Europe, Central America, Japan and Australia. Approximately 23% of 2023 net sales of the Security segment were to international markets. This segment manufactures and sells key-controlled and combination padlocks, bicycle and cable locks, built-in locker locks, keyed and keyless smart locks, door hardware, automotive, trailer and towing locks, electronic access control solutions, and other specialty safety and security devices for consumer use to hardware, home center and other retail outlets. In addition, the segment sells lock systems and fire resistant safes to locksmiths, industrial and institutional users, residential and multi-family housing hardware and service providers, and original equipment manufacturers. In aggregate, sales to The Home Depot and Lowe’s comprised approximately 17% of the net sales of the Security segment in 2023. Master Lock, American Lock, Yale and August compete</w:t>
      </w:r>
      <w:r>
        <w:rPr>
          <w:rFonts w:ascii="Arial" w:cs="Arial" w:eastAsia="Arial" w:hAnsi="Arial"/>
          <w:sz w:val="20"/>
          <w:szCs w:val="20"/>
          <w:color w:val="231F20"/>
          <w:strike w:val="1"/>
        </w:rPr>
        <w:t>s</w:t>
      </w:r>
      <w:r>
        <w:rPr>
          <w:rFonts w:ascii="Arial" w:cs="Arial" w:eastAsia="Arial" w:hAnsi="Arial"/>
          <w:sz w:val="20"/>
          <w:szCs w:val="20"/>
          <w:color w:val="231F20"/>
        </w:rPr>
        <w:t xml:space="preserve"> with Abus, W.H. Brady, Hampton, Kwikset, Schlage and various imports, and SentrySafe competes with First Alert, Magnum, Fortress, Stack-On and Fire King.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231F20"/>
        </w:rPr>
        <w:t>Other Information</w:t>
      </w:r>
    </w:p>
    <w:p>
      <w:pPr>
        <w:spacing w:after="0" w:line="189" w:lineRule="exact"/>
        <w:rPr>
          <w:sz w:val="20"/>
          <w:szCs w:val="20"/>
          <w:color w:val="auto"/>
        </w:rPr>
      </w:pPr>
    </w:p>
    <w:p>
      <w:pPr>
        <w:ind w:right="500"/>
        <w:spacing w:after="0" w:line="265" w:lineRule="auto"/>
        <w:rPr>
          <w:sz w:val="20"/>
          <w:szCs w:val="20"/>
          <w:color w:val="auto"/>
        </w:rPr>
      </w:pPr>
      <w:r>
        <w:rPr>
          <w:rFonts w:ascii="Arial" w:cs="Arial" w:eastAsia="Arial" w:hAnsi="Arial"/>
          <w:sz w:val="20"/>
          <w:szCs w:val="20"/>
          <w:b w:val="1"/>
          <w:bCs w:val="1"/>
          <w:i w:val="1"/>
          <w:iCs w:val="1"/>
          <w:color w:val="231F20"/>
        </w:rPr>
        <w:t xml:space="preserve">Raw materials. </w:t>
      </w:r>
      <w:r>
        <w:rPr>
          <w:rFonts w:ascii="Arial" w:cs="Arial" w:eastAsia="Arial" w:hAnsi="Arial"/>
          <w:sz w:val="20"/>
          <w:szCs w:val="20"/>
          <w:color w:val="231F20"/>
        </w:rPr>
        <w:t>The table below indicates the principal raw materials used by each of our segments.</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These materials are available from a number of sources. Volatility in the prices of commodities and energy used in making and distributing our products impacts the cost of manufacturing our products.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2200" w:type="dxa"/>
            <w:vAlign w:val="bottom"/>
            <w:tcBorders>
              <w:top w:val="single" w:sz="8" w:color="231F20"/>
              <w:left w:val="single" w:sz="8" w:color="231F20"/>
              <w:bottom w:val="single" w:sz="8" w:color="231F20"/>
              <w:right w:val="single" w:sz="8" w:color="231F20"/>
            </w:tcBorders>
          </w:tcPr>
          <w:p>
            <w:pPr>
              <w:ind w:left="20"/>
              <w:spacing w:after="0"/>
              <w:rPr>
                <w:sz w:val="20"/>
                <w:szCs w:val="20"/>
                <w:color w:val="auto"/>
              </w:rPr>
            </w:pPr>
            <w:r>
              <w:rPr>
                <w:rFonts w:ascii="Arial" w:cs="Arial" w:eastAsia="Arial" w:hAnsi="Arial"/>
                <w:sz w:val="15"/>
                <w:szCs w:val="15"/>
                <w:color w:val="231F20"/>
              </w:rPr>
              <w:t>Segment</w:t>
            </w:r>
          </w:p>
        </w:tc>
        <w:tc>
          <w:tcPr>
            <w:tcW w:w="7280" w:type="dxa"/>
            <w:vAlign w:val="bottom"/>
            <w:tcBorders>
              <w:top w:val="single" w:sz="8" w:color="231F20"/>
              <w:bottom w:val="single" w:sz="8" w:color="231F20"/>
            </w:tcBorders>
          </w:tcPr>
          <w:p>
            <w:pPr>
              <w:ind w:left="80"/>
              <w:spacing w:after="0"/>
              <w:rPr>
                <w:sz w:val="20"/>
                <w:szCs w:val="20"/>
                <w:color w:val="auto"/>
              </w:rPr>
            </w:pPr>
            <w:r>
              <w:rPr>
                <w:rFonts w:ascii="Arial" w:cs="Arial" w:eastAsia="Arial" w:hAnsi="Arial"/>
                <w:sz w:val="15"/>
                <w:szCs w:val="15"/>
                <w:i w:val="1"/>
                <w:iCs w:val="1"/>
                <w:color w:val="231F20"/>
              </w:rPr>
              <w:t>Raw Materials</w:t>
            </w:r>
          </w:p>
        </w:tc>
      </w:tr>
      <w:tr>
        <w:trPr>
          <w:trHeight w:val="203"/>
        </w:trPr>
        <w:tc>
          <w:tcPr>
            <w:tcW w:w="2200" w:type="dxa"/>
            <w:vAlign w:val="bottom"/>
            <w:tcBorders>
              <w:left w:val="single" w:sz="8" w:color="231F20"/>
              <w:right w:val="single" w:sz="8" w:color="231F20"/>
            </w:tcBorders>
          </w:tcPr>
          <w:p>
            <w:pPr>
              <w:ind w:left="20"/>
              <w:spacing w:after="0" w:line="204" w:lineRule="exact"/>
              <w:rPr>
                <w:sz w:val="20"/>
                <w:szCs w:val="20"/>
                <w:color w:val="auto"/>
              </w:rPr>
            </w:pPr>
            <w:r>
              <w:rPr>
                <w:rFonts w:ascii="Arial" w:cs="Arial" w:eastAsia="Arial" w:hAnsi="Arial"/>
                <w:sz w:val="20"/>
                <w:szCs w:val="20"/>
                <w:color w:val="231F20"/>
              </w:rPr>
              <w:t>Water</w:t>
            </w:r>
          </w:p>
        </w:tc>
        <w:tc>
          <w:tcPr>
            <w:tcW w:w="7280" w:type="dxa"/>
            <w:vAlign w:val="bottom"/>
          </w:tcPr>
          <w:p>
            <w:pPr>
              <w:ind w:left="140"/>
              <w:spacing w:after="0" w:line="204" w:lineRule="exact"/>
              <w:rPr>
                <w:sz w:val="20"/>
                <w:szCs w:val="20"/>
                <w:color w:val="auto"/>
              </w:rPr>
            </w:pPr>
            <w:r>
              <w:rPr>
                <w:rFonts w:ascii="Arial" w:cs="Arial" w:eastAsia="Arial" w:hAnsi="Arial"/>
                <w:sz w:val="20"/>
                <w:szCs w:val="20"/>
                <w:color w:val="231F20"/>
              </w:rPr>
              <w:t>Brass, zinc, resins, stainless steel and aluminum</w:t>
            </w:r>
          </w:p>
        </w:tc>
      </w:tr>
      <w:tr>
        <w:trPr>
          <w:trHeight w:val="233"/>
        </w:trPr>
        <w:tc>
          <w:tcPr>
            <w:tcW w:w="2200" w:type="dxa"/>
            <w:vAlign w:val="bottom"/>
            <w:tcBorders>
              <w:left w:val="single" w:sz="8" w:color="231F20"/>
              <w:right w:val="single" w:sz="8" w:color="231F20"/>
            </w:tcBorders>
          </w:tcPr>
          <w:p>
            <w:pPr>
              <w:ind w:left="20"/>
              <w:spacing w:after="0"/>
              <w:rPr>
                <w:sz w:val="20"/>
                <w:szCs w:val="20"/>
                <w:color w:val="auto"/>
              </w:rPr>
            </w:pPr>
            <w:r>
              <w:rPr>
                <w:rFonts w:ascii="Arial" w:cs="Arial" w:eastAsia="Arial" w:hAnsi="Arial"/>
                <w:sz w:val="20"/>
                <w:szCs w:val="20"/>
                <w:color w:val="231F20"/>
              </w:rPr>
              <w:t>Outdoors</w:t>
            </w:r>
          </w:p>
        </w:tc>
        <w:tc>
          <w:tcPr>
            <w:tcW w:w="7280" w:type="dxa"/>
            <w:vAlign w:val="bottom"/>
          </w:tcPr>
          <w:p>
            <w:pPr>
              <w:ind w:left="140"/>
              <w:spacing w:after="0"/>
              <w:rPr>
                <w:sz w:val="20"/>
                <w:szCs w:val="20"/>
                <w:color w:val="auto"/>
              </w:rPr>
            </w:pPr>
            <w:r>
              <w:rPr>
                <w:rFonts w:ascii="Arial" w:cs="Arial" w:eastAsia="Arial" w:hAnsi="Arial"/>
                <w:sz w:val="20"/>
                <w:szCs w:val="20"/>
                <w:color w:val="231F20"/>
              </w:rPr>
              <w:t>Wood, aluminum, steel, plastics, resins, glass, vinyl and insulating foam</w:t>
            </w:r>
          </w:p>
        </w:tc>
      </w:tr>
      <w:tr>
        <w:trPr>
          <w:trHeight w:val="252"/>
        </w:trPr>
        <w:tc>
          <w:tcPr>
            <w:tcW w:w="220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Arial" w:cs="Arial" w:eastAsia="Arial" w:hAnsi="Arial"/>
                <w:sz w:val="20"/>
                <w:szCs w:val="20"/>
                <w:color w:val="231F20"/>
              </w:rPr>
              <w:t>Security</w:t>
            </w:r>
          </w:p>
        </w:tc>
        <w:tc>
          <w:tcPr>
            <w:tcW w:w="7280" w:type="dxa"/>
            <w:vAlign w:val="bottom"/>
            <w:tcBorders>
              <w:bottom w:val="single" w:sz="8" w:color="231F20"/>
            </w:tcBorders>
          </w:tcPr>
          <w:p>
            <w:pPr>
              <w:ind w:left="140"/>
              <w:spacing w:after="0"/>
              <w:rPr>
                <w:sz w:val="20"/>
                <w:szCs w:val="20"/>
                <w:color w:val="auto"/>
              </w:rPr>
            </w:pPr>
            <w:r>
              <w:rPr>
                <w:rFonts w:ascii="Arial" w:cs="Arial" w:eastAsia="Arial" w:hAnsi="Arial"/>
                <w:sz w:val="20"/>
                <w:szCs w:val="20"/>
                <w:color w:val="231F20"/>
              </w:rPr>
              <w:t>Steel, zinc, brass and resins</w:t>
            </w:r>
          </w:p>
        </w:tc>
      </w:tr>
    </w:tbl>
    <w:p>
      <w:pPr>
        <w:spacing w:after="0" w:line="19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231F20"/>
        </w:rPr>
        <w:t xml:space="preserve">Intellectual property. </w:t>
      </w:r>
      <w:r>
        <w:rPr>
          <w:rFonts w:ascii="Arial" w:cs="Arial" w:eastAsia="Arial" w:hAnsi="Arial"/>
          <w:sz w:val="20"/>
          <w:szCs w:val="20"/>
          <w:color w:val="231F20"/>
        </w:rPr>
        <w:t>Product innovation and branding are important to the success of our business. In</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addition to the brand protection offered by our trademarks, patent protection helps distinguish our unique product features in the market by preventing copying and making it more difficult for competitors to benefit unfairly from our design innovation. We hold U.S. and foreign patents covering various features used in products sold within all of our business segments. Although each of our segments relies on a number of patents and patent groups that, in the aggregate, provide important protections to the Company, no single patent or patent group is material to any of the Company’s segments.</w:t>
      </w:r>
    </w:p>
    <w:p>
      <w:pPr>
        <w:spacing w:after="0" w:line="133"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b w:val="1"/>
          <w:bCs w:val="1"/>
          <w:i w:val="1"/>
          <w:iCs w:val="1"/>
          <w:color w:val="231F20"/>
        </w:rPr>
        <w:t xml:space="preserve">Human capital resources. </w:t>
      </w:r>
      <w:r>
        <w:rPr>
          <w:rFonts w:ascii="Arial" w:cs="Arial" w:eastAsia="Arial" w:hAnsi="Arial"/>
          <w:sz w:val="20"/>
          <w:szCs w:val="20"/>
          <w:color w:val="231F20"/>
        </w:rPr>
        <w:t>As of December 30, 2023, Fortune Brands had more than 11,700 full-time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and part-time employees worldwide (excluding contract workers). Approximately 60% of our workforce is composed of hourly production and distribution associates and the remaining population is composed of associates in an office role. Approximately 1% of employees in the U.S. work under collective bargaining agreements. Below is a summary of the number of employees by segment and role:</w:t>
      </w:r>
    </w:p>
    <w:p>
      <w:pPr>
        <w:spacing w:after="0" w:line="155" w:lineRule="exact"/>
        <w:rPr>
          <w:sz w:val="20"/>
          <w:szCs w:val="20"/>
          <w:color w:val="auto"/>
        </w:rPr>
      </w:pPr>
    </w:p>
    <w:tbl>
      <w:tblPr>
        <w:tblLayout w:type="fixed"/>
        <w:tblInd w:w="490" w:type="dxa"/>
        <w:tblCellMar>
          <w:top w:w="0" w:type="dxa"/>
          <w:left w:w="0" w:type="dxa"/>
          <w:bottom w:w="0" w:type="dxa"/>
          <w:right w:w="0" w:type="dxa"/>
        </w:tblCellMar>
      </w:tblPr>
      <w:tr>
        <w:trPr>
          <w:trHeight w:val="185"/>
        </w:trPr>
        <w:tc>
          <w:tcPr>
            <w:tcW w:w="2360" w:type="dxa"/>
            <w:vAlign w:val="bottom"/>
            <w:tcBorders>
              <w:top w:val="single" w:sz="8" w:color="231F20"/>
              <w:left w:val="single" w:sz="8" w:color="231F20"/>
              <w:bottom w:val="single" w:sz="8" w:color="231F20"/>
              <w:right w:val="single" w:sz="8" w:color="231F20"/>
            </w:tcBorders>
          </w:tcPr>
          <w:p>
            <w:pPr>
              <w:ind w:left="20"/>
              <w:spacing w:after="0"/>
              <w:rPr>
                <w:sz w:val="20"/>
                <w:szCs w:val="20"/>
                <w:color w:val="auto"/>
              </w:rPr>
            </w:pPr>
            <w:r>
              <w:rPr>
                <w:rFonts w:ascii="Arial" w:cs="Arial" w:eastAsia="Arial" w:hAnsi="Arial"/>
                <w:sz w:val="15"/>
                <w:szCs w:val="15"/>
                <w:color w:val="231F20"/>
              </w:rPr>
              <w:t>Segment</w:t>
            </w:r>
          </w:p>
        </w:tc>
        <w:tc>
          <w:tcPr>
            <w:tcW w:w="2320" w:type="dxa"/>
            <w:vAlign w:val="bottom"/>
            <w:tcBorders>
              <w:top w:val="single" w:sz="8" w:color="231F20"/>
              <w:bottom w:val="single" w:sz="8" w:color="231F20"/>
              <w:right w:val="single" w:sz="8" w:color="231F20"/>
            </w:tcBorders>
          </w:tcPr>
          <w:p>
            <w:pPr>
              <w:jc w:val="right"/>
              <w:ind w:right="224"/>
              <w:spacing w:after="0"/>
              <w:rPr>
                <w:sz w:val="20"/>
                <w:szCs w:val="20"/>
                <w:color w:val="auto"/>
              </w:rPr>
            </w:pPr>
            <w:r>
              <w:rPr>
                <w:rFonts w:ascii="Arial" w:cs="Arial" w:eastAsia="Arial" w:hAnsi="Arial"/>
                <w:sz w:val="15"/>
                <w:szCs w:val="15"/>
                <w:i w:val="1"/>
                <w:iCs w:val="1"/>
                <w:color w:val="231F20"/>
              </w:rPr>
              <w:t>Production and Distribution</w:t>
            </w:r>
          </w:p>
        </w:tc>
        <w:tc>
          <w:tcPr>
            <w:tcW w:w="1200" w:type="dxa"/>
            <w:vAlign w:val="bottom"/>
            <w:tcBorders>
              <w:top w:val="single" w:sz="8" w:color="231F20"/>
              <w:bottom w:val="single" w:sz="8" w:color="231F20"/>
            </w:tcBorders>
          </w:tcPr>
          <w:p>
            <w:pPr>
              <w:ind w:left="700"/>
              <w:spacing w:after="0"/>
              <w:rPr>
                <w:sz w:val="20"/>
                <w:szCs w:val="20"/>
                <w:color w:val="auto"/>
              </w:rPr>
            </w:pPr>
            <w:r>
              <w:rPr>
                <w:rFonts w:ascii="Arial" w:cs="Arial" w:eastAsia="Arial" w:hAnsi="Arial"/>
                <w:sz w:val="15"/>
                <w:szCs w:val="15"/>
                <w:i w:val="1"/>
                <w:iCs w:val="1"/>
                <w:color w:val="231F20"/>
              </w:rPr>
              <w:t>Office</w:t>
            </w:r>
          </w:p>
        </w:tc>
        <w:tc>
          <w:tcPr>
            <w:tcW w:w="800" w:type="dxa"/>
            <w:vAlign w:val="bottom"/>
            <w:tcBorders>
              <w:top w:val="single" w:sz="8" w:color="231F20"/>
              <w:bottom w:val="single" w:sz="8" w:color="231F20"/>
              <w:right w:val="single" w:sz="8" w:color="231F20"/>
            </w:tcBorders>
          </w:tcPr>
          <w:p>
            <w:pPr>
              <w:spacing w:after="0"/>
              <w:rPr>
                <w:sz w:val="16"/>
                <w:szCs w:val="16"/>
                <w:color w:val="auto"/>
              </w:rPr>
            </w:pPr>
          </w:p>
        </w:tc>
        <w:tc>
          <w:tcPr>
            <w:tcW w:w="1840" w:type="dxa"/>
            <w:vAlign w:val="bottom"/>
            <w:tcBorders>
              <w:top w:val="single" w:sz="8" w:color="231F20"/>
              <w:bottom w:val="single" w:sz="8" w:color="231F20"/>
              <w:right w:val="single" w:sz="8" w:color="231F20"/>
            </w:tcBorders>
          </w:tcPr>
          <w:p>
            <w:pPr>
              <w:jc w:val="right"/>
              <w:ind w:right="704"/>
              <w:spacing w:after="0"/>
              <w:rPr>
                <w:sz w:val="20"/>
                <w:szCs w:val="20"/>
                <w:color w:val="auto"/>
              </w:rPr>
            </w:pPr>
            <w:r>
              <w:rPr>
                <w:rFonts w:ascii="Arial" w:cs="Arial" w:eastAsia="Arial" w:hAnsi="Arial"/>
                <w:sz w:val="15"/>
                <w:szCs w:val="15"/>
                <w:i w:val="1"/>
                <w:iCs w:val="1"/>
                <w:color w:val="231F20"/>
              </w:rPr>
              <w:t>Total</w:t>
            </w:r>
          </w:p>
        </w:tc>
      </w:tr>
      <w:tr>
        <w:trPr>
          <w:trHeight w:val="202"/>
        </w:trPr>
        <w:tc>
          <w:tcPr>
            <w:tcW w:w="2360" w:type="dxa"/>
            <w:vAlign w:val="bottom"/>
            <w:tcBorders>
              <w:left w:val="single" w:sz="8" w:color="231F20"/>
              <w:right w:val="single" w:sz="8" w:color="231F20"/>
            </w:tcBorders>
          </w:tcPr>
          <w:p>
            <w:pPr>
              <w:ind w:left="20"/>
              <w:spacing w:after="0" w:line="202" w:lineRule="exact"/>
              <w:rPr>
                <w:sz w:val="20"/>
                <w:szCs w:val="20"/>
                <w:color w:val="auto"/>
              </w:rPr>
            </w:pPr>
            <w:r>
              <w:rPr>
                <w:rFonts w:ascii="Arial" w:cs="Arial" w:eastAsia="Arial" w:hAnsi="Arial"/>
                <w:sz w:val="20"/>
                <w:szCs w:val="20"/>
                <w:color w:val="231F20"/>
              </w:rPr>
              <w:t>Water</w:t>
            </w:r>
            <w:r>
              <w:rPr>
                <w:rFonts w:ascii="Times New Roman" w:cs="Times New Roman" w:eastAsia="Times New Roman" w:hAnsi="Times New Roman"/>
                <w:sz w:val="20"/>
                <w:szCs w:val="20"/>
                <w:color w:val="231F20"/>
              </w:rPr>
              <w:t>...................................</w:t>
            </w:r>
          </w:p>
        </w:tc>
        <w:tc>
          <w:tcPr>
            <w:tcW w:w="2320" w:type="dxa"/>
            <w:vAlign w:val="bottom"/>
            <w:tcBorders>
              <w:right w:val="single" w:sz="8" w:color="231F20"/>
            </w:tcBorders>
          </w:tcPr>
          <w:p>
            <w:pPr>
              <w:jc w:val="right"/>
              <w:ind w:right="104"/>
              <w:spacing w:after="0" w:line="203" w:lineRule="exact"/>
              <w:rPr>
                <w:sz w:val="20"/>
                <w:szCs w:val="20"/>
                <w:color w:val="auto"/>
              </w:rPr>
            </w:pPr>
            <w:r>
              <w:rPr>
                <w:rFonts w:ascii="Arial" w:cs="Arial" w:eastAsia="Arial" w:hAnsi="Arial"/>
                <w:sz w:val="20"/>
                <w:szCs w:val="20"/>
                <w:color w:val="231F20"/>
              </w:rPr>
              <w:t>2,398</w:t>
            </w:r>
          </w:p>
        </w:tc>
        <w:tc>
          <w:tcPr>
            <w:tcW w:w="1200" w:type="dxa"/>
            <w:vAlign w:val="bottom"/>
          </w:tcPr>
          <w:p>
            <w:pPr>
              <w:spacing w:after="0"/>
              <w:rPr>
                <w:sz w:val="17"/>
                <w:szCs w:val="17"/>
                <w:color w:val="auto"/>
              </w:rPr>
            </w:pPr>
          </w:p>
        </w:tc>
        <w:tc>
          <w:tcPr>
            <w:tcW w:w="800" w:type="dxa"/>
            <w:vAlign w:val="bottom"/>
            <w:tcBorders>
              <w:right w:val="single" w:sz="8" w:color="231F20"/>
            </w:tcBorders>
          </w:tcPr>
          <w:p>
            <w:pPr>
              <w:jc w:val="right"/>
              <w:ind w:right="79"/>
              <w:spacing w:after="0" w:line="203" w:lineRule="exact"/>
              <w:rPr>
                <w:sz w:val="20"/>
                <w:szCs w:val="20"/>
                <w:color w:val="auto"/>
              </w:rPr>
            </w:pPr>
            <w:r>
              <w:rPr>
                <w:rFonts w:ascii="Arial" w:cs="Arial" w:eastAsia="Arial" w:hAnsi="Arial"/>
                <w:sz w:val="20"/>
                <w:szCs w:val="20"/>
                <w:color w:val="231F20"/>
              </w:rPr>
              <w:t>2,714</w:t>
            </w:r>
          </w:p>
        </w:tc>
        <w:tc>
          <w:tcPr>
            <w:tcW w:w="1840" w:type="dxa"/>
            <w:vAlign w:val="bottom"/>
            <w:tcBorders>
              <w:right w:val="single" w:sz="8" w:color="231F20"/>
            </w:tcBorders>
          </w:tcPr>
          <w:p>
            <w:pPr>
              <w:jc w:val="right"/>
              <w:ind w:right="4"/>
              <w:spacing w:after="0" w:line="203" w:lineRule="exact"/>
              <w:rPr>
                <w:sz w:val="20"/>
                <w:szCs w:val="20"/>
                <w:color w:val="auto"/>
              </w:rPr>
            </w:pPr>
            <w:r>
              <w:rPr>
                <w:rFonts w:ascii="Arial" w:cs="Arial" w:eastAsia="Arial" w:hAnsi="Arial"/>
                <w:sz w:val="20"/>
                <w:szCs w:val="20"/>
                <w:color w:val="231F20"/>
              </w:rPr>
              <w:t>5,112</w:t>
            </w:r>
          </w:p>
        </w:tc>
      </w:tr>
      <w:tr>
        <w:trPr>
          <w:trHeight w:val="233"/>
        </w:trPr>
        <w:tc>
          <w:tcPr>
            <w:tcW w:w="2360" w:type="dxa"/>
            <w:vAlign w:val="bottom"/>
            <w:tcBorders>
              <w:left w:val="single" w:sz="8" w:color="231F20"/>
              <w:right w:val="single" w:sz="8" w:color="231F20"/>
            </w:tcBorders>
          </w:tcPr>
          <w:p>
            <w:pPr>
              <w:ind w:left="20"/>
              <w:spacing w:after="0"/>
              <w:rPr>
                <w:sz w:val="20"/>
                <w:szCs w:val="20"/>
                <w:color w:val="auto"/>
              </w:rPr>
            </w:pPr>
            <w:r>
              <w:rPr>
                <w:rFonts w:ascii="Arial" w:cs="Arial" w:eastAsia="Arial" w:hAnsi="Arial"/>
                <w:sz w:val="20"/>
                <w:szCs w:val="20"/>
                <w:color w:val="231F20"/>
              </w:rPr>
              <w:t>Outdoors</w:t>
            </w:r>
            <w:r>
              <w:rPr>
                <w:rFonts w:ascii="Times New Roman" w:cs="Times New Roman" w:eastAsia="Times New Roman" w:hAnsi="Times New Roman"/>
                <w:sz w:val="20"/>
                <w:szCs w:val="20"/>
                <w:color w:val="231F20"/>
              </w:rPr>
              <w:t>.............................</w:t>
            </w:r>
          </w:p>
        </w:tc>
        <w:tc>
          <w:tcPr>
            <w:tcW w:w="2320" w:type="dxa"/>
            <w:vAlign w:val="bottom"/>
            <w:tcBorders>
              <w:right w:val="single" w:sz="8" w:color="231F20"/>
            </w:tcBorders>
          </w:tcPr>
          <w:p>
            <w:pPr>
              <w:jc w:val="right"/>
              <w:ind w:right="104"/>
              <w:spacing w:after="0"/>
              <w:rPr>
                <w:sz w:val="20"/>
                <w:szCs w:val="20"/>
                <w:color w:val="auto"/>
              </w:rPr>
            </w:pPr>
            <w:r>
              <w:rPr>
                <w:rFonts w:ascii="Arial" w:cs="Arial" w:eastAsia="Arial" w:hAnsi="Arial"/>
                <w:sz w:val="20"/>
                <w:szCs w:val="20"/>
                <w:color w:val="231F20"/>
              </w:rPr>
              <w:t>3,052</w:t>
            </w:r>
          </w:p>
        </w:tc>
        <w:tc>
          <w:tcPr>
            <w:tcW w:w="1200" w:type="dxa"/>
            <w:vAlign w:val="bottom"/>
          </w:tcPr>
          <w:p>
            <w:pPr>
              <w:spacing w:after="0"/>
              <w:rPr>
                <w:sz w:val="20"/>
                <w:szCs w:val="20"/>
                <w:color w:val="auto"/>
              </w:rPr>
            </w:pPr>
          </w:p>
        </w:tc>
        <w:tc>
          <w:tcPr>
            <w:tcW w:w="800" w:type="dxa"/>
            <w:vAlign w:val="bottom"/>
            <w:tcBorders>
              <w:right w:val="single" w:sz="8" w:color="231F20"/>
            </w:tcBorders>
          </w:tcPr>
          <w:p>
            <w:pPr>
              <w:jc w:val="right"/>
              <w:ind w:right="79"/>
              <w:spacing w:after="0"/>
              <w:rPr>
                <w:sz w:val="20"/>
                <w:szCs w:val="20"/>
                <w:color w:val="auto"/>
              </w:rPr>
            </w:pPr>
            <w:r>
              <w:rPr>
                <w:rFonts w:ascii="Arial" w:cs="Arial" w:eastAsia="Arial" w:hAnsi="Arial"/>
                <w:sz w:val="20"/>
                <w:szCs w:val="20"/>
                <w:color w:val="231F20"/>
              </w:rPr>
              <w:t>999</w:t>
            </w:r>
          </w:p>
        </w:tc>
        <w:tc>
          <w:tcPr>
            <w:tcW w:w="1840" w:type="dxa"/>
            <w:vAlign w:val="bottom"/>
            <w:tcBorders>
              <w:right w:val="single" w:sz="8" w:color="231F20"/>
            </w:tcBorders>
          </w:tcPr>
          <w:p>
            <w:pPr>
              <w:jc w:val="right"/>
              <w:ind w:right="4"/>
              <w:spacing w:after="0"/>
              <w:rPr>
                <w:sz w:val="20"/>
                <w:szCs w:val="20"/>
                <w:color w:val="auto"/>
              </w:rPr>
            </w:pPr>
            <w:r>
              <w:rPr>
                <w:rFonts w:ascii="Arial" w:cs="Arial" w:eastAsia="Arial" w:hAnsi="Arial"/>
                <w:sz w:val="20"/>
                <w:szCs w:val="20"/>
                <w:color w:val="231F20"/>
              </w:rPr>
              <w:t>4,051</w:t>
            </w:r>
          </w:p>
        </w:tc>
      </w:tr>
      <w:tr>
        <w:trPr>
          <w:trHeight w:val="233"/>
        </w:trPr>
        <w:tc>
          <w:tcPr>
            <w:tcW w:w="2360" w:type="dxa"/>
            <w:vAlign w:val="bottom"/>
            <w:tcBorders>
              <w:left w:val="single" w:sz="8" w:color="231F20"/>
              <w:right w:val="single" w:sz="8" w:color="231F20"/>
            </w:tcBorders>
          </w:tcPr>
          <w:p>
            <w:pPr>
              <w:ind w:left="20"/>
              <w:spacing w:after="0"/>
              <w:rPr>
                <w:sz w:val="20"/>
                <w:szCs w:val="20"/>
                <w:color w:val="auto"/>
              </w:rPr>
            </w:pPr>
            <w:r>
              <w:rPr>
                <w:rFonts w:ascii="Arial" w:cs="Arial" w:eastAsia="Arial" w:hAnsi="Arial"/>
                <w:sz w:val="20"/>
                <w:szCs w:val="20"/>
                <w:color w:val="231F20"/>
              </w:rPr>
              <w:t>Security</w:t>
            </w:r>
            <w:r>
              <w:rPr>
                <w:rFonts w:ascii="Times New Roman" w:cs="Times New Roman" w:eastAsia="Times New Roman" w:hAnsi="Times New Roman"/>
                <w:sz w:val="20"/>
                <w:szCs w:val="20"/>
                <w:color w:val="231F20"/>
              </w:rPr>
              <w:t>...............................</w:t>
            </w:r>
          </w:p>
        </w:tc>
        <w:tc>
          <w:tcPr>
            <w:tcW w:w="2320" w:type="dxa"/>
            <w:vAlign w:val="bottom"/>
            <w:tcBorders>
              <w:right w:val="single" w:sz="8" w:color="231F20"/>
            </w:tcBorders>
          </w:tcPr>
          <w:p>
            <w:pPr>
              <w:jc w:val="right"/>
              <w:ind w:right="104"/>
              <w:spacing w:after="0"/>
              <w:rPr>
                <w:sz w:val="20"/>
                <w:szCs w:val="20"/>
                <w:color w:val="auto"/>
              </w:rPr>
            </w:pPr>
            <w:r>
              <w:rPr>
                <w:rFonts w:ascii="Arial" w:cs="Arial" w:eastAsia="Arial" w:hAnsi="Arial"/>
                <w:sz w:val="20"/>
                <w:szCs w:val="20"/>
                <w:color w:val="231F20"/>
              </w:rPr>
              <w:t>1,640</w:t>
            </w:r>
          </w:p>
        </w:tc>
        <w:tc>
          <w:tcPr>
            <w:tcW w:w="1200" w:type="dxa"/>
            <w:vAlign w:val="bottom"/>
          </w:tcPr>
          <w:p>
            <w:pPr>
              <w:spacing w:after="0"/>
              <w:rPr>
                <w:sz w:val="20"/>
                <w:szCs w:val="20"/>
                <w:color w:val="auto"/>
              </w:rPr>
            </w:pPr>
          </w:p>
        </w:tc>
        <w:tc>
          <w:tcPr>
            <w:tcW w:w="800" w:type="dxa"/>
            <w:vAlign w:val="bottom"/>
            <w:tcBorders>
              <w:right w:val="single" w:sz="8" w:color="231F20"/>
            </w:tcBorders>
          </w:tcPr>
          <w:p>
            <w:pPr>
              <w:jc w:val="right"/>
              <w:ind w:right="79"/>
              <w:spacing w:after="0"/>
              <w:rPr>
                <w:sz w:val="20"/>
                <w:szCs w:val="20"/>
                <w:color w:val="auto"/>
              </w:rPr>
            </w:pPr>
            <w:r>
              <w:rPr>
                <w:rFonts w:ascii="Arial" w:cs="Arial" w:eastAsia="Arial" w:hAnsi="Arial"/>
                <w:sz w:val="20"/>
                <w:szCs w:val="20"/>
                <w:color w:val="231F20"/>
              </w:rPr>
              <w:t>714</w:t>
            </w:r>
          </w:p>
        </w:tc>
        <w:tc>
          <w:tcPr>
            <w:tcW w:w="1840" w:type="dxa"/>
            <w:vAlign w:val="bottom"/>
            <w:tcBorders>
              <w:right w:val="single" w:sz="8" w:color="231F20"/>
            </w:tcBorders>
          </w:tcPr>
          <w:p>
            <w:pPr>
              <w:jc w:val="right"/>
              <w:ind w:right="4"/>
              <w:spacing w:after="0"/>
              <w:rPr>
                <w:sz w:val="20"/>
                <w:szCs w:val="20"/>
                <w:color w:val="auto"/>
              </w:rPr>
            </w:pPr>
            <w:r>
              <w:rPr>
                <w:rFonts w:ascii="Arial" w:cs="Arial" w:eastAsia="Arial" w:hAnsi="Arial"/>
                <w:sz w:val="20"/>
                <w:szCs w:val="20"/>
                <w:color w:val="231F20"/>
              </w:rPr>
              <w:t>2,354</w:t>
            </w:r>
          </w:p>
        </w:tc>
      </w:tr>
      <w:tr>
        <w:trPr>
          <w:trHeight w:val="253"/>
        </w:trPr>
        <w:tc>
          <w:tcPr>
            <w:tcW w:w="236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Arial" w:cs="Arial" w:eastAsia="Arial" w:hAnsi="Arial"/>
                <w:sz w:val="20"/>
                <w:szCs w:val="20"/>
                <w:color w:val="231F20"/>
              </w:rPr>
              <w:t>Corporate</w:t>
            </w:r>
            <w:r>
              <w:rPr>
                <w:rFonts w:ascii="Times New Roman" w:cs="Times New Roman" w:eastAsia="Times New Roman" w:hAnsi="Times New Roman"/>
                <w:sz w:val="20"/>
                <w:szCs w:val="20"/>
                <w:color w:val="231F20"/>
              </w:rPr>
              <w:t>............................</w:t>
            </w:r>
          </w:p>
        </w:tc>
        <w:tc>
          <w:tcPr>
            <w:tcW w:w="2320" w:type="dxa"/>
            <w:vAlign w:val="bottom"/>
            <w:tcBorders>
              <w:bottom w:val="single" w:sz="8" w:color="231F20"/>
              <w:right w:val="single" w:sz="8" w:color="231F20"/>
            </w:tcBorders>
          </w:tcPr>
          <w:p>
            <w:pPr>
              <w:jc w:val="right"/>
              <w:ind w:right="104"/>
              <w:spacing w:after="0"/>
              <w:rPr>
                <w:sz w:val="20"/>
                <w:szCs w:val="20"/>
                <w:color w:val="auto"/>
              </w:rPr>
            </w:pPr>
            <w:r>
              <w:rPr>
                <w:rFonts w:ascii="Arial" w:cs="Arial" w:eastAsia="Arial" w:hAnsi="Arial"/>
                <w:sz w:val="20"/>
                <w:szCs w:val="20"/>
                <w:color w:val="231F20"/>
              </w:rPr>
              <w:t>—</w:t>
            </w:r>
          </w:p>
        </w:tc>
        <w:tc>
          <w:tcPr>
            <w:tcW w:w="12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right w:val="single" w:sz="8" w:color="231F20"/>
            </w:tcBorders>
          </w:tcPr>
          <w:p>
            <w:pPr>
              <w:jc w:val="right"/>
              <w:ind w:right="79"/>
              <w:spacing w:after="0"/>
              <w:rPr>
                <w:sz w:val="20"/>
                <w:szCs w:val="20"/>
                <w:color w:val="auto"/>
              </w:rPr>
            </w:pPr>
            <w:r>
              <w:rPr>
                <w:rFonts w:ascii="Arial" w:cs="Arial" w:eastAsia="Arial" w:hAnsi="Arial"/>
                <w:sz w:val="20"/>
                <w:szCs w:val="20"/>
                <w:color w:val="231F20"/>
              </w:rPr>
              <w:t>212</w:t>
            </w:r>
          </w:p>
        </w:tc>
        <w:tc>
          <w:tcPr>
            <w:tcW w:w="1840" w:type="dxa"/>
            <w:vAlign w:val="bottom"/>
            <w:tcBorders>
              <w:bottom w:val="single" w:sz="8" w:color="231F20"/>
              <w:right w:val="single" w:sz="8" w:color="231F20"/>
            </w:tcBorders>
          </w:tcPr>
          <w:p>
            <w:pPr>
              <w:jc w:val="right"/>
              <w:ind w:right="4"/>
              <w:spacing w:after="0"/>
              <w:rPr>
                <w:sz w:val="20"/>
                <w:szCs w:val="20"/>
                <w:color w:val="auto"/>
              </w:rPr>
            </w:pPr>
            <w:r>
              <w:rPr>
                <w:rFonts w:ascii="Arial" w:cs="Arial" w:eastAsia="Arial" w:hAnsi="Arial"/>
                <w:sz w:val="20"/>
                <w:szCs w:val="20"/>
                <w:color w:val="231F20"/>
              </w:rPr>
              <w:t>212</w:t>
            </w:r>
          </w:p>
        </w:tc>
      </w:tr>
    </w:tbl>
    <w:p>
      <w:pPr>
        <w:spacing w:after="0" w:line="16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231F20"/>
        </w:rPr>
        <w:t>We believe our associates are the key to our success. We invest in our teams and develop our associates to become the next generation of leaders to fuel innovation and drive Company growth. The Company also endeavors to create a home for all that keeps our employees safe, treats them with dignity and respect, and fosters a culture of performance. We also endeavor to create a culture where doing the right thing is embedded in the way we conduct business. Fortune Brands does this through the programs summarized below, and the objectives and related risks of each is overseen by our Board of Directors or its committees.</w:t>
      </w:r>
    </w:p>
    <w:p>
      <w:pPr>
        <w:sectPr>
          <w:pgSz w:w="12240" w:h="15840" w:orient="portrait"/>
          <w:cols w:equalWidth="0" w:num="1">
            <w:col w:w="9480"/>
          </w:cols>
          <w:pgMar w:left="1380" w:top="1346"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4</w:t>
      </w:r>
    </w:p>
    <w:p>
      <w:pPr>
        <w:sectPr>
          <w:pgSz w:w="12240" w:h="15840" w:orient="portrait"/>
          <w:cols w:equalWidth="0" w:num="1">
            <w:col w:w="9480"/>
          </w:cols>
          <w:pgMar w:left="1380" w:top="1346" w:right="1380" w:bottom="95"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i w:val="1"/>
          <w:iCs w:val="1"/>
          <w:color w:val="231F20"/>
        </w:rPr>
        <w:t>Health and Safety</w:t>
      </w:r>
    </w:p>
    <w:p>
      <w:pPr>
        <w:spacing w:after="0" w:line="177" w:lineRule="exact"/>
        <w:rPr>
          <w:sz w:val="20"/>
          <w:szCs w:val="20"/>
          <w:color w:val="auto"/>
        </w:rPr>
      </w:pPr>
    </w:p>
    <w:p>
      <w:pPr>
        <w:spacing w:after="0" w:line="245" w:lineRule="auto"/>
        <w:rPr>
          <w:sz w:val="20"/>
          <w:szCs w:val="20"/>
          <w:color w:val="auto"/>
        </w:rPr>
      </w:pPr>
      <w:r>
        <w:rPr>
          <w:rFonts w:ascii="Arial" w:cs="Arial" w:eastAsia="Arial" w:hAnsi="Arial"/>
          <w:sz w:val="20"/>
          <w:szCs w:val="20"/>
          <w:color w:val="231F20"/>
        </w:rPr>
        <w:t>Safety is a critical element to Fortune Brands’ growth strategy, integral to Company culture and one of our core values. Our Employee Safety &amp; Environmental Stewardship Principles set standards for how we maintain a safe work environment and guides our business operations. The Company also has an Environmental, Health &amp; Safety network composed of representatives from across the Company’s businesses that shares best practices and implements environmental, health and safety strategy. This helps drive our best-in-class programs designed to reinforce positive behaviors, to empower our employees to actively take part in maintaining a safe work environment, to heighten awareness and to mitigate risk on critical safety components. Within each of our manufacturing and distribution facilities, we have site-specific safety and environmental plans designed to reduce risk. Through a continued commitment to improve our safety performance, we have historically been successful in reducing the number of injuries sustained by our employees. Two of our primary safety measures are the Total Recordable Incidence Rate ("TRIR") and Lost Time Rate ("LTR"). For 2023 our TRIR was 0.99, compared to 1.16 for the year ended December 31, 2022 (herein referred to as “2022”), and our LTR was 0.31, compared to 0.45 for 2022 (which figures do not include the ASSA Businesses we acquired from ASSA in 2023).</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Attracting and Retaining Superior Talent</w:t>
      </w:r>
    </w:p>
    <w:p>
      <w:pPr>
        <w:spacing w:after="0" w:line="204"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231F20"/>
        </w:rPr>
        <w:t>Fortune Brands is committed to investing in the physical, emotional and financial well-being of our employees and we believe that this is a critical component of our business strategy. To attract and retain superior talent at all levels of the Company, our total rewards are designed to be market competitive, align employee incentives with Company performance and support our employees across many aspects of their lives. We have a strong pay-for-performance culture that is supported by incentive programs that take into consideration business results and employee performance. We also offer a range of benefits including retirement savings plans, comprehensive healthcare and mental-health benefits including medical, dental and vision coverage, health savings and spending accounts, and employee assistance services. We recently took steps to enhance our benefit plans to further enhance inclusivity by providing enhanced parental support benefits for our U.S. associates, including fertility benefits and specialized support from adoption and surrogacy assistance to pregnancy and post-partum. Many of our businesses also offer paid parental leave.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Creating a Culture of Diversity, Equity and Inclusion (“DEI”)</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231F20"/>
        </w:rPr>
        <w:t>We continue to take measured actions that create an inclusive culture and diverse workforce, that increase representation and engagement of underrepresented associates and that are reflective of our consumers and communities. We believe that attracting and retaining talented and diverse employees will enable us to be more innovative and responsive to consumer needs and deliver strong performance and growth.</w:t>
      </w:r>
    </w:p>
    <w:p>
      <w:pPr>
        <w:spacing w:after="0" w:line="372" w:lineRule="exact"/>
        <w:rPr>
          <w:sz w:val="20"/>
          <w:szCs w:val="20"/>
          <w:color w:val="auto"/>
        </w:rPr>
      </w:pPr>
    </w:p>
    <w:p>
      <w:pPr>
        <w:spacing w:after="0" w:line="247" w:lineRule="auto"/>
        <w:rPr>
          <w:sz w:val="20"/>
          <w:szCs w:val="20"/>
          <w:color w:val="auto"/>
        </w:rPr>
      </w:pPr>
      <w:r>
        <w:rPr>
          <w:rFonts w:ascii="Arial" w:cs="Arial" w:eastAsia="Arial" w:hAnsi="Arial"/>
          <w:sz w:val="20"/>
          <w:szCs w:val="20"/>
          <w:color w:val="231F20"/>
        </w:rPr>
        <w:t>Fortune Brands has a comprehensive diversity, equity and inclusion strategy to increase representation of underrepresented associates. The Company is committed to increasing representation of qualified professionals of color and women by ensuring an inclusive culture. The Company has a cross-functional inclusive culture council, which sets priorities and initiatives. The Company reinforces fair, equitable, and effective practices across our entire organization through training, enterprise-wide Employee Resource Groups and partnerships with external groups. All people leaders were included in our unconscious bias learning program over the past two years, and a bi-annual engagement survey fosters our employee listening strategy, providing routine feedback and meaningful action to drive improvement in our culture and DEI awareness. As of December 30, 2023, Fortune Brands’ workforce is composed of 40% women. Approximately 38% of hourly production and distribution employees are people of color and 16% of employees in an office role are people of color as of December 30, 2023.</w:t>
      </w:r>
    </w:p>
    <w:p>
      <w:pPr>
        <w:sectPr>
          <w:pgSz w:w="12240" w:h="15840" w:orient="portrait"/>
          <w:cols w:equalWidth="0" w:num="1">
            <w:col w:w="9460"/>
          </w:cols>
          <w:pgMar w:left="1380" w:top="1354"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5</w:t>
      </w:r>
    </w:p>
    <w:p>
      <w:pPr>
        <w:sectPr>
          <w:pgSz w:w="12240" w:h="15840" w:orient="portrait"/>
          <w:cols w:equalWidth="0" w:num="1">
            <w:col w:w="9460"/>
          </w:cols>
          <w:pgMar w:left="1380" w:top="1354" w:right="1400" w:bottom="95"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i w:val="1"/>
          <w:iCs w:val="1"/>
          <w:color w:val="231F20"/>
        </w:rPr>
        <w:t>Talent Development and Succession</w:t>
      </w:r>
    </w:p>
    <w:p>
      <w:pPr>
        <w:spacing w:after="0" w:line="177"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231F20"/>
        </w:rPr>
        <w:t>We aim to inspire and equip our associates to be successful in their current roles within the organization and help them to develop the skills to build on opportunities to grow their careers. We understand our most critical roles that serve as points of leverage to deliver value and place our best people in those roles, while attracting new talent and capabilities in support of continuous improvement in all we do. Fortune Brands uses performance management programs to support a high-performance culture, strengthening our employee engagement and helping to retain our top talent. The Company provides associates with relevant skills training and provides leadership training for production and distribution associates in a supervisory role and for mid-level office associates. The Company also makes a significant investment in assessing our talent against the jobs both in the near term and the future and ensuring our leaders are prepared for greater levels of responsibility and can successfully transition into new roles.</w:t>
      </w:r>
    </w:p>
    <w:p>
      <w:pPr>
        <w:spacing w:after="0" w:line="138"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color w:val="231F20"/>
        </w:rPr>
        <w:t>Succession planning for critical roles is an important part of our talent program. Succession and development plans are created and monitored to ensure progress is made along established timelines.</w:t>
      </w:r>
    </w:p>
    <w:p>
      <w:pPr>
        <w:spacing w:after="0" w:line="97"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i w:val="1"/>
          <w:iCs w:val="1"/>
          <w:color w:val="231F20"/>
        </w:rPr>
        <w:t xml:space="preserve">Seasonality. </w:t>
      </w:r>
      <w:r>
        <w:rPr>
          <w:rFonts w:ascii="Arial" w:cs="Arial" w:eastAsia="Arial" w:hAnsi="Arial"/>
          <w:sz w:val="20"/>
          <w:szCs w:val="20"/>
          <w:color w:val="231F20"/>
        </w:rPr>
        <w:t>All of our operating segments traditionally experience lower sales in the first quarter of the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year when new home construction, repair and remodel activity, and security buying are at their lowest. As a result of sales seasonality and associated timing of working capital fluctuations, our cash flow from operating activities is typically higher in the second half of the year.</w:t>
      </w:r>
    </w:p>
    <w:p>
      <w:pPr>
        <w:spacing w:after="0" w:line="178"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i w:val="1"/>
          <w:iCs w:val="1"/>
          <w:color w:val="231F20"/>
        </w:rPr>
        <w:t xml:space="preserve">Laws and Regulations Affecting Our Business. </w:t>
      </w:r>
      <w:r>
        <w:rPr>
          <w:rFonts w:ascii="Arial" w:cs="Arial" w:eastAsia="Arial" w:hAnsi="Arial"/>
          <w:sz w:val="20"/>
          <w:szCs w:val="20"/>
          <w:color w:val="231F20"/>
        </w:rPr>
        <w:t>Our operations are subject to numerous federal, state</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and local laws and regulations, both within and outside the U.S., in areas such as environmental protection and climate change, international trade, data privacy, tax, consumer protection, government contracts and others. We are also subject to import and export controls, tariffs, and other trade-related regulations and restrictions in the countries in which we have operations or otherwise do business. For a more detailed description of the various laws and regulations that impact our business, see Item 1A. Risk Factors. In the normal course of business, we are also involved in various legal proceedings, including relating to environmental issues.</w:t>
      </w:r>
    </w:p>
    <w:p>
      <w:pPr>
        <w:spacing w:after="0" w:line="185"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231F20"/>
        </w:rPr>
        <w:t>Compliance with government regulations, including environmental and climate change regulations, has not had, and based on current information and the applicable laws and regulations currently in effect, is not expected to have, a material effect on our capital expenditures, results of operations or competitive position. However, laws and regulations may be changed, accelerated or adopted in a manner that could impose significant operational restrictions and compliance requirements upon us and that could negatively impact our operating results and financial condition.</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20"/>
          <w:szCs w:val="20"/>
          <w:b w:val="1"/>
          <w:bCs w:val="1"/>
          <w:i w:val="1"/>
          <w:iCs w:val="1"/>
          <w:color w:val="231F20"/>
        </w:rPr>
        <w:t xml:space="preserve">Available Information. </w:t>
      </w:r>
      <w:r>
        <w:rPr>
          <w:rFonts w:ascii="Arial" w:cs="Arial" w:eastAsia="Arial" w:hAnsi="Arial"/>
          <w:sz w:val="20"/>
          <w:szCs w:val="20"/>
          <w:color w:val="231F20"/>
        </w:rPr>
        <w:t>The Company’s website address is www.FBIN.com. The Company’s annual</w:t>
      </w:r>
      <w:r>
        <w:rPr>
          <w:rFonts w:ascii="Arial" w:cs="Arial" w:eastAsia="Arial" w:hAnsi="Arial"/>
          <w:sz w:val="20"/>
          <w:szCs w:val="20"/>
          <w:b w:val="1"/>
          <w:bCs w:val="1"/>
          <w:i w:val="1"/>
          <w:iCs w:val="1"/>
          <w:color w:val="231F20"/>
        </w:rPr>
        <w:t xml:space="preserve"> </w:t>
      </w:r>
      <w:r>
        <w:rPr>
          <w:rFonts w:ascii="Arial" w:cs="Arial" w:eastAsia="Arial" w:hAnsi="Arial"/>
          <w:sz w:val="20"/>
          <w:szCs w:val="20"/>
          <w:color w:val="231F20"/>
        </w:rPr>
        <w:t>report on Form 10-K, quarterly reports on Form 10-Q, current reports on Form 8-K and any amendments to these reports are available free of charge on the Company’s website as soon as reasonably practicable after the reports are filed or furnished electronically with the SEC. Reports filed with the SEC are also made available on its website at www.sec.gov.</w:t>
      </w:r>
    </w:p>
    <w:p>
      <w:pPr>
        <w:sectPr>
          <w:pgSz w:w="12240" w:h="15840" w:orient="portrait"/>
          <w:cols w:equalWidth="0" w:num="1">
            <w:col w:w="9460"/>
          </w:cols>
          <w:pgMar w:left="1380" w:top="1354"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6</w:t>
      </w:r>
    </w:p>
    <w:p>
      <w:pPr>
        <w:sectPr>
          <w:pgSz w:w="12240" w:h="15840" w:orient="portrait"/>
          <w:cols w:equalWidth="0" w:num="1">
            <w:col w:w="9460"/>
          </w:cols>
          <w:pgMar w:left="1380" w:top="1354" w:right="1400" w:bottom="95"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color w:val="231F20"/>
        </w:rPr>
        <w:t>Item 1A.  Risk Factors.</w:t>
      </w:r>
    </w:p>
    <w:p>
      <w:pPr>
        <w:spacing w:after="0" w:line="226"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i w:val="1"/>
          <w:iCs w:val="1"/>
          <w:color w:val="231F20"/>
        </w:rPr>
        <w:t>There are inherent risks and uncertainties associated with our business that could adversely affect our business, financial condition or operating results. Set forth below are descriptions of those risks and uncertainties that we currently believe to be material, but the risks and uncertainties described below are not the only risks and uncertainties that could adversely affect our business, financial condition or operating results. If any of these risks materialize, our business, financial condition or operating results could suffer. In this case, the trading price of our common stock could decline, and you may lose all or part of your investment.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Industry Risks</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b w:val="1"/>
          <w:bCs w:val="1"/>
          <w:i w:val="1"/>
          <w:iCs w:val="1"/>
          <w:color w:val="231F20"/>
        </w:rPr>
        <w:t>Our business primarily relies on North American and Chinese home improvement, repair and remodel, and new home construction activity levels, all of which are impacted by risks associated with fluctuations in the housing market. Downward changes in the general economy or the housing market, or unfavorable interest rates or other business conditions, could adversely affect our results of operations, cash flows and financial condition.</w:t>
      </w:r>
    </w:p>
    <w:p>
      <w:pPr>
        <w:spacing w:after="0" w:line="158" w:lineRule="exact"/>
        <w:rPr>
          <w:sz w:val="20"/>
          <w:szCs w:val="20"/>
          <w:color w:val="auto"/>
        </w:rPr>
      </w:pPr>
    </w:p>
    <w:p>
      <w:pPr>
        <w:spacing w:after="0" w:line="234" w:lineRule="auto"/>
        <w:rPr>
          <w:sz w:val="20"/>
          <w:szCs w:val="20"/>
          <w:color w:val="auto"/>
        </w:rPr>
      </w:pPr>
      <w:r>
        <w:rPr>
          <w:rFonts w:ascii="Arial" w:cs="Arial" w:eastAsia="Arial" w:hAnsi="Arial"/>
          <w:sz w:val="20"/>
          <w:szCs w:val="20"/>
          <w:color w:val="231F20"/>
        </w:rPr>
        <w:t>Our business primarily relies on home improvement, repair and remodel, and new home construction activity levels, principally in North America and China. Those housing markets are sensitive to changes in economic conditions and other factors, such as the level of employment, access to and the cost of labor, consumer confidence, demographic changes, consumer income, government tax programs, availability of financing, inflation and interest rate levels. Adverse changes in any of these conditions generally, or in any of the markets where we operate, could decrease consumer demand and could adversely impact our businesses by: causing consumers to delay or decline to pursue home ownership; making consumers more price conscious, resulting in a shift in demand to smaller, less expensive homes; making consumers more reluctant to make investments in their existing homes or causing them to delay investments, including kitchen and bath repair and remodel projects; or making it more difficult for consumers to secure loans for major home renovations. Due to heightened inflation and increases in interest rates, combined with labor and supply chain constraints, during 2022 and 2023, the pace of single-family and existing home sales activity and new home construction and repair and remodel activities has slowed, which adversely impacted our results, and, although interest rates have decreased in recent months, it is uncertain when such activities will recover.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operate in very competitive consumer and trade brand categories.</w:t>
      </w:r>
    </w:p>
    <w:p>
      <w:pPr>
        <w:spacing w:after="0" w:line="204"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231F20"/>
        </w:rPr>
        <w:t>The markets in which we operate are very competitive. Although we believe that competition in our businesses is based largely on product quality, consumer and trade brand reputation, customer service and product features, as well as fashion trends, innovation and ease of installation, price is a significant factor for consumers as well as our trade customers. Some of our competitors may resort to price competition to sustain or grow market share and manufacturing capacity utilization. Also, certain large customers continue to offer private-label brands that compete with some of our product offerings as a lower-cost alternative. The strong competition that we face in all of our businesses may adversely affect our profitability and revenue levels, as well as our results of operations, cash flows and financial condition.</w:t>
      </w:r>
    </w:p>
    <w:p>
      <w:pPr>
        <w:spacing w:after="0" w:line="177" w:lineRule="exact"/>
        <w:rPr>
          <w:sz w:val="20"/>
          <w:szCs w:val="20"/>
          <w:color w:val="auto"/>
        </w:rPr>
      </w:pPr>
    </w:p>
    <w:p>
      <w:pPr>
        <w:ind w:right="740"/>
        <w:spacing w:after="0" w:line="281" w:lineRule="auto"/>
        <w:rPr>
          <w:sz w:val="20"/>
          <w:szCs w:val="20"/>
          <w:color w:val="auto"/>
        </w:rPr>
      </w:pPr>
      <w:r>
        <w:rPr>
          <w:rFonts w:ascii="Arial" w:cs="Arial" w:eastAsia="Arial" w:hAnsi="Arial"/>
          <w:sz w:val="20"/>
          <w:szCs w:val="20"/>
          <w:b w:val="1"/>
          <w:bCs w:val="1"/>
          <w:i w:val="1"/>
          <w:iCs w:val="1"/>
          <w:color w:val="231F20"/>
        </w:rPr>
        <w:t>We may not successfully execute on our strategic plans, and our strategies may not prove effective in the face of business competition or yield the intended results.</w:t>
      </w:r>
    </w:p>
    <w:p>
      <w:pPr>
        <w:spacing w:after="0" w:line="115"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231F20"/>
        </w:rPr>
        <w:t>The success of our business and business strategies depends on meeting consumer needs and anticipating changes in consumer preferences with successful new products and product improvements. We aim to introduce products and new or improved production processes proactively to offset obsolescence and decreases in sales of existing products. We may not be successful in product development and our new products may not be commercially successful. In addition, it is possible that competitors may improve their products or processes more rapidly or effectively, which could adversely affect our sales. Furthermore, market demand may decline as a result of consumer preferences trending away from our categories or trending down within our brands or product categories, which could adversely impact our results of operations, cash flows and financial condition.</w:t>
      </w:r>
    </w:p>
    <w:p>
      <w:pPr>
        <w:sectPr>
          <w:pgSz w:w="12240" w:h="15840" w:orient="portrait"/>
          <w:cols w:equalWidth="0" w:num="1">
            <w:col w:w="9440"/>
          </w:cols>
          <w:pgMar w:left="1380" w:top="1342"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7</w:t>
      </w:r>
    </w:p>
    <w:p>
      <w:pPr>
        <w:sectPr>
          <w:pgSz w:w="12240" w:h="15840" w:orient="portrait"/>
          <w:cols w:equalWidth="0" w:num="1">
            <w:col w:w="9440"/>
          </w:cols>
          <w:pgMar w:left="1380" w:top="1342" w:right="1420" w:bottom="95" w:gutter="0" w:footer="0" w:header="0"/>
          <w:type w:val="continuous"/>
        </w:sectPr>
      </w:pPr>
    </w:p>
    <w:bookmarkStart w:id="15" w:name="page16"/>
    <w:bookmarkEnd w:id="15"/>
    <w:p>
      <w:pPr>
        <w:spacing w:after="0" w:line="237" w:lineRule="auto"/>
        <w:rPr>
          <w:sz w:val="20"/>
          <w:szCs w:val="20"/>
          <w:color w:val="auto"/>
        </w:rPr>
      </w:pPr>
      <w:r>
        <w:rPr>
          <w:rFonts w:ascii="Arial" w:cs="Arial" w:eastAsia="Arial" w:hAnsi="Arial"/>
          <w:sz w:val="20"/>
          <w:szCs w:val="20"/>
          <w:color w:val="231F20"/>
        </w:rPr>
        <w:t>In connection with the Separation, we shifted from a decentralized structure with separate businesses to a more aligned operating model that prioritizes activities that are core to brand, innovation, and channel, among other changes. Although we believe that this transition allows us to fully leverage the scale and execution excellence of our total business, such transitions can be inherently difficult to manage, and may result in a diversion of management’s focus and attention from other aspects of our business. In addition, our new operating model may not yield the intended results, and may have unexpected consequences, which could negatively affect our business and results of operations and make it more difficult for us to execute on our strategic plans.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i w:val="1"/>
          <w:iCs w:val="1"/>
          <w:color w:val="231F20"/>
        </w:rPr>
        <w:t>Our businesses rely on the performance of wholesale distributors and dealers, retailers and other marketing arrangements and could be adversely affected by poor performance or other disruptions in our distribution channels and customers.</w:t>
      </w:r>
    </w:p>
    <w:p>
      <w:pPr>
        <w:spacing w:after="0" w:line="141"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231F20"/>
        </w:rPr>
        <w:t>We rely on a distribution network comprised of consolidating customers. Any disruption to the existing distribution channels could adversely affect our results of operations, cash flows and financial condition. The consolidation of distributors or retailers or the financial instability or default of a distributor or one of its major customers could potentially cause such a disruption. In addition to our own sales force, we offer our products through a variety of third-party distributors, representatives and retailers. Certain of our distributors, representatives or retailers may also market other products that compete with our products. In addition, one or more retailers may stop carrying certain of our products, reduce the volume of purchases of our products and/or replace certain of our products with the products of our competitors. The loss or termination of, or significant reduction in sales to, one or more of our major distributors, representatives or retailers, the failure of one or more of our distributors, representatives or retailers to effectively promote our products, or changes in the financial or business condition of these distributors, representatives or retailers could adversely affect our ability to bring products to market and our results of operations, cash flows and financial condition.</w:t>
      </w:r>
    </w:p>
    <w:p>
      <w:pPr>
        <w:spacing w:after="0" w:line="183"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b w:val="1"/>
          <w:bCs w:val="1"/>
          <w:i w:val="1"/>
          <w:iCs w:val="1"/>
          <w:color w:val="231F20"/>
        </w:rPr>
        <w:t>Rapidly evolving technological change and our ability to react effectively may present significant competitive risks.</w:t>
      </w:r>
    </w:p>
    <w:p>
      <w:pPr>
        <w:spacing w:after="0" w:line="117"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231F20"/>
        </w:rPr>
        <w:t>Technological change continues to progress at a rapid pace. The creation, development, advancement and implementation of new technologies such as internet of things, 5G data networks, artificial intelligence, data analytics, 3-D printing, robotics, sensor technology, data storage, automation technologies and augmented reality, amongst others, has impacted and may continue to impact our processes, products and services.</w:t>
      </w:r>
    </w:p>
    <w:p>
      <w:pPr>
        <w:spacing w:after="0" w:line="171" w:lineRule="exact"/>
        <w:rPr>
          <w:sz w:val="20"/>
          <w:szCs w:val="20"/>
          <w:color w:val="auto"/>
        </w:rPr>
      </w:pPr>
    </w:p>
    <w:p>
      <w:pPr>
        <w:ind w:right="240"/>
        <w:spacing w:after="0" w:line="238" w:lineRule="auto"/>
        <w:rPr>
          <w:sz w:val="20"/>
          <w:szCs w:val="20"/>
          <w:color w:val="auto"/>
        </w:rPr>
      </w:pPr>
      <w:r>
        <w:rPr>
          <w:rFonts w:ascii="Arial" w:cs="Arial" w:eastAsia="Arial" w:hAnsi="Arial"/>
          <w:sz w:val="20"/>
          <w:szCs w:val="20"/>
          <w:color w:val="231F20"/>
        </w:rPr>
        <w:t>We evaluate on an ongoing basis new and emerging technologies that we believe are applicable to our business to potentially integrate them into our current and future products, services, processes and operations. The integration of any such new technologies into our business, even if successful, may require significant financial and operational resources. If we fail to compete with our peers in effectively integrating these or other new technologies into our business, or fail to guard against new competitors disrupting our business using such technologies, such failure may adversely affect our business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Operational and Sourcing Risks</w:t>
      </w:r>
    </w:p>
    <w:p>
      <w:pPr>
        <w:spacing w:after="0" w:line="212"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b w:val="1"/>
          <w:bCs w:val="1"/>
          <w:i w:val="1"/>
          <w:iCs w:val="1"/>
          <w:color w:val="231F20"/>
        </w:rPr>
        <w:t>Risks associated with our ability to improve organizational productivity and global supply chain efficiency and flexibility could adversely affect our results of operations, cash flows and financial condition.</w:t>
      </w:r>
    </w:p>
    <w:p>
      <w:pPr>
        <w:spacing w:after="0" w:line="141"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231F20"/>
        </w:rPr>
        <w:t>If we are unable to obtain sufficient components or raw materials that meet our specifications on a timely basis or for a cost-effective price or if we experience other manufacturing, supply or distribution difficulties, our business and results of operations may be adversely affected. We acquire our components and raw materials from many suppliers and vendors in various countries. We endeavor to ensure the continuity and quality of our components and materials and make efforts to diversify certain of our sources of components and materials, but we cannot guarantee these efforts will be successful. A reduction or interruption in supply or an issue in the supply chain, including as a result of our inability to quickly develop acceptable alternative sources for such supply, could adversely affect our ability to manufacture, distribute and sell our products in a timely or cost-effective manner.</w:t>
      </w:r>
    </w:p>
    <w:p>
      <w:pPr>
        <w:sectPr>
          <w:pgSz w:w="12240" w:h="15840" w:orient="portrait"/>
          <w:cols w:equalWidth="0" w:num="1">
            <w:col w:w="9440"/>
          </w:cols>
          <w:pgMar w:left="1380" w:top="1336" w:right="1420" w:bottom="95"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8</w:t>
      </w:r>
    </w:p>
    <w:p>
      <w:pPr>
        <w:sectPr>
          <w:pgSz w:w="12240" w:h="15840" w:orient="portrait"/>
          <w:cols w:equalWidth="0" w:num="1">
            <w:col w:w="9440"/>
          </w:cols>
          <w:pgMar w:left="1380" w:top="1336" w:right="1420" w:bottom="95" w:gutter="0" w:footer="0" w:header="0"/>
          <w:type w:val="continuous"/>
        </w:sectPr>
      </w:pPr>
    </w:p>
    <w:bookmarkStart w:id="16" w:name="page17"/>
    <w:bookmarkEnd w:id="16"/>
    <w:p>
      <w:pPr>
        <w:ind w:right="20"/>
        <w:spacing w:after="0" w:line="234" w:lineRule="auto"/>
        <w:rPr>
          <w:sz w:val="20"/>
          <w:szCs w:val="20"/>
          <w:color w:val="auto"/>
        </w:rPr>
      </w:pPr>
      <w:r>
        <w:rPr>
          <w:rFonts w:ascii="Arial" w:cs="Arial" w:eastAsia="Arial" w:hAnsi="Arial"/>
          <w:sz w:val="20"/>
          <w:szCs w:val="20"/>
          <w:color w:val="231F20"/>
        </w:rPr>
        <w:t>We regularly evaluate our organizational productivity and global supply chains and assess opportunities to increase capacity, reduce costs and enhance quality. We may be unable to enhance quality, speed and flexibility to meet changing and uncertain market conditions, as well as manage continued cost inflation, including wages, pension and medical costs. Our success depends in part on refining our cost structure and supply chains to promote consistently flexible and low-cost supply chains that can respond to market changes to protect profitability and cash flow or ramp up quickly and effectively to meet increased demand. Supply chain disruptions could continue to impact our ability to timely source necessary components and inputs. Import tariffs could potentially lead to further increases in prices of raw materials or components which are critical to our business. Failure to achieve the desired level of quality, capacity or cost reductions could impair our results of operations, cash flows and financial condition.</w:t>
      </w:r>
    </w:p>
    <w:p>
      <w:pPr>
        <w:spacing w:after="0" w:line="171" w:lineRule="exact"/>
        <w:rPr>
          <w:sz w:val="20"/>
          <w:szCs w:val="20"/>
          <w:color w:val="auto"/>
        </w:rPr>
      </w:pPr>
    </w:p>
    <w:p>
      <w:pPr>
        <w:jc w:val="both"/>
        <w:ind w:right="100"/>
        <w:spacing w:after="0" w:line="255" w:lineRule="auto"/>
        <w:rPr>
          <w:sz w:val="20"/>
          <w:szCs w:val="20"/>
          <w:color w:val="auto"/>
        </w:rPr>
      </w:pPr>
      <w:r>
        <w:rPr>
          <w:rFonts w:ascii="Arial" w:cs="Arial" w:eastAsia="Arial" w:hAnsi="Arial"/>
          <w:sz w:val="20"/>
          <w:szCs w:val="20"/>
          <w:b w:val="1"/>
          <w:bCs w:val="1"/>
          <w:i w:val="1"/>
          <w:iCs w:val="1"/>
          <w:color w:val="231F20"/>
        </w:rPr>
        <w:t>Risks associated with global commodity and energy availability and price volatility, as well as the possibility of sustained inflation, could adversely affect our results of operations, cash flows and financial condition.</w:t>
      </w:r>
    </w:p>
    <w:p>
      <w:pPr>
        <w:spacing w:after="0" w:line="139" w:lineRule="exact"/>
        <w:rPr>
          <w:sz w:val="20"/>
          <w:szCs w:val="20"/>
          <w:color w:val="auto"/>
        </w:rPr>
      </w:pPr>
    </w:p>
    <w:p>
      <w:pPr>
        <w:spacing w:after="0" w:line="231" w:lineRule="auto"/>
        <w:rPr>
          <w:sz w:val="20"/>
          <w:szCs w:val="20"/>
          <w:color w:val="auto"/>
        </w:rPr>
      </w:pPr>
      <w:r>
        <w:rPr>
          <w:rFonts w:ascii="Arial" w:cs="Arial" w:eastAsia="Arial" w:hAnsi="Arial"/>
          <w:sz w:val="20"/>
          <w:szCs w:val="20"/>
          <w:color w:val="231F20"/>
        </w:rPr>
        <w:t>We are exposed to risks associated with global commodity price volatility arising from restricted or uneven supply conditions, the sustained expansion and volatility of demand from emerging markets, potentially unstable geopolitical and economic variables, severe weather and other unpredictable external factors. We buy raw materials that contain commodities such as wood, petroleum-based products such as resins, brass, zinc, steel, aluminum and glass. In addition, our distribution costs are significantly impacted by the price of oil and diesel fuel, which in turn is affected by a number of macroeconomic and geopolitical factors. Decreased availability and increased or volatile prices for these commodities, as well as energy used in making, distributing and transporting our products, could increase the costs of our products. We have been and may continue to be impacted by near-term supply, labor and freight constraints, a volatile global supply chain environment, as well as sustained increased rates of inflation, rising interest rates, unfavorable fluctuations in foreign exchange rates and ongoing tariffs, all of which have increased our costs. While in the past we have been able to mitigate the impact of these cost increases through productivity improvements and passing on increasing costs to our customers over time, there is no assurance that we will be able to offset such cost increases in the future, and the risk of potentially sustained high levels of inflation could adversely impact our results of operations, cash flows and financial condition. While we may use derivative contracts to limit our short-term exposure to commodity price volatility, the commodity exposures under these contracts could still be material to our results of operations, cash flows and financial condition. In addition, in periods of declining commodity prices, these derivative contracts may have the short-term effect of increasing our expenditures for these raw materials.</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b w:val="1"/>
          <w:bCs w:val="1"/>
          <w:i w:val="1"/>
          <w:iCs w:val="1"/>
          <w:color w:val="231F20"/>
        </w:rPr>
        <w:t>We may experience delays or outages in our information technology systems and computer networks. We may be subject to breaches of our information technology systems or other cybersecurity incidents, which could damage our reputation and consumer relationships. Failures in our information technology systems and the costs of increasing information security regulation could also subject us to significant financial, legal and operational consequences.</w:t>
      </w:r>
    </w:p>
    <w:p>
      <w:pPr>
        <w:spacing w:after="0" w:line="165" w:lineRule="exact"/>
        <w:rPr>
          <w:sz w:val="20"/>
          <w:szCs w:val="20"/>
          <w:color w:val="auto"/>
        </w:rPr>
      </w:pPr>
    </w:p>
    <w:p>
      <w:pPr>
        <w:jc w:val="both"/>
        <w:ind w:right="140"/>
        <w:spacing w:after="0" w:line="251" w:lineRule="auto"/>
        <w:rPr>
          <w:sz w:val="20"/>
          <w:szCs w:val="20"/>
          <w:color w:val="auto"/>
        </w:rPr>
      </w:pPr>
      <w:r>
        <w:rPr>
          <w:rFonts w:ascii="Arial" w:cs="Arial" w:eastAsia="Arial" w:hAnsi="Arial"/>
          <w:sz w:val="20"/>
          <w:szCs w:val="20"/>
          <w:color w:val="231F20"/>
        </w:rPr>
        <w:t>We, like most companies, have experienced and may in the future be subject to information technology system failures and network disruptions caused by delays or disruptions due to system updates, natural disasters, malicious attacks, accidents, power disruptions, telecommunications failures, acts of terrorism or war, computer viruses, physical or electronic break-ins, or similar events or disruptions. We rely upon information technology systems and infrastructure, including support provided by third parties, to support our business, our products and our customers.</w:t>
      </w:r>
    </w:p>
    <w:p>
      <w:pPr>
        <w:sectPr>
          <w:pgSz w:w="12240" w:h="15840" w:orient="portrait"/>
          <w:cols w:equalWidth="0" w:num="1">
            <w:col w:w="9480"/>
          </w:cols>
          <w:pgMar w:left="1380" w:top="1335"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w:t>
      </w:r>
    </w:p>
    <w:p>
      <w:pPr>
        <w:sectPr>
          <w:pgSz w:w="12240" w:h="15840" w:orient="portrait"/>
          <w:cols w:equalWidth="0" w:num="1">
            <w:col w:w="9480"/>
          </w:cols>
          <w:pgMar w:left="1380" w:top="1335" w:right="1380" w:bottom="95" w:gutter="0" w:footer="0" w:header="0"/>
          <w:type w:val="continuous"/>
        </w:sectPr>
      </w:pPr>
    </w:p>
    <w:bookmarkStart w:id="17" w:name="page18"/>
    <w:bookmarkEnd w:id="17"/>
    <w:p>
      <w:pPr>
        <w:spacing w:after="0" w:line="244" w:lineRule="auto"/>
        <w:rPr>
          <w:sz w:val="20"/>
          <w:szCs w:val="20"/>
          <w:color w:val="auto"/>
        </w:rPr>
      </w:pPr>
      <w:r>
        <w:rPr>
          <w:rFonts w:ascii="Arial" w:cs="Arial" w:eastAsia="Arial" w:hAnsi="Arial"/>
          <w:sz w:val="20"/>
          <w:szCs w:val="20"/>
          <w:color w:val="231F20"/>
        </w:rPr>
        <w:t>For example, we routinely rely on systems for manufacturing, customer and supplier orders, shipping, regulatory compliance, finance, company operations, research and development and various other matters, as well as information technology systems and infrastructure to aid us in the collection, use, storage and transfer and other processing of data including confidential, business, financial, and personal information. Security threats, including cyber attacks, security breaches, power outages, system failures, malware, ransomware, worms, Trojan horses, spyware, adware, rogue software and other attacks, are becoming increasingly sophisticated, frequent and adaptive, which increases the difficulty of detecting and successfully defending against them. In addition, a greater number of our employees are working remotely, which (among other things) could expose us to greater risks related to cybersecurity and our information technology systems. Third-party systems that we rely upon could also become vulnerable to the same security threats and may contain defects in design or manufacture or other problems that could result in system disruption or compromise the information security of our own systems. Such security threats, depending on their nature and scope, could potentially result in the misappropriation, destruction, corruption or unavailability of critical data and confidential or proprietary information (ours or that of third parties) and the disruption of our business operations or the business operations of third parties on which we rely. The potential consequences of a material cybersecurity incident and its effects include financial loss, business disruption, reputational damage, litigation or regulatory action, theft of intellectual property, fines levied by government agencies, diminution in the value of our investments in research, development and engineering, and increased cybersecurity protection and remediation costs due to the increasing sophistication and proliferation of threats, which in turn could adversely affect our competitiveness and results of operations. While we carry cyber insurance, it cannot be certain that coverage will be adequate for liabilities actually incurred, that insurance will continue to be available to us on economically reasonable terms, or at all, or that any insurer will not deny coverage as to any future claim.</w:t>
      </w:r>
    </w:p>
    <w:p>
      <w:pPr>
        <w:spacing w:after="0" w:line="205"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231F20"/>
        </w:rPr>
        <w:t>We continue to pursue additional investment, engagement of third-party experts and consultants, improvements in the security of our facilities and systems (including through upgrades to our security and information technology systems), and training for employees. We also regularly assess the continued appropriateness of relevant insurance coverage and the strength of our controls and procedures to monitor, mitigate and respond appropriately to these threats. Our businesses may implement digital systems and technologies, enterprise resource planning systems or new applications to replace outdated systems and to operate more efficiently, but we may not be able to successfully implement these projects without experiencing difficulties, expected benefits might not be realized or the costs of implementation might outweigh the benefits realized. We believe we devote appropriate resources to network security, data encryption, and other security measures to protect our systems and data, but these security measures cannot provide absolute security. Actual or perceived breaches and breakdowns affecting our information technology systems or protected data, including as a result of external actors or employee error or malfeasance, could have an adverse effect on our business strategy, results of operations, cash flows, financial condition, reputation and consumer relationships.</w:t>
      </w:r>
    </w:p>
    <w:p>
      <w:pPr>
        <w:spacing w:after="0" w:line="189"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color w:val="231F20"/>
        </w:rPr>
        <w:t>In addition, the domestic and international regulatory environment related to solicitation, information security, collection and data privacy is increasingly rigorous and complex, with new and rapidly changing requirements applicable to our business, which are sometimes contradictory, and which may require changes to our business practices. Compliance with these requirements, including the European Union’s General Data Protection Regulation, the California Consumer Privacy Act, the California Privacy Rights Act and other international and domestic regulations, has resulted and could continue to result in additional costs and complexity to our business operations. Any significant liabilities associated with violations of any related laws or regulations could also have an adverse effect on our business, results of operations, cash flows, financial condition, reputation and consumer relationships.</w:t>
      </w:r>
    </w:p>
    <w:p>
      <w:pPr>
        <w:sectPr>
          <w:pgSz w:w="12240" w:h="15840" w:orient="portrait"/>
          <w:cols w:equalWidth="0" w:num="1">
            <w:col w:w="9440"/>
          </w:cols>
          <w:pgMar w:left="1380" w:top="1346"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10</w:t>
      </w:r>
    </w:p>
    <w:p>
      <w:pPr>
        <w:sectPr>
          <w:pgSz w:w="12240" w:h="15840" w:orient="portrait"/>
          <w:cols w:equalWidth="0" w:num="1">
            <w:col w:w="9440"/>
          </w:cols>
          <w:pgMar w:left="1380" w:top="1346" w:right="1420" w:bottom="95" w:gutter="0" w:footer="0" w:header="0"/>
          <w:type w:val="continuous"/>
        </w:sectPr>
      </w:pPr>
    </w:p>
    <w:bookmarkStart w:id="18" w:name="page19"/>
    <w:bookmarkEnd w:id="18"/>
    <w:p>
      <w:pPr>
        <w:ind w:right="420"/>
        <w:spacing w:after="0" w:line="296" w:lineRule="auto"/>
        <w:rPr>
          <w:sz w:val="20"/>
          <w:szCs w:val="20"/>
          <w:color w:val="auto"/>
        </w:rPr>
      </w:pPr>
      <w:r>
        <w:rPr>
          <w:rFonts w:ascii="Arial" w:cs="Arial" w:eastAsia="Arial" w:hAnsi="Arial"/>
          <w:sz w:val="20"/>
          <w:szCs w:val="20"/>
          <w:b w:val="1"/>
          <w:bCs w:val="1"/>
          <w:i w:val="1"/>
          <w:iCs w:val="1"/>
          <w:color w:val="231F20"/>
        </w:rPr>
        <w:t>We manufacture, source and sell products internationally and are exposed to risks associated with doing business globally, including risks associated with uncertain trade environments.</w:t>
      </w:r>
    </w:p>
    <w:p>
      <w:pPr>
        <w:spacing w:after="0" w:line="116"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231F20"/>
        </w:rPr>
        <w:t>We manufacture, source or sell our products in a number of locations throughout the world, predominantly in the U.S., Asia, Canada, Europe, Mexico and Africa. Accordingly, we are subject to risks associated with potential disruption caused by changes in political, economic and social environments, including war, civil and political unrest, illnesses declared as a public health emergency (including viral pandemics such as COVID-19), terrorism, expropriation, local labor conditions, changes in laws, regulations and policies of foreign governments and trade disputes with the U.S., and U.S. laws affecting activities of U.S. companies abroad. We could be adversely affected by higher manufacturing costs and international trade regulations, including duties, tariffs and antidumping penalties. Risks inherent to international operations include: potentially adverse tax laws; unfavorable changes or uncertainty relating to trade agreements or importation duties; uncertainty regarding clearance and enforcement of intellectual property rights; risks associated with the Foreign Corrupt Practices Act and other anti-bribery laws; mandatory or voluntary shutdowns of our facilities or our suppliers due to changes in political dynamics that could result in longer lead times, economic policies or health emergencies and difficulty enforcing contracts or protecting our intellectual property rights. While we hedge certain foreign currency transactions, a change in the value of the currencies will impact our financial statements when translated into U.S. dollars. In addition, fluctuations in currency can adversely impact the cost position of our products in local currency, making it more difficult for us to compete. Our success will depend, in part, on our ability to effectively manage our businesses through the impact of these potential changes.</w:t>
      </w:r>
    </w:p>
    <w:p>
      <w:pPr>
        <w:spacing w:after="0" w:line="173" w:lineRule="exact"/>
        <w:rPr>
          <w:sz w:val="20"/>
          <w:szCs w:val="20"/>
          <w:color w:val="auto"/>
        </w:rPr>
      </w:pPr>
    </w:p>
    <w:p>
      <w:pPr>
        <w:ind w:right="60"/>
        <w:spacing w:after="0" w:line="276" w:lineRule="auto"/>
        <w:rPr>
          <w:sz w:val="20"/>
          <w:szCs w:val="20"/>
          <w:color w:val="auto"/>
        </w:rPr>
      </w:pPr>
      <w:r>
        <w:rPr>
          <w:rFonts w:ascii="Arial" w:cs="Arial" w:eastAsia="Arial" w:hAnsi="Arial"/>
          <w:sz w:val="20"/>
          <w:szCs w:val="20"/>
          <w:b w:val="1"/>
          <w:bCs w:val="1"/>
          <w:i w:val="1"/>
          <w:iCs w:val="1"/>
          <w:color w:val="231F20"/>
        </w:rPr>
        <w:t>Disruption of operations could adversely affect our results of operations, cash flows and financial condition.</w:t>
      </w:r>
    </w:p>
    <w:p>
      <w:pPr>
        <w:spacing w:after="0" w:line="110" w:lineRule="exact"/>
        <w:rPr>
          <w:sz w:val="20"/>
          <w:szCs w:val="20"/>
          <w:color w:val="auto"/>
        </w:rPr>
      </w:pPr>
    </w:p>
    <w:p>
      <w:pPr>
        <w:ind w:right="200"/>
        <w:spacing w:after="0" w:line="230" w:lineRule="auto"/>
        <w:rPr>
          <w:sz w:val="20"/>
          <w:szCs w:val="20"/>
          <w:color w:val="auto"/>
        </w:rPr>
      </w:pPr>
      <w:r>
        <w:rPr>
          <w:rFonts w:ascii="Arial" w:cs="Arial" w:eastAsia="Arial" w:hAnsi="Arial"/>
          <w:sz w:val="20"/>
          <w:szCs w:val="20"/>
          <w:color w:val="231F20"/>
        </w:rPr>
        <w:t>We manufacture a significant portion of the products we sell. Any prolonged disruption in our manufacturing operations, whether due to technical or labor difficulties, continued labor shortages, transportation-related shortages, supply chain constraints, weather conditions (including due to the impacts of climate change, particularly for those facilities near any shorelines or in any other area traditionally impacted by extreme weather), lack of raw material or component availability, startup inefficiencies for new operations, cybersecurity incidents, destruction or disruption of, or damage to, any facility (as a result of natural disasters, fires and explosions, use and storage of hazardous materials or other events) or other reasons, could negatively impact our profitability and competitive position and adversely affect our results of operations, cash flows and financial condition.</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20"/>
          <w:szCs w:val="20"/>
          <w:b w:val="1"/>
          <w:bCs w:val="1"/>
          <w:i w:val="1"/>
          <w:iCs w:val="1"/>
          <w:color w:val="231F20"/>
        </w:rPr>
        <w:t>Our inability to obtain raw materials and finished goods in a timely and cost-effective manner from suppliers could adversely affect our ability to manufacture and market our products.</w:t>
      </w:r>
    </w:p>
    <w:p>
      <w:pPr>
        <w:spacing w:after="0" w:line="143"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231F20"/>
        </w:rPr>
        <w:t>We purchase raw materials to be used in manufacturing our products and also rely on third-party manufacturers to produce certain of the finished goods we sell. We often do not enter into long-term contracts with our suppliers or sourcing partners. Instead, most raw materials and sourced goods are obtained on a “purchase order” basis. In addition, in some instances, we maintain single-source or limited-source sourcing relationships, either because multiple sources are not available or the relationship is advantageous due to performance, quality, support, delivery, capacity or price considerations. Financial, operating or other difficulties encountered by our suppliers or sourcing partners or changes in our relationships with them could result in manufacturing or sourcing interruptions, delays and inefficiencies, and prevent us from manufacturing or obtaining the finished goods necessary to meet customer demand. If we are unable to meet customer demand, there could be an adverse effect on our results of operations, cash flows and financial condition.</w:t>
      </w:r>
    </w:p>
    <w:p>
      <w:pPr>
        <w:sectPr>
          <w:pgSz w:w="12240" w:h="15840" w:orient="portrait"/>
          <w:cols w:equalWidth="0" w:num="1">
            <w:col w:w="9480"/>
          </w:cols>
          <w:pgMar w:left="1380" w:top="1350"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11</w:t>
      </w:r>
    </w:p>
    <w:p>
      <w:pPr>
        <w:sectPr>
          <w:pgSz w:w="12240" w:h="15840" w:orient="portrait"/>
          <w:cols w:equalWidth="0" w:num="1">
            <w:col w:w="9480"/>
          </w:cols>
          <w:pgMar w:left="1380" w:top="1350" w:right="1380" w:bottom="95" w:gutter="0" w:footer="0" w:header="0"/>
          <w:type w:val="continuous"/>
        </w:sectPr>
      </w:pPr>
    </w:p>
    <w:bookmarkStart w:id="19" w:name="page20"/>
    <w:bookmarkEnd w:id="19"/>
    <w:p>
      <w:pPr>
        <w:spacing w:after="0" w:line="276" w:lineRule="auto"/>
        <w:rPr>
          <w:sz w:val="20"/>
          <w:szCs w:val="20"/>
          <w:color w:val="auto"/>
        </w:rPr>
      </w:pPr>
      <w:r>
        <w:rPr>
          <w:rFonts w:ascii="Arial" w:cs="Arial" w:eastAsia="Arial" w:hAnsi="Arial"/>
          <w:sz w:val="20"/>
          <w:szCs w:val="20"/>
          <w:b w:val="1"/>
          <w:bCs w:val="1"/>
          <w:i w:val="1"/>
          <w:iCs w:val="1"/>
          <w:color w:val="231F20"/>
        </w:rPr>
        <w:t>Risks associated with strategic acquisitions, divestitures and joint ventures could adversely affect our results of operations, cash flows and financial condition.</w:t>
      </w:r>
    </w:p>
    <w:p>
      <w:pPr>
        <w:spacing w:after="0" w:line="110"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231F20"/>
        </w:rPr>
        <w:t>We consider acquisitions, divestitures and joint ventures as a means of enhancing stockholder value. Acquisitions, divestitures and joint ventures involve risks and uncertainties, including difficulties integrating acquired companies and operating joint ventures; difficulty in finding buyers or alternative exit strategies on acceptable terms in a timely manner, or disposing of a business at a price or on terms that are less desirable than we had anticipated; the difficulties and cost in obtaining any necessary regulatory or government approvals on acceptable terms and any delay from the inability to satisfy pre-closing conditions; difficulties retaining the acquired businesses’ customers; the inability to achieve the expected financial results and synergistic and other benefits of transactions; the impact of divestitures on our revenue growth and any associated dis-synergies; the loss of key employees from acquired or divested companies; implementing and maintaining consistent standards, controls, policies and information systems; and continued financial involvement in a divested business, such as through continuing equity ownership, guarantees, indemnities, transition services or other financial obligations and diversion of management’s attention and resources from other business and strategic matters. Future acquisitions could cause us to incur additional debt or issue additional shares, resulting in dilution in earnings per share and return on capital.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Impairment charges could have a material adverse effect on the Company’s financial results.</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231F20"/>
        </w:rPr>
        <w:t>Goodwill and other acquired intangible assets expected to contribute indefinitely to our cash flows are not amortized, but must be evaluated for impairment by management at least annually. If the carrying value exceeds the implied fair value of goodwill, the goodwill is considered impaired and is reduced to fair value via a non-cash charge to earnings. If the carrying value of an indefinite-lived intangible asset is greater than its fair value, the intangible asset is considered impaired and is reduced to fair value via a non-cash charge to earnings. Future events may occur that would adversely affect the fair value of our goodwill or other acquired intangible assets and require impairment charges. Such events may include, but are not limited to, lower than forecasted revenues, actual new construction and repair and remodel growth rates that fall below our assumptions, actions of key customers, increases in discount rates, continued economic uncertainty, higher levels of unemployment, weak consumer confidence, lower levels of discretionary consumer spending, a decrease in royalty rates and a decline in the trading price of our common stock. We continue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w:t>
      </w:r>
    </w:p>
    <w:p>
      <w:pPr>
        <w:spacing w:after="0" w:line="200" w:lineRule="exact"/>
        <w:rPr>
          <w:sz w:val="20"/>
          <w:szCs w:val="20"/>
          <w:color w:val="auto"/>
        </w:rPr>
      </w:pPr>
    </w:p>
    <w:p>
      <w:pPr>
        <w:ind w:right="20"/>
        <w:spacing w:after="0" w:line="291" w:lineRule="auto"/>
        <w:rPr>
          <w:sz w:val="20"/>
          <w:szCs w:val="20"/>
          <w:color w:val="auto"/>
        </w:rPr>
      </w:pPr>
      <w:r>
        <w:rPr>
          <w:rFonts w:ascii="Arial" w:cs="Arial" w:eastAsia="Arial" w:hAnsi="Arial"/>
          <w:sz w:val="20"/>
          <w:szCs w:val="20"/>
          <w:b w:val="1"/>
          <w:bCs w:val="1"/>
          <w:i w:val="1"/>
          <w:iCs w:val="1"/>
          <w:color w:val="231F20"/>
        </w:rPr>
        <w:t>Our pension costs and funding requirements could increase as a result of volatility in the financial markets and changes in interest rates and actuarial assumptions.</w:t>
      </w:r>
    </w:p>
    <w:p>
      <w:pPr>
        <w:spacing w:after="0" w:line="12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231F20"/>
        </w:rPr>
        <w:t>Our costs of pension benefits may increase and negatively affect our business as a result of: the effect of potential declines in the stock and bond markets on the performance of our pension plan assets; potential reductions in the discount rate used to determine the present value of our benefit obligations; and changes to our investment strategy that may impact our expected return on pension plan assets assumptions. U.S. generally accepted accounting principles require that we calculate income or expense for the plans using actuarial valuations. These valuations reflect assumptions about financial markets and interest rates, which may change based on economic conditions. Our accounting policy for defined benefit plans may subject earnings to volatility due to the recognition of actuarial gains and losses, particularly due to the change in the fair value of pension assets and interest rates. Funding requirements for our U.S. pension plans may become more significant. However, the ultimate amounts to be contributed are dependent upon, among other things, interest rates, underlying asset returns and the impact of legislative or regulatory changes related to pension funding obligations.</w:t>
      </w:r>
    </w:p>
    <w:p>
      <w:pPr>
        <w:sectPr>
          <w:pgSz w:w="12240" w:h="15840" w:orient="portrait"/>
          <w:cols w:equalWidth="0" w:num="1">
            <w:col w:w="9480"/>
          </w:cols>
          <w:pgMar w:left="1380" w:top="1335"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12</w:t>
      </w:r>
    </w:p>
    <w:p>
      <w:pPr>
        <w:sectPr>
          <w:pgSz w:w="12240" w:h="15840" w:orient="portrait"/>
          <w:cols w:equalWidth="0" w:num="1">
            <w:col w:w="9480"/>
          </w:cols>
          <w:pgMar w:left="1380" w:top="1335" w:right="1380" w:bottom="95"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i w:val="1"/>
          <w:iCs w:val="1"/>
          <w:color w:val="231F20"/>
        </w:rPr>
        <w:t>Legal, Regulatory and People Risks</w:t>
      </w:r>
    </w:p>
    <w:p>
      <w:pPr>
        <w:spacing w:after="0" w:line="226" w:lineRule="exact"/>
        <w:rPr>
          <w:sz w:val="20"/>
          <w:szCs w:val="20"/>
          <w:color w:val="auto"/>
        </w:rPr>
      </w:pPr>
    </w:p>
    <w:p>
      <w:pPr>
        <w:ind w:right="300"/>
        <w:spacing w:after="0" w:line="291" w:lineRule="auto"/>
        <w:rPr>
          <w:sz w:val="20"/>
          <w:szCs w:val="20"/>
          <w:color w:val="auto"/>
        </w:rPr>
      </w:pPr>
      <w:r>
        <w:rPr>
          <w:rFonts w:ascii="Arial" w:cs="Arial" w:eastAsia="Arial" w:hAnsi="Arial"/>
          <w:sz w:val="20"/>
          <w:szCs w:val="20"/>
          <w:b w:val="1"/>
          <w:bCs w:val="1"/>
          <w:i w:val="1"/>
          <w:iCs w:val="1"/>
          <w:color w:val="231F20"/>
        </w:rPr>
        <w:t>Our failure to attract and retain qualified personnel and other labor constraints could adversely affect our results of operations, cash flows and financial condition.</w:t>
      </w:r>
    </w:p>
    <w:p>
      <w:pPr>
        <w:spacing w:after="0" w:line="12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231F20"/>
        </w:rPr>
        <w:t>Our success depends in part on the efforts and abilities of qualified personnel at all levels, including our senior management team and other key employees. Their motivation, skills, experience, contacts and industry knowledge significantly benefit our operations and administration.</w:t>
      </w:r>
    </w:p>
    <w:p>
      <w:pPr>
        <w:spacing w:after="0" w:line="164" w:lineRule="exact"/>
        <w:rPr>
          <w:sz w:val="20"/>
          <w:szCs w:val="20"/>
          <w:color w:val="auto"/>
        </w:rPr>
      </w:pPr>
    </w:p>
    <w:p>
      <w:pPr>
        <w:spacing w:after="0" w:line="246" w:lineRule="auto"/>
        <w:rPr>
          <w:sz w:val="20"/>
          <w:szCs w:val="20"/>
          <w:color w:val="auto"/>
        </w:rPr>
      </w:pPr>
      <w:r>
        <w:rPr>
          <w:rFonts w:ascii="Arial" w:cs="Arial" w:eastAsia="Arial" w:hAnsi="Arial"/>
          <w:sz w:val="20"/>
          <w:szCs w:val="20"/>
          <w:color w:val="231F20"/>
        </w:rPr>
        <w:t>Low unemployment rates in the U.S., rising wages, competition for qualified talent and attracting and retaining personnel in remote locations could result in the failure to attract, motivate and retain personnel. These challenges have resulted in higher employee costs, increased attrition and significant shifts in the labor market and employee expectations, and we may continue to face challenges in finding and retaining qualified personnel, particularly at the production level, which could have an adverse effect on our results of operations, cash flows and financial condition.</w:t>
      </w:r>
    </w:p>
    <w:p>
      <w:pPr>
        <w:spacing w:after="0" w:line="184" w:lineRule="exact"/>
        <w:rPr>
          <w:sz w:val="20"/>
          <w:szCs w:val="20"/>
          <w:color w:val="auto"/>
        </w:rPr>
      </w:pPr>
    </w:p>
    <w:p>
      <w:pPr>
        <w:ind w:right="840"/>
        <w:spacing w:after="0" w:line="291" w:lineRule="auto"/>
        <w:rPr>
          <w:sz w:val="20"/>
          <w:szCs w:val="20"/>
          <w:color w:val="auto"/>
        </w:rPr>
      </w:pPr>
      <w:r>
        <w:rPr>
          <w:rFonts w:ascii="Arial" w:cs="Arial" w:eastAsia="Arial" w:hAnsi="Arial"/>
          <w:sz w:val="20"/>
          <w:szCs w:val="20"/>
          <w:b w:val="1"/>
          <w:bCs w:val="1"/>
          <w:i w:val="1"/>
          <w:iCs w:val="1"/>
          <w:color w:val="231F20"/>
        </w:rPr>
        <w:t>Climate change and related impacts, including legislative and regulatory initiatives, could adversely affect our business and results of operations.</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20"/>
          <w:szCs w:val="20"/>
          <w:color w:val="231F20"/>
        </w:rPr>
        <w:t>Concerns over the long-term effects of climate change have led to, and we expect will continue to lead to, governmental efforts around the world to mitigate those effects. The Company will need to respond to any new laws and regulations as well as to consumer, investor and business preferences resulting from climate change concerns and a broader societal transition to a lower-carbon economy, which may increase our operational complexity and result in costs to us in order to comply with any new laws, regulations or preferences. Further, the effects of climate change, including increasingly frequent and severe weather events, may negatively impact international, regional and local economic activity, which may lower demand for our products or disrupt our manufacturing or distribution operations. Overall, climate change, its effects and the resulting, unknown impact on government regulation, consumer, investor and business preferences could have a long-term material adverse effect on our business and results of operations.</w:t>
      </w:r>
    </w:p>
    <w:p>
      <w:pPr>
        <w:spacing w:after="0" w:line="141"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231F20"/>
        </w:rPr>
        <w:t>There continues to be a lack of consistent climate legislation, which creates economic and regulatory uncertainty. Increased public awareness and concern regarding global climate change may result in more international, regional and/or federal requirements or other stakeholder expectations that could mandate more restrictive or expansive standards, more prescriptive reporting of environmental, social and governance metrics than the voluntary commitments we have adopted, or require related changes on a more accelerated time frame than we anticipate. If environmental laws or regulations are either changed or adopted and impose significant operational restrictions and compliance requirements on us, they may have a material adverse effect on our business, access to credit, capital expenditures, operating results and financial condition.</w:t>
      </w:r>
    </w:p>
    <w:p>
      <w:pPr>
        <w:spacing w:after="0" w:line="191" w:lineRule="exact"/>
        <w:rPr>
          <w:sz w:val="20"/>
          <w:szCs w:val="20"/>
          <w:color w:val="auto"/>
        </w:rPr>
      </w:pPr>
    </w:p>
    <w:p>
      <w:pPr>
        <w:ind w:right="1060"/>
        <w:spacing w:after="0" w:line="296" w:lineRule="auto"/>
        <w:rPr>
          <w:sz w:val="20"/>
          <w:szCs w:val="20"/>
          <w:color w:val="auto"/>
        </w:rPr>
      </w:pPr>
      <w:r>
        <w:rPr>
          <w:rFonts w:ascii="Arial" w:cs="Arial" w:eastAsia="Arial" w:hAnsi="Arial"/>
          <w:sz w:val="20"/>
          <w:szCs w:val="20"/>
          <w:b w:val="1"/>
          <w:bCs w:val="1"/>
          <w:i w:val="1"/>
          <w:iCs w:val="1"/>
          <w:color w:val="231F20"/>
        </w:rPr>
        <w:t>Environmental, social and governance matters may adversely impact our business and reputation.</w:t>
      </w:r>
    </w:p>
    <w:p>
      <w:pPr>
        <w:spacing w:after="0" w:line="127" w:lineRule="exact"/>
        <w:rPr>
          <w:sz w:val="20"/>
          <w:szCs w:val="20"/>
          <w:color w:val="auto"/>
        </w:rPr>
      </w:pPr>
    </w:p>
    <w:p>
      <w:pPr>
        <w:ind w:right="180"/>
        <w:spacing w:after="0" w:line="287" w:lineRule="auto"/>
        <w:rPr>
          <w:sz w:val="20"/>
          <w:szCs w:val="20"/>
          <w:color w:val="auto"/>
        </w:rPr>
      </w:pPr>
      <w:r>
        <w:rPr>
          <w:rFonts w:ascii="Arial" w:cs="Arial" w:eastAsia="Arial" w:hAnsi="Arial"/>
          <w:sz w:val="20"/>
          <w:szCs w:val="20"/>
          <w:color w:val="231F20"/>
        </w:rPr>
        <w:t>In addition to the importance of their financial performance, companies are increasingly being judged by their performance on a variety of environmental, social and governance (“ESG”) matters.</w:t>
      </w:r>
    </w:p>
    <w:p>
      <w:pPr>
        <w:spacing w:after="0" w:line="148"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231F20"/>
        </w:rPr>
        <w:t>In light of the increased focus on and public debate surrounding ESG matters, there can be no certainty that we will manage such issues successfully, or that we will successfully meet stakeholder expectations as to our proper role. Any failure or perceived failure by us in this regard could adversely impact our business and reputation.</w:t>
      </w:r>
    </w:p>
    <w:p>
      <w:pPr>
        <w:sectPr>
          <w:pgSz w:w="12240" w:h="15840" w:orient="portrait"/>
          <w:cols w:equalWidth="0" w:num="1">
            <w:col w:w="9440"/>
          </w:cols>
          <w:pgMar w:left="1380" w:top="1346"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13</w:t>
      </w:r>
    </w:p>
    <w:p>
      <w:pPr>
        <w:sectPr>
          <w:pgSz w:w="12240" w:h="15840" w:orient="portrait"/>
          <w:cols w:equalWidth="0" w:num="1">
            <w:col w:w="9440"/>
          </w:cols>
          <w:pgMar w:left="1380" w:top="1346" w:right="1420" w:bottom="95" w:gutter="0" w:footer="0" w:header="0"/>
          <w:type w:val="continuous"/>
        </w:sectPr>
      </w:pPr>
    </w:p>
    <w:bookmarkStart w:id="21" w:name="page22"/>
    <w:bookmarkEnd w:id="21"/>
    <w:p>
      <w:pPr>
        <w:spacing w:after="0" w:line="250" w:lineRule="auto"/>
        <w:rPr>
          <w:sz w:val="20"/>
          <w:szCs w:val="20"/>
          <w:color w:val="auto"/>
        </w:rPr>
      </w:pPr>
      <w:r>
        <w:rPr>
          <w:rFonts w:ascii="Arial" w:cs="Arial" w:eastAsia="Arial" w:hAnsi="Arial"/>
          <w:sz w:val="20"/>
          <w:szCs w:val="20"/>
          <w:color w:val="231F20"/>
        </w:rPr>
        <w:t>In addition, developing and acting on ESG initiatives, including collecting, measuring and reporting related data, can be costly, difficult and time consuming. Significant expenditures and commitment of time by management, employees and outside advisors is involved in developing, implementing and overseeing policies, practices and internal controls related to ESG risk management and performance, and we may undertake additional costs to control, assess and report on ESG metrics as the nature, scope and complexity of ESG reporting, diligence and disclosure requirements or expectations may continue to expand. Such costs may have an adverse impact our business and results of operations.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20"/>
          <w:szCs w:val="20"/>
          <w:color w:val="231F20"/>
        </w:rPr>
        <w:t>We also may face potential governmental enforcement actions, private litigation and other challenges or criticism challenging our ESG and sustainability goals, or our disclosure of those goals and our metrics for measuring achievement of them, which may increase our costs of compliance or adversely affect our reputation, business and results of operations.</w:t>
      </w:r>
    </w:p>
    <w:p>
      <w:pPr>
        <w:spacing w:after="0" w:line="182" w:lineRule="exact"/>
        <w:rPr>
          <w:sz w:val="20"/>
          <w:szCs w:val="20"/>
          <w:color w:val="auto"/>
        </w:rPr>
      </w:pPr>
    </w:p>
    <w:p>
      <w:pPr>
        <w:ind w:right="640"/>
        <w:spacing w:after="0" w:line="296" w:lineRule="auto"/>
        <w:rPr>
          <w:sz w:val="20"/>
          <w:szCs w:val="20"/>
          <w:color w:val="auto"/>
        </w:rPr>
      </w:pPr>
      <w:r>
        <w:rPr>
          <w:rFonts w:ascii="Arial" w:cs="Arial" w:eastAsia="Arial" w:hAnsi="Arial"/>
          <w:sz w:val="20"/>
          <w:szCs w:val="20"/>
          <w:b w:val="1"/>
          <w:bCs w:val="1"/>
          <w:i w:val="1"/>
          <w:iCs w:val="1"/>
          <w:color w:val="231F20"/>
        </w:rPr>
        <w:t>Potential liabilities and costs from claims and litigation could adversely affect our results of operations, cash flows and financial condition.</w:t>
      </w:r>
    </w:p>
    <w:p>
      <w:pPr>
        <w:spacing w:after="0" w:line="127"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231F20"/>
        </w:rPr>
        <w:t>We are, from time to time, involved in various claims, litigation matters and regulatory proceedings that arise in the ordinary course of our business and that could have an adverse effect on us. These matters may include contract disputes, intellectual property disputes, product recalls, personal injury claims, construction defects and home warranty claims, warranty disputes, other types of consumer litigation, environmental claims or proceedings, other tort claims, employment and tax matters, and other proceedings and litigation, including class actions. Defending ourselves in these matters may be time-consuming, expensive and disruptive to normal business operations and may result in significant expense and a diversion of management's focus and attention from other business and strategic matters. It is not possible to predict the outcome of pending or future litigation, and, as with any litigation, it is possible that some of the actions could be decided unfavorably and could have an adverse effect on our results of operations, cash flows and financial condition. Such proceedings could also generate significant adverse publicity and have a negative impact on our reputation and brand image, regardless of the merit of the claims or the existence or amount of liability. Additionally, any amount that we may be required to pay to satisfy a judgment, settlement, fine or penalty may not be covered by insurance and for some matters, such as class actions, no insurance may be available on attractive terms.</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231F20"/>
        </w:rPr>
        <w:t>We are also subject to product safety regulations, recalls and direct claims for product liability that can result in significant liability and, regardless of the ultimate outcome, can be costly to defend or injurious to our brand and reputation. As a result of the difficulty of controlling the quality of products or components sourced from other manufacturers, we are exposed to risks relating to the quality of such products and to limitations on our recourse against such suppliers.</w:t>
      </w:r>
    </w:p>
    <w:p>
      <w:pPr>
        <w:spacing w:after="0" w:line="183" w:lineRule="exact"/>
        <w:rPr>
          <w:sz w:val="20"/>
          <w:szCs w:val="20"/>
          <w:color w:val="auto"/>
        </w:rPr>
      </w:pPr>
    </w:p>
    <w:p>
      <w:pPr>
        <w:ind w:right="280"/>
        <w:spacing w:after="0" w:line="296" w:lineRule="auto"/>
        <w:rPr>
          <w:sz w:val="20"/>
          <w:szCs w:val="20"/>
          <w:color w:val="auto"/>
        </w:rPr>
      </w:pPr>
      <w:r>
        <w:rPr>
          <w:rFonts w:ascii="Arial" w:cs="Arial" w:eastAsia="Arial" w:hAnsi="Arial"/>
          <w:sz w:val="20"/>
          <w:szCs w:val="20"/>
          <w:b w:val="1"/>
          <w:bCs w:val="1"/>
          <w:i w:val="1"/>
          <w:iCs w:val="1"/>
          <w:color w:val="231F20"/>
        </w:rPr>
        <w:t>Changes in government and industry regulatory standards could adversely affect our results of operations, cash flows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231F20"/>
        </w:rPr>
        <w:t>Government regulations and policies pertaining to trade agreements, health and safety (including protection of employees as well as consumers), taxes and environment (including those specific to climate change and the reduction of air and energy emissions) may continue to emerge in the U.S., as well as internationally. In particular, there may be additional tariffs or taxes related to our imported raw materials, components and finished goods. It is necessary for us to comply with current requirements (including requirements that do not become effective until a future date), and even more stringent requirements could be imposed on our products or processes in the future. Compliance with changes in taxes, tariffs and other regulations may require us to further alter our manufacturing and installation processes and our sourcing, and may increase the costs of our products. Such actions may result in customers transitioning to available competitive products; loss of market share; negative publicity; reputational damage; loss of customer confidence; or other negative consequences (including a decline in stock price) and could increase our capital expenditures and adversely impact our results of operations, cash flows and financial condition.</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14</w:t>
      </w:r>
    </w:p>
    <w:p>
      <w:pPr>
        <w:sectPr>
          <w:pgSz w:w="12240" w:h="15840" w:orient="portrait"/>
          <w:cols w:equalWidth="0" w:num="1">
            <w:col w:w="9460"/>
          </w:cols>
          <w:pgMar w:left="1380" w:top="1346" w:right="1400" w:bottom="95" w:gutter="0" w:footer="0" w:header="0"/>
          <w:type w:val="continuous"/>
        </w:sectPr>
      </w:pPr>
    </w:p>
    <w:bookmarkStart w:id="22" w:name="page23"/>
    <w:bookmarkEnd w:id="22"/>
    <w:p>
      <w:pPr>
        <w:ind w:right="480"/>
        <w:spacing w:after="0" w:line="296" w:lineRule="auto"/>
        <w:rPr>
          <w:sz w:val="20"/>
          <w:szCs w:val="20"/>
          <w:color w:val="auto"/>
        </w:rPr>
      </w:pPr>
      <w:r>
        <w:rPr>
          <w:rFonts w:ascii="Arial" w:cs="Arial" w:eastAsia="Arial" w:hAnsi="Arial"/>
          <w:sz w:val="20"/>
          <w:szCs w:val="20"/>
          <w:b w:val="1"/>
          <w:bCs w:val="1"/>
          <w:i w:val="1"/>
          <w:iCs w:val="1"/>
          <w:color w:val="231F20"/>
        </w:rPr>
        <w:t>Future tax law changes or the interpretation of existing tax laws may materially impact our effective income tax rate, the resolution of unrecognized tax benefits and cash tax payments.</w:t>
      </w:r>
    </w:p>
    <w:p>
      <w:pPr>
        <w:spacing w:after="0" w:line="127" w:lineRule="exact"/>
        <w:rPr>
          <w:sz w:val="20"/>
          <w:szCs w:val="20"/>
          <w:color w:val="auto"/>
        </w:rPr>
      </w:pPr>
    </w:p>
    <w:p>
      <w:pPr>
        <w:spacing w:after="0" w:line="246" w:lineRule="auto"/>
        <w:rPr>
          <w:sz w:val="20"/>
          <w:szCs w:val="20"/>
          <w:color w:val="auto"/>
        </w:rPr>
      </w:pPr>
      <w:r>
        <w:rPr>
          <w:rFonts w:ascii="Arial" w:cs="Arial" w:eastAsia="Arial" w:hAnsi="Arial"/>
          <w:sz w:val="20"/>
          <w:szCs w:val="20"/>
          <w:color w:val="231F20"/>
        </w:rPr>
        <w:t>Our businesses are subject to taxation in the U.S., as well as internationally, including income tax, value-added tax and property tax. Our total tax expense could be affected by changes in tax rates in the jurisdictions in which our businesses are subject to taxation, changes in the valuation of deferred tax assets and liabilities, or changes in tax laws or the interpretation of such laws by tax authorities which may have a material impact on our financial results. In addition, we are routinely audited by tax authorities in many jurisdictions. Although we believe we record and accrue tax estimates that are reasonable and appropriate, these estimates are based on assumptions and require the exercise of significant judgment, and there are significant uncertainties in these estimates. As a result, the ultimate outcome from any audit could be materially different from amounts reflected in our income tax provisions and accruals. Future settlements of income tax audits may have a material adverse effect on earnings between the period of initial recognition of tax estimates in our financial statements and the point of ultimate tax audit settlement.</w:t>
      </w:r>
    </w:p>
    <w:p>
      <w:pPr>
        <w:spacing w:after="0" w:line="200" w:lineRule="exact"/>
        <w:rPr>
          <w:sz w:val="20"/>
          <w:szCs w:val="20"/>
          <w:color w:val="auto"/>
        </w:rPr>
      </w:pPr>
    </w:p>
    <w:p>
      <w:pPr>
        <w:spacing w:after="0" w:line="202" w:lineRule="exact"/>
        <w:rPr>
          <w:sz w:val="20"/>
          <w:szCs w:val="20"/>
          <w:color w:val="auto"/>
        </w:rPr>
      </w:pPr>
    </w:p>
    <w:p>
      <w:pPr>
        <w:ind w:right="800"/>
        <w:spacing w:after="0" w:line="276" w:lineRule="auto"/>
        <w:rPr>
          <w:sz w:val="20"/>
          <w:szCs w:val="20"/>
          <w:color w:val="auto"/>
        </w:rPr>
      </w:pPr>
      <w:r>
        <w:rPr>
          <w:rFonts w:ascii="Arial" w:cs="Arial" w:eastAsia="Arial" w:hAnsi="Arial"/>
          <w:sz w:val="20"/>
          <w:szCs w:val="20"/>
          <w:b w:val="1"/>
          <w:bCs w:val="1"/>
          <w:i w:val="1"/>
          <w:iCs w:val="1"/>
          <w:color w:val="231F20"/>
        </w:rPr>
        <w:t>Our inability to secure and protect our intellectual property rights could negatively impact revenues and brand reputation.</w:t>
      </w:r>
    </w:p>
    <w:p>
      <w:pPr>
        <w:spacing w:after="0" w:line="110" w:lineRule="exact"/>
        <w:rPr>
          <w:sz w:val="20"/>
          <w:szCs w:val="20"/>
          <w:color w:val="auto"/>
        </w:rPr>
      </w:pPr>
    </w:p>
    <w:p>
      <w:pPr>
        <w:spacing w:after="0" w:line="228" w:lineRule="auto"/>
        <w:rPr>
          <w:sz w:val="20"/>
          <w:szCs w:val="20"/>
          <w:color w:val="auto"/>
        </w:rPr>
      </w:pPr>
      <w:r>
        <w:rPr>
          <w:rFonts w:ascii="Arial" w:cs="Arial" w:eastAsia="Arial" w:hAnsi="Arial"/>
          <w:sz w:val="20"/>
          <w:szCs w:val="20"/>
          <w:color w:val="231F20"/>
        </w:rPr>
        <w:t>We have many patents, trademarks, brand names, trade names and trade secrets that, in the aggregate, are important to our business. Unauthorized use of these intellectual property rights or other loss of our intellectual property competitive position may not only erode sales of our products but also cause us to incur substantial significant damage to our brand name and reputation, interfere with our ability to effectively represent the Company to our customers, contractors and suppliers, and increase litigation costs. There can be no assurance that our efforts to protect our intellectual property rights will prevent violations. In addition, existing patent, trade secret and trademark laws offer only limited protection, and the laws of some countries in which our products are or may be developed, manufactured or sold may not fully protect our intellectual property from infringement by others. There can be no assurance that our efforts to assess possible third-party intellectual property rights will ensure the Company’s ability to manufacture, distribute, market or sell in any given country or territory. Furthermore, others may assert intellectual property infringement claims against us or our customers, which may require us to incur significant expense to defend such litigation or indemnify our customers.</w:t>
      </w:r>
    </w:p>
    <w:p>
      <w:pPr>
        <w:spacing w:after="0" w:line="140" w:lineRule="exact"/>
        <w:rPr>
          <w:sz w:val="20"/>
          <w:szCs w:val="20"/>
          <w:color w:val="auto"/>
        </w:rPr>
      </w:pPr>
    </w:p>
    <w:p>
      <w:pPr>
        <w:ind w:right="120"/>
        <w:spacing w:after="0" w:line="289" w:lineRule="auto"/>
        <w:rPr>
          <w:sz w:val="20"/>
          <w:szCs w:val="20"/>
          <w:color w:val="auto"/>
        </w:rPr>
      </w:pPr>
      <w:r>
        <w:rPr>
          <w:rFonts w:ascii="Arial" w:cs="Arial" w:eastAsia="Arial" w:hAnsi="Arial"/>
          <w:sz w:val="20"/>
          <w:szCs w:val="20"/>
          <w:b w:val="1"/>
          <w:bCs w:val="1"/>
          <w:i w:val="1"/>
          <w:iCs w:val="1"/>
          <w:color w:val="231F20"/>
        </w:rPr>
        <w:t>COVID-19 has impacted our business and may cause further disruptions to our business, results of operations and financial condition.</w:t>
      </w:r>
    </w:p>
    <w:p>
      <w:pPr>
        <w:spacing w:after="0" w:line="12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231F20"/>
        </w:rPr>
        <w:t>The COVID-19 pandemic impacted many aspects of the Company’s business and operations and COVID-19 or other similar public health emergencies may impact the Company in the future, including by impacting our ability to efficiently operate our facilities across the globe, the ability of our suppliers to supply and manufacture key inputs, availability and cost of transportation and logistics, customer behaviors, our employees, the distributors, dealers and retailers who sell our products, and the market generally. The COVID-19 pandemic may also exacerbate certain of the other risks described in this “Risk Factors” section.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Risks Related to the Separation of MasterBrand</w:t>
      </w:r>
    </w:p>
    <w:p>
      <w:pPr>
        <w:spacing w:after="0" w:line="222" w:lineRule="exact"/>
        <w:rPr>
          <w:sz w:val="20"/>
          <w:szCs w:val="20"/>
          <w:color w:val="auto"/>
        </w:rPr>
      </w:pPr>
    </w:p>
    <w:p>
      <w:pPr>
        <w:ind w:right="820"/>
        <w:spacing w:after="0" w:line="289" w:lineRule="auto"/>
        <w:rPr>
          <w:sz w:val="20"/>
          <w:szCs w:val="20"/>
          <w:color w:val="auto"/>
        </w:rPr>
      </w:pPr>
      <w:r>
        <w:rPr>
          <w:rFonts w:ascii="Arial" w:cs="Arial" w:eastAsia="Arial" w:hAnsi="Arial"/>
          <w:sz w:val="20"/>
          <w:szCs w:val="20"/>
          <w:b w:val="1"/>
          <w:bCs w:val="1"/>
          <w:i w:val="1"/>
          <w:iCs w:val="1"/>
          <w:color w:val="231F20"/>
        </w:rPr>
        <w:t>The Separation may not achieve some or all of the benefits anticipated, and, following the Separation, our stock price may underperform relative to our expectations.</w:t>
      </w:r>
    </w:p>
    <w:p>
      <w:pPr>
        <w:spacing w:after="0" w:line="12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231F20"/>
        </w:rPr>
        <w:t>By completing the Separation of MasterBrand, the Company created two independent, publicly traded companies with the resources to enhance the long-term growth and return prospects and offer substantially greater long-term value to the stockholders, customers and employees of each company. Although we believe that the Separation will continue to provide financial, operational and other benefits to us and our stockholders, it may not ultimately provide such results on the scope or scale that we anticipate, and we may not realize the full strategic and financial benefits we expected. Failure to achieve these benefits could adversely impact our results of operations, cash flows, financial condition and stock price. We are now a smaller and less diversified business than before the Separation, and accordingly certain business and operational risks may be amplified by the Separation.</w:t>
      </w:r>
    </w:p>
    <w:p>
      <w:pPr>
        <w:sectPr>
          <w:pgSz w:w="12240" w:h="15840" w:orient="portrait"/>
          <w:cols w:equalWidth="0" w:num="1">
            <w:col w:w="9440"/>
          </w:cols>
          <w:pgMar w:left="1380" w:top="1350"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15</w:t>
      </w:r>
    </w:p>
    <w:p>
      <w:pPr>
        <w:sectPr>
          <w:pgSz w:w="12240" w:h="15840" w:orient="portrait"/>
          <w:cols w:equalWidth="0" w:num="1">
            <w:col w:w="9440"/>
          </w:cols>
          <w:pgMar w:left="1380" w:top="1350" w:right="1420" w:bottom="95" w:gutter="0" w:footer="0" w:header="0"/>
          <w:type w:val="continuous"/>
        </w:sectPr>
      </w:pPr>
    </w:p>
    <w:bookmarkStart w:id="23" w:name="page24"/>
    <w:bookmarkEnd w:id="23"/>
    <w:p>
      <w:pPr>
        <w:spacing w:after="0" w:line="131"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i w:val="1"/>
          <w:iCs w:val="1"/>
          <w:color w:val="231F20"/>
        </w:rPr>
        <w:t>In connection with the Separation, the Company and MasterBrand have agreed to indemnify each other for certain liabilities. If we are required to indemnify MasterBrand, our financial results could be negatively impacted. Further, MasterBrand’s indemnities may not be sufficient to hold the Company harmless from the full amount of liabilities for which MasterBrand has been allocated responsibility, and MasterBrand may not be able to satisfy its indemnification obligations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231F20"/>
        </w:rPr>
        <w:t>Pursuant to the Separation and Distribution Agreement and certain other agreements between the Company and MasterBrand related to the Separation, each party has agreed to indemnify the other for certain liabilities, in each case for uncapped amounts. Indemnities that MasterBrand is required to provide to us are not subject to any cap and may be significant and could negatively impact our business. Third parties could also seek to hold us responsible for any of the liabilities that MasterBrand has agreed to retain. Any amounts that we may be required to pay pursuant to these indemnification obligations and other liabilities could require us to divert cash that would otherwise have been used in furtherance of our operating business. Further, the indemnities from MasterBrand for our benefit may not be sufficient to protect us against the full amount of such liabilities, and MasterBrand may not be able to fully satisfy its indemnification obligations.</w:t>
      </w:r>
    </w:p>
    <w:p>
      <w:pPr>
        <w:spacing w:after="0" w:line="185" w:lineRule="exact"/>
        <w:rPr>
          <w:sz w:val="20"/>
          <w:szCs w:val="20"/>
          <w:color w:val="auto"/>
        </w:rPr>
      </w:pPr>
    </w:p>
    <w:p>
      <w:pPr>
        <w:ind w:right="200"/>
        <w:spacing w:after="0" w:line="258" w:lineRule="auto"/>
        <w:rPr>
          <w:sz w:val="20"/>
          <w:szCs w:val="20"/>
          <w:color w:val="auto"/>
        </w:rPr>
      </w:pPr>
      <w:r>
        <w:rPr>
          <w:rFonts w:ascii="Arial" w:cs="Arial" w:eastAsia="Arial" w:hAnsi="Arial"/>
          <w:sz w:val="20"/>
          <w:szCs w:val="20"/>
          <w:color w:val="231F20"/>
        </w:rPr>
        <w:t>Moreover, even if we ultimately succeed in recovering from MasterBrand any amounts for which we are held liable, we may be temporarily required to bear these losses. Each of these risks could negatively affect our results of operations, cash flows and financial condition.</w:t>
      </w:r>
    </w:p>
    <w:p>
      <w:pPr>
        <w:spacing w:after="0" w:line="166" w:lineRule="exact"/>
        <w:rPr>
          <w:sz w:val="20"/>
          <w:szCs w:val="20"/>
          <w:color w:val="auto"/>
        </w:rPr>
      </w:pPr>
    </w:p>
    <w:p>
      <w:pPr>
        <w:jc w:val="both"/>
        <w:ind w:right="240"/>
        <w:spacing w:after="0" w:line="262" w:lineRule="auto"/>
        <w:rPr>
          <w:sz w:val="20"/>
          <w:szCs w:val="20"/>
          <w:color w:val="auto"/>
        </w:rPr>
      </w:pPr>
      <w:r>
        <w:rPr>
          <w:rFonts w:ascii="Arial" w:cs="Arial" w:eastAsia="Arial" w:hAnsi="Arial"/>
          <w:sz w:val="20"/>
          <w:szCs w:val="20"/>
          <w:b w:val="1"/>
          <w:bCs w:val="1"/>
          <w:i w:val="1"/>
          <w:iCs w:val="1"/>
          <w:color w:val="231F20"/>
        </w:rPr>
        <w:t>If the Separation, together with certain related transactions, were to fail to qualify as tax-free for U.S. federal income tax purposes, then we and our stockholders could be subject to significant tax liability or tax indemnity obligations.</w:t>
      </w:r>
    </w:p>
    <w:p>
      <w:pPr>
        <w:spacing w:after="0" w:line="146" w:lineRule="exact"/>
        <w:rPr>
          <w:sz w:val="20"/>
          <w:szCs w:val="20"/>
          <w:color w:val="auto"/>
        </w:rPr>
      </w:pPr>
    </w:p>
    <w:p>
      <w:pPr>
        <w:spacing w:after="0" w:line="246" w:lineRule="auto"/>
        <w:rPr>
          <w:sz w:val="20"/>
          <w:szCs w:val="20"/>
          <w:color w:val="auto"/>
        </w:rPr>
      </w:pPr>
      <w:r>
        <w:rPr>
          <w:rFonts w:ascii="Arial" w:cs="Arial" w:eastAsia="Arial" w:hAnsi="Arial"/>
          <w:sz w:val="20"/>
          <w:szCs w:val="20"/>
          <w:color w:val="231F20"/>
        </w:rPr>
        <w:t>We received a private letter ruling from the Internal Revenue Service (the “IRS” and the “IRS Ruling”) and an opinion from Sidley Austin LLP (the “Sidley Opinion”), together, substantially to the effect that the spin-off and the Separation of MasterBrand will qualify as tax-free for U.S. federal income tax purposes under Section 355 of the U.S. Internal Revenue Code of 1986 (except for any stockholders that received cash in lieu of fractional shares of common stock).</w:t>
      </w:r>
    </w:p>
    <w:p>
      <w:pPr>
        <w:spacing w:after="0" w:line="182" w:lineRule="exact"/>
        <w:rPr>
          <w:sz w:val="20"/>
          <w:szCs w:val="20"/>
          <w:color w:val="auto"/>
        </w:rPr>
      </w:pPr>
    </w:p>
    <w:p>
      <w:pPr>
        <w:spacing w:after="0" w:line="250" w:lineRule="auto"/>
        <w:rPr>
          <w:sz w:val="20"/>
          <w:szCs w:val="20"/>
          <w:color w:val="auto"/>
        </w:rPr>
      </w:pPr>
      <w:r>
        <w:rPr>
          <w:rFonts w:ascii="Arial" w:cs="Arial" w:eastAsia="Arial" w:hAnsi="Arial"/>
          <w:sz w:val="20"/>
          <w:szCs w:val="20"/>
          <w:color w:val="231F20"/>
        </w:rPr>
        <w:t>Although a private letter ruling from the IRS is generally binding on the IRS, the IRS Ruling relied on certain facts, assumptions and representations from us and MasterBrand, including representations regarding the past and future conduct of our respective businesses. Moreover, the IRS Ruling is not a comprehensive ruling regarding all aspects of the U.S. federal income tax consequences of the Separation. The Sidley Opinion also relied on certain facts, assumptions and representations, as described therein, as well as the continued validity of the IRS Ruling. The Sidley Opinion is not binding on the IRS or the courts, and the IRS or the courts may not agree with such opinion.</w:t>
      </w:r>
    </w:p>
    <w:p>
      <w:pPr>
        <w:spacing w:after="0" w:line="18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231F20"/>
        </w:rPr>
        <w:t>Notwithstanding the IRS Ruling and the Sidley Opinion, the IRS could determine that the Separation should be treated as taxable if it determines that any of these facts, assumptions, or representations is not correct or has been violated or if it disagrees with the conclusions in the opinion that are not covered by the IRS Ruling, or for other reasons, including as a result of a significant change in stock or asset ownership after the Separation. If the Separation ultimately is determined to be taxable, the Company could recognize gains in an amount generally equal to the excess of the fair market value of the assets of MasterBrand (determined based on the fair market value of the common stock distributed to Fortune Brands' stockholders on the date of the Separation) over MasterBrand’s tax basis in such assets. In addition, the Company could recognize gains in an amount equal to the excess of the fair market value of the MasterBrand common stock distributed to Fortune Brands' stockholders on the date of the Separation over Fortune Brands’ tax basis in such MasterBrand common stock. Furthermore, Fortune Brands could incur significant tax indemnification obligations under the Tax Allocation Agreement related to the Separation.</w:t>
      </w:r>
    </w:p>
    <w:p>
      <w:pPr>
        <w:sectPr>
          <w:pgSz w:w="12240" w:h="15840" w:orient="portrait"/>
          <w:cols w:equalWidth="0" w:num="1">
            <w:col w:w="9440"/>
          </w:cols>
          <w:pgMar w:left="1380" w:top="1440"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16</w:t>
      </w:r>
    </w:p>
    <w:p>
      <w:pPr>
        <w:sectPr>
          <w:pgSz w:w="12240" w:h="15840" w:orient="portrait"/>
          <w:cols w:equalWidth="0" w:num="1">
            <w:col w:w="9440"/>
          </w:cols>
          <w:pgMar w:left="1380" w:top="1440" w:right="1420" w:bottom="95" w:gutter="0" w:footer="0" w:header="0"/>
          <w:type w:val="continuous"/>
        </w:sectPr>
      </w:pPr>
    </w:p>
    <w:bookmarkStart w:id="24" w:name="page25"/>
    <w:bookmarkEnd w:id="24"/>
    <w:p>
      <w:pPr>
        <w:spacing w:after="0"/>
        <w:tabs>
          <w:tab w:leader="none" w:pos="1000" w:val="left"/>
        </w:tabs>
        <w:rPr>
          <w:sz w:val="20"/>
          <w:szCs w:val="20"/>
          <w:color w:val="auto"/>
        </w:rPr>
      </w:pPr>
      <w:r>
        <w:rPr>
          <w:rFonts w:ascii="Arial" w:cs="Arial" w:eastAsia="Arial" w:hAnsi="Arial"/>
          <w:sz w:val="20"/>
          <w:szCs w:val="20"/>
          <w:b w:val="1"/>
          <w:bCs w:val="1"/>
          <w:color w:val="231F20"/>
        </w:rPr>
        <w:t>Item 1B.</w:t>
        <w:tab/>
        <w:t>Unresolved Staff Comments.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231F20"/>
        </w:rPr>
        <w:t>None.</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20"/>
          <w:szCs w:val="20"/>
          <w:b w:val="1"/>
          <w:bCs w:val="1"/>
          <w:color w:val="231F20"/>
        </w:rPr>
        <w:t>Item 1C.</w:t>
        <w:tab/>
        <w:t>Cybersecurity.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231F20"/>
        </w:rPr>
        <w:t>The Company has an enterprise-wide cybersecurity program that is informed by the U.S. Department of Commerce National Institute of Standards and Technology Cybersecurity Framework. Our cybersecurity program encompasses the following key capabilities: 24x7 security monitoring, next-generation network security, advanced email and endpoint security, a dedicated enterprise cybersecurity team, third-party managed security services, third-party security assessment services, incident response retainer services, and external risk monitoring services. The Company also maintains cybersecurity risk insurance coverage to defray the costs of potential information security breaches.</w:t>
      </w:r>
    </w:p>
    <w:p>
      <w:pPr>
        <w:spacing w:after="0" w:line="173" w:lineRule="exact"/>
        <w:rPr>
          <w:sz w:val="20"/>
          <w:szCs w:val="20"/>
          <w:color w:val="auto"/>
        </w:rPr>
      </w:pPr>
    </w:p>
    <w:p>
      <w:pPr>
        <w:ind w:right="20"/>
        <w:spacing w:after="0"/>
        <w:rPr>
          <w:sz w:val="20"/>
          <w:szCs w:val="20"/>
          <w:color w:val="auto"/>
        </w:rPr>
      </w:pPr>
      <w:r>
        <w:rPr>
          <w:rFonts w:ascii="Arial" w:cs="Arial" w:eastAsia="Arial" w:hAnsi="Arial"/>
          <w:sz w:val="20"/>
          <w:szCs w:val="20"/>
          <w:color w:val="231F20"/>
        </w:rPr>
        <w:t>The Company maintains an incident response plan. Our incident response plan coordinates the actions we take to prepare for, detect, respond to, and recover from cybersecurity incidents, which include processes to triage, assess severity for, escalate, contain, investigate, and remediate the incident, as well as to address potentially applicable legal obligations and mitigate brand and reputational damage. Our incident response plan is updated as appropriate in response to changes within our organization or in response to external factors that may impact us. We test our incident response plan by conducting tabletop exercises on an annual basis.</w:t>
      </w:r>
    </w:p>
    <w:p>
      <w:pPr>
        <w:spacing w:after="0" w:line="174"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231F20"/>
        </w:rPr>
        <w:t>Our associates receive annual cybersecurity training, and we conduct mock phishing campaigns to better enable our associates to recognize phishing emails and other social engineering tactics. We have established reporting processes for our associates if they encounter suspicious activity that may give rise to a cybersecurity incident.</w:t>
      </w:r>
    </w:p>
    <w:p>
      <w:pPr>
        <w:spacing w:after="0" w:line="168"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color w:val="231F20"/>
        </w:rPr>
        <w:t>Our cybersecurity risk management and strategy processes are led by our Senior Vice President and Chief Information Officer (“CIO”) and are supported by the Senior Director of Enterprise Cyber Security. These individuals are also supported by both dedicated cybersecurity professionals and third-party security service providers. Our CIO is responsible for leading our technology organization across our global portfolio, which includes ERP, commercial, supply chain, and product development technologies, enterprise architecture, infrastructure, cyber security, technical operations, end-user services, and finance and human resources systems. Our current CIO has over 25 years of experience in information technology matters, and has over a decade of experience at the Company. Our Senior Director of Enterprise Cybersecurity has over 20 years of expanding leadership experience in information technology and 17 years of experience in information security leading and developing security programs. Our CIO provides regular updates on cybersecurity matters to our senior executives. In the event of a cybersecurity incident or incidents, our incident response plan includes detailed processes designed to ensure that information is triaged from our information technology management team to our CIO and to other members of our management team in a timely manner such that senior leadership can assure critical decision support and oversight and otherwise monitor the prevention, mitigation, detection, and remediation of cybersecurity incidents.</w:t>
      </w:r>
    </w:p>
    <w:p>
      <w:pPr>
        <w:spacing w:after="0" w:line="187" w:lineRule="exact"/>
        <w:rPr>
          <w:sz w:val="20"/>
          <w:szCs w:val="20"/>
          <w:color w:val="auto"/>
        </w:rPr>
      </w:pPr>
    </w:p>
    <w:p>
      <w:pPr>
        <w:ind w:right="80"/>
        <w:spacing w:after="0"/>
        <w:rPr>
          <w:sz w:val="20"/>
          <w:szCs w:val="20"/>
          <w:color w:val="auto"/>
        </w:rPr>
      </w:pPr>
      <w:r>
        <w:rPr>
          <w:rFonts w:ascii="Arial" w:cs="Arial" w:eastAsia="Arial" w:hAnsi="Arial"/>
          <w:sz w:val="20"/>
          <w:szCs w:val="20"/>
          <w:color w:val="231F20"/>
        </w:rPr>
        <w:t>Cybersecurity-related risks are assessed as part of the enterprise risk management program. The Audit Committee is responsible for overseeing the Company’s enterprise risk management program. The Audit Committee also oversees the Company's information technology systems and controls, including the cybersecurity program and related risks. Annually, management assesses and ranks the risks identified through the enterprise risk management program according to the likelihood of occurrence and the potential monetary impact, which the Audit Committee reviews. Management also identifies and provides the Audit Committee with quarterly updates on the these risks.</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20"/>
          <w:szCs w:val="20"/>
          <w:color w:val="231F20"/>
        </w:rPr>
        <w:t>The CIO typically reported twice a year to the Audit Committee with cybersecurity updates. During such updates, the CIO generally covered topics such as data security positions, results from third-party assessments, our incident response plan, and any material cybersecurity threats and developments. In 2023, the CIO reported to the Board of Directors on cybersecurity programs and risk mitigation efforts and enhancements to the incident response plan that were applied in 2023. Starting in 2024, the CIO is scheduled to provide the Audit Committee with cybersecurity updates on a quarterly basis.</w:t>
      </w:r>
    </w:p>
    <w:p>
      <w:pPr>
        <w:sectPr>
          <w:pgSz w:w="12240" w:h="15840" w:orient="portrait"/>
          <w:cols w:equalWidth="0" w:num="1">
            <w:col w:w="9460"/>
          </w:cols>
          <w:pgMar w:left="1380" w:top="1334"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17</w:t>
      </w:r>
    </w:p>
    <w:p>
      <w:pPr>
        <w:sectPr>
          <w:pgSz w:w="12240" w:h="15840" w:orient="portrait"/>
          <w:cols w:equalWidth="0" w:num="1">
            <w:col w:w="9460"/>
          </w:cols>
          <w:pgMar w:left="1380" w:top="1334" w:right="1400" w:bottom="95" w:gutter="0" w:footer="0" w:header="0"/>
          <w:type w:val="continuous"/>
        </w:sectPr>
      </w:pPr>
    </w:p>
    <w:bookmarkStart w:id="25" w:name="page26"/>
    <w:bookmarkEnd w:id="25"/>
    <w:p>
      <w:pPr>
        <w:spacing w:after="0" w:line="139"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231F20"/>
        </w:rPr>
        <w:t>As part of the above processes, we engage with assessors, consultants, auditors and other third parties, including by (i) engaging third-party managed security services to assist with the operation of certain aspects of our cybersecurity program, (ii) engaging security assessment services to provide assessments on our cybersecurity program, (iii) engaging an incident response retainer service to provide timely cyber incident response support and digital forensics analysis services, (iv) engaging risk monitoring services to help identify emerging cybersecurity risks, and (v) engaging with other information technology and legal subject matter experts to review our cybersecurity program to help identify areas for continued focus, improvement, and/or compliance.</w:t>
      </w:r>
    </w:p>
    <w:p>
      <w:pPr>
        <w:spacing w:after="0" w:line="18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231F20"/>
        </w:rPr>
        <w:t>Our processes also address cybersecurity threat risks associated with our use of third-party service providers, including risks to our customer, vendor, and employee data and our systems. We conduct due diligence of third parties’ information security programs, and cybersecurity considerations may inform our selection of third-party service providers. In certain circumstances, including in those where we believe a third party could introduce cybersecurity risk to us, we generally contractually require such third parties to manage their cybersecurity risks. We also receive the results of cybersecurity and data privacy audits conducted on certain vendors to determine if those vendors meet our cybersecurity standards.</w:t>
      </w:r>
    </w:p>
    <w:p>
      <w:pPr>
        <w:spacing w:after="0" w:line="18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231F20"/>
        </w:rPr>
        <w:t>We describe the risks that cybersecurity threats, including as a result of any previous cybersecurity incidents, pose to us that have materially affected or are reasonably likely to materially affect us, including our business strategy, results of operations, or financial condition, under the heading “We may experience delays or outages in our information technology systems and computer networks. We may be subject to breaches of our information technology systems or other cybersecurity incidents, which could damage our reputation and consumer relationships. Failures in our information technology systems and the costs of increasing information security regulation could also subject us to significant financial, legal and operational consequences" included as part of our risk factor disclosures under Item 1A of this Annual Report on Form 10-K, which disclosures are incorporated by reference herein. We have experienced, and will continue to experience, cyber incidents in the normal course of our business. However, to our knowledge, we have not had any cybersecurity incidents in the past three years that have had a material adverse effect on our business, financial condition, results of operations, or cash flows.</w:t>
      </w:r>
    </w:p>
    <w:p>
      <w:pPr>
        <w:spacing w:after="0" w:line="37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231F20"/>
        </w:rPr>
        <w:t>Item 2.</w:t>
      </w:r>
      <w:r>
        <w:rPr>
          <w:sz w:val="20"/>
          <w:szCs w:val="20"/>
          <w:color w:val="auto"/>
        </w:rPr>
        <w:tab/>
      </w:r>
      <w:r>
        <w:rPr>
          <w:rFonts w:ascii="Arial" w:cs="Arial" w:eastAsia="Arial" w:hAnsi="Arial"/>
          <w:sz w:val="19"/>
          <w:szCs w:val="19"/>
          <w:b w:val="1"/>
          <w:bCs w:val="1"/>
          <w:color w:val="231F20"/>
        </w:rPr>
        <w:t>Properties.</w:t>
      </w:r>
    </w:p>
    <w:p>
      <w:pPr>
        <w:spacing w:after="0" w:line="189" w:lineRule="exact"/>
        <w:rPr>
          <w:sz w:val="20"/>
          <w:szCs w:val="20"/>
          <w:color w:val="auto"/>
        </w:rPr>
      </w:pPr>
    </w:p>
    <w:p>
      <w:pPr>
        <w:ind w:right="200"/>
        <w:spacing w:after="0" w:line="251" w:lineRule="auto"/>
        <w:rPr>
          <w:sz w:val="20"/>
          <w:szCs w:val="20"/>
          <w:color w:val="auto"/>
        </w:rPr>
      </w:pPr>
      <w:r>
        <w:rPr>
          <w:rFonts w:ascii="Arial" w:cs="Arial" w:eastAsia="Arial" w:hAnsi="Arial"/>
          <w:sz w:val="20"/>
          <w:szCs w:val="20"/>
          <w:color w:val="231F20"/>
        </w:rPr>
        <w:t>Our principal executive office is located in Deerfield, Illinois. We operate 16 U.S. manufacturing facilities in 9 states and have 15 manufacturing facilities in international locations (4 in Mexico, 4 in Europe, 4 in Africa, 2 in Asia and 1 in Canada). In addition, we have 41 distribution centers and warehouses worldwide, of which 35 are leased. Some of our facilities are considered to be multi-use and have been included in more than one facility category. The following table provides additional information with respect to these properties.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240" w:type="dxa"/>
            <w:vAlign w:val="bottom"/>
            <w:tcBorders>
              <w:top w:val="single" w:sz="8" w:color="231F20"/>
            </w:tcBorders>
          </w:tcPr>
          <w:p>
            <w:pPr>
              <w:spacing w:after="0"/>
              <w:rPr>
                <w:sz w:val="14"/>
                <w:szCs w:val="14"/>
                <w:color w:val="auto"/>
              </w:rPr>
            </w:pPr>
          </w:p>
        </w:tc>
        <w:tc>
          <w:tcPr>
            <w:tcW w:w="960" w:type="dxa"/>
            <w:vAlign w:val="bottom"/>
            <w:tcBorders>
              <w:top w:val="single" w:sz="8" w:color="231F20"/>
            </w:tcBorders>
          </w:tcPr>
          <w:p>
            <w:pPr>
              <w:spacing w:after="0"/>
              <w:rPr>
                <w:sz w:val="14"/>
                <w:szCs w:val="14"/>
                <w:color w:val="auto"/>
              </w:rPr>
            </w:pPr>
          </w:p>
        </w:tc>
        <w:tc>
          <w:tcPr>
            <w:tcW w:w="1320" w:type="dxa"/>
            <w:vAlign w:val="bottom"/>
            <w:tcBorders>
              <w:top w:val="single" w:sz="8" w:color="231F20"/>
            </w:tcBorders>
          </w:tcPr>
          <w:p>
            <w:pPr>
              <w:jc w:val="right"/>
              <w:ind w:right="210"/>
              <w:spacing w:after="0" w:line="169" w:lineRule="exact"/>
              <w:rPr>
                <w:sz w:val="20"/>
                <w:szCs w:val="20"/>
                <w:color w:val="auto"/>
              </w:rPr>
            </w:pPr>
            <w:r>
              <w:rPr>
                <w:rFonts w:ascii="Arial" w:cs="Arial" w:eastAsia="Arial" w:hAnsi="Arial"/>
                <w:sz w:val="15"/>
                <w:szCs w:val="15"/>
                <w:color w:val="231F20"/>
              </w:rPr>
              <w:t>Manufacturing</w:t>
            </w:r>
          </w:p>
        </w:tc>
        <w:tc>
          <w:tcPr>
            <w:tcW w:w="840" w:type="dxa"/>
            <w:vAlign w:val="bottom"/>
            <w:tcBorders>
              <w:top w:val="single" w:sz="8" w:color="231F20"/>
            </w:tcBorders>
          </w:tcPr>
          <w:p>
            <w:pPr>
              <w:spacing w:after="0"/>
              <w:rPr>
                <w:sz w:val="14"/>
                <w:szCs w:val="14"/>
                <w:color w:val="auto"/>
              </w:rPr>
            </w:pPr>
          </w:p>
        </w:tc>
        <w:tc>
          <w:tcPr>
            <w:tcW w:w="2400" w:type="dxa"/>
            <w:vAlign w:val="bottom"/>
            <w:tcBorders>
              <w:top w:val="single" w:sz="8" w:color="231F20"/>
            </w:tcBorders>
            <w:gridSpan w:val="2"/>
          </w:tcPr>
          <w:p>
            <w:pPr>
              <w:jc w:val="right"/>
              <w:ind w:right="127"/>
              <w:spacing w:after="0" w:line="169" w:lineRule="exact"/>
              <w:rPr>
                <w:sz w:val="20"/>
                <w:szCs w:val="20"/>
                <w:color w:val="auto"/>
              </w:rPr>
            </w:pPr>
            <w:r>
              <w:rPr>
                <w:rFonts w:ascii="Arial" w:cs="Arial" w:eastAsia="Arial" w:hAnsi="Arial"/>
                <w:sz w:val="15"/>
                <w:szCs w:val="15"/>
                <w:color w:val="231F20"/>
              </w:rPr>
              <w:t>Distribution Centers</w:t>
            </w:r>
          </w:p>
        </w:tc>
        <w:tc>
          <w:tcPr>
            <w:tcW w:w="660" w:type="dxa"/>
            <w:vAlign w:val="bottom"/>
            <w:tcBorders>
              <w:top w:val="single" w:sz="8" w:color="231F20"/>
            </w:tcBorders>
          </w:tcPr>
          <w:p>
            <w:pPr>
              <w:spacing w:after="0"/>
              <w:rPr>
                <w:sz w:val="14"/>
                <w:szCs w:val="14"/>
                <w:color w:val="auto"/>
              </w:rPr>
            </w:pPr>
          </w:p>
        </w:tc>
      </w:tr>
      <w:tr>
        <w:trPr>
          <w:trHeight w:val="189"/>
        </w:trPr>
        <w:tc>
          <w:tcPr>
            <w:tcW w:w="3260" w:type="dxa"/>
            <w:vAlign w:val="bottom"/>
            <w:gridSpan w:val="2"/>
          </w:tcPr>
          <w:p>
            <w:pPr>
              <w:jc w:val="right"/>
              <w:ind w:right="2559"/>
              <w:spacing w:after="0"/>
              <w:rPr>
                <w:sz w:val="20"/>
                <w:szCs w:val="20"/>
                <w:color w:val="auto"/>
              </w:rPr>
            </w:pPr>
            <w:r>
              <w:rPr>
                <w:rFonts w:ascii="Arial" w:cs="Arial" w:eastAsia="Arial" w:hAnsi="Arial"/>
                <w:sz w:val="15"/>
                <w:szCs w:val="15"/>
                <w:color w:val="231F20"/>
                <w:w w:val="96"/>
              </w:rPr>
              <w:t>Segment</w:t>
            </w:r>
          </w:p>
        </w:tc>
        <w:tc>
          <w:tcPr>
            <w:tcW w:w="960" w:type="dxa"/>
            <w:vAlign w:val="bottom"/>
          </w:tcPr>
          <w:p>
            <w:pPr>
              <w:spacing w:after="0"/>
              <w:rPr>
                <w:sz w:val="16"/>
                <w:szCs w:val="16"/>
                <w:color w:val="auto"/>
              </w:rPr>
            </w:pPr>
          </w:p>
        </w:tc>
        <w:tc>
          <w:tcPr>
            <w:tcW w:w="1320" w:type="dxa"/>
            <w:vAlign w:val="bottom"/>
          </w:tcPr>
          <w:p>
            <w:pPr>
              <w:jc w:val="right"/>
              <w:ind w:right="370"/>
              <w:spacing w:after="0"/>
              <w:rPr>
                <w:sz w:val="20"/>
                <w:szCs w:val="20"/>
                <w:color w:val="auto"/>
              </w:rPr>
            </w:pPr>
            <w:r>
              <w:rPr>
                <w:rFonts w:ascii="Arial" w:cs="Arial" w:eastAsia="Arial" w:hAnsi="Arial"/>
                <w:sz w:val="15"/>
                <w:szCs w:val="15"/>
                <w:color w:val="231F20"/>
              </w:rPr>
              <w:t>Facilities</w:t>
            </w: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tcPr>
          <w:p>
            <w:pPr>
              <w:jc w:val="right"/>
              <w:ind w:right="207"/>
              <w:spacing w:after="0"/>
              <w:rPr>
                <w:sz w:val="20"/>
                <w:szCs w:val="20"/>
                <w:color w:val="auto"/>
              </w:rPr>
            </w:pPr>
            <w:r>
              <w:rPr>
                <w:rFonts w:ascii="Arial" w:cs="Arial" w:eastAsia="Arial" w:hAnsi="Arial"/>
                <w:sz w:val="15"/>
                <w:szCs w:val="15"/>
                <w:color w:val="231F20"/>
              </w:rPr>
              <w:t>and Warehouses</w:t>
            </w:r>
          </w:p>
        </w:tc>
        <w:tc>
          <w:tcPr>
            <w:tcW w:w="66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3240" w:type="dxa"/>
            <w:vAlign w:val="bottom"/>
            <w:tcBorders>
              <w:top w:val="single" w:sz="8" w:color="231F20"/>
              <w:bottom w:val="single" w:sz="8" w:color="231F20"/>
              <w:right w:val="single" w:sz="8" w:color="231F20"/>
            </w:tcBorders>
          </w:tcPr>
          <w:p>
            <w:pPr>
              <w:spacing w:after="0"/>
              <w:rPr>
                <w:sz w:val="14"/>
                <w:szCs w:val="14"/>
                <w:color w:val="auto"/>
              </w:rPr>
            </w:pPr>
          </w:p>
        </w:tc>
        <w:tc>
          <w:tcPr>
            <w:tcW w:w="960" w:type="dxa"/>
            <w:vAlign w:val="bottom"/>
            <w:tcBorders>
              <w:top w:val="single" w:sz="8" w:color="231F20"/>
              <w:bottom w:val="single" w:sz="8" w:color="231F20"/>
            </w:tcBorders>
          </w:tcPr>
          <w:p>
            <w:pPr>
              <w:jc w:val="right"/>
              <w:spacing w:after="0" w:line="165" w:lineRule="exact"/>
              <w:rPr>
                <w:sz w:val="20"/>
                <w:szCs w:val="20"/>
                <w:color w:val="auto"/>
              </w:rPr>
            </w:pPr>
            <w:r>
              <w:rPr>
                <w:rFonts w:ascii="Arial" w:cs="Arial" w:eastAsia="Arial" w:hAnsi="Arial"/>
                <w:sz w:val="15"/>
                <w:szCs w:val="15"/>
                <w:i w:val="1"/>
                <w:iCs w:val="1"/>
                <w:color w:val="231F20"/>
              </w:rPr>
              <w:t>Owned</w:t>
            </w:r>
          </w:p>
        </w:tc>
        <w:tc>
          <w:tcPr>
            <w:tcW w:w="1320" w:type="dxa"/>
            <w:vAlign w:val="bottom"/>
            <w:tcBorders>
              <w:top w:val="single" w:sz="8" w:color="231F20"/>
              <w:bottom w:val="single" w:sz="8" w:color="231F20"/>
            </w:tcBorders>
          </w:tcPr>
          <w:p>
            <w:pPr>
              <w:jc w:val="right"/>
              <w:ind w:right="290"/>
              <w:spacing w:after="0" w:line="165" w:lineRule="exact"/>
              <w:rPr>
                <w:sz w:val="20"/>
                <w:szCs w:val="20"/>
                <w:color w:val="auto"/>
              </w:rPr>
            </w:pPr>
            <w:r>
              <w:rPr>
                <w:rFonts w:ascii="Arial" w:cs="Arial" w:eastAsia="Arial" w:hAnsi="Arial"/>
                <w:sz w:val="15"/>
                <w:szCs w:val="15"/>
                <w:i w:val="1"/>
                <w:iCs w:val="1"/>
                <w:color w:val="231F20"/>
              </w:rPr>
              <w:t>Leased</w:t>
            </w:r>
          </w:p>
        </w:tc>
        <w:tc>
          <w:tcPr>
            <w:tcW w:w="840" w:type="dxa"/>
            <w:vAlign w:val="bottom"/>
            <w:tcBorders>
              <w:top w:val="single" w:sz="8" w:color="231F20"/>
              <w:bottom w:val="single" w:sz="8" w:color="231F20"/>
              <w:right w:val="single" w:sz="8" w:color="231F20"/>
            </w:tcBorders>
          </w:tcPr>
          <w:p>
            <w:pPr>
              <w:jc w:val="right"/>
              <w:ind w:right="104"/>
              <w:spacing w:after="0" w:line="165" w:lineRule="exact"/>
              <w:rPr>
                <w:sz w:val="20"/>
                <w:szCs w:val="20"/>
                <w:color w:val="auto"/>
              </w:rPr>
            </w:pPr>
            <w:r>
              <w:rPr>
                <w:rFonts w:ascii="Arial" w:cs="Arial" w:eastAsia="Arial" w:hAnsi="Arial"/>
                <w:sz w:val="15"/>
                <w:szCs w:val="15"/>
                <w:i w:val="1"/>
                <w:iCs w:val="1"/>
                <w:color w:val="231F20"/>
              </w:rPr>
              <w:t>Total</w:t>
            </w:r>
          </w:p>
        </w:tc>
        <w:tc>
          <w:tcPr>
            <w:tcW w:w="920" w:type="dxa"/>
            <w:vAlign w:val="bottom"/>
            <w:tcBorders>
              <w:top w:val="single" w:sz="8" w:color="231F20"/>
              <w:bottom w:val="single" w:sz="8" w:color="231F20"/>
            </w:tcBorders>
          </w:tcPr>
          <w:p>
            <w:pPr>
              <w:jc w:val="right"/>
              <w:spacing w:after="0" w:line="165" w:lineRule="exact"/>
              <w:rPr>
                <w:sz w:val="20"/>
                <w:szCs w:val="20"/>
                <w:color w:val="auto"/>
              </w:rPr>
            </w:pPr>
            <w:r>
              <w:rPr>
                <w:rFonts w:ascii="Arial" w:cs="Arial" w:eastAsia="Arial" w:hAnsi="Arial"/>
                <w:sz w:val="15"/>
                <w:szCs w:val="15"/>
                <w:i w:val="1"/>
                <w:iCs w:val="1"/>
                <w:color w:val="231F20"/>
              </w:rPr>
              <w:t>Owned</w:t>
            </w:r>
          </w:p>
        </w:tc>
        <w:tc>
          <w:tcPr>
            <w:tcW w:w="1480" w:type="dxa"/>
            <w:vAlign w:val="bottom"/>
            <w:tcBorders>
              <w:top w:val="single" w:sz="8" w:color="231F20"/>
              <w:bottom w:val="single" w:sz="8" w:color="231F20"/>
            </w:tcBorders>
          </w:tcPr>
          <w:p>
            <w:pPr>
              <w:jc w:val="right"/>
              <w:ind w:right="387"/>
              <w:spacing w:after="0" w:line="165" w:lineRule="exact"/>
              <w:rPr>
                <w:sz w:val="20"/>
                <w:szCs w:val="20"/>
                <w:color w:val="auto"/>
              </w:rPr>
            </w:pPr>
            <w:r>
              <w:rPr>
                <w:rFonts w:ascii="Arial" w:cs="Arial" w:eastAsia="Arial" w:hAnsi="Arial"/>
                <w:sz w:val="15"/>
                <w:szCs w:val="15"/>
                <w:i w:val="1"/>
                <w:iCs w:val="1"/>
                <w:color w:val="231F20"/>
              </w:rPr>
              <w:t>Leased</w:t>
            </w:r>
          </w:p>
        </w:tc>
        <w:tc>
          <w:tcPr>
            <w:tcW w:w="660" w:type="dxa"/>
            <w:vAlign w:val="bottom"/>
            <w:tcBorders>
              <w:top w:val="single" w:sz="8" w:color="231F20"/>
              <w:bottom w:val="single" w:sz="8" w:color="231F20"/>
            </w:tcBorders>
          </w:tcPr>
          <w:p>
            <w:pPr>
              <w:jc w:val="right"/>
              <w:ind w:right="4"/>
              <w:spacing w:after="0" w:line="165" w:lineRule="exact"/>
              <w:rPr>
                <w:sz w:val="20"/>
                <w:szCs w:val="20"/>
                <w:color w:val="auto"/>
              </w:rPr>
            </w:pPr>
            <w:r>
              <w:rPr>
                <w:rFonts w:ascii="Arial" w:cs="Arial" w:eastAsia="Arial" w:hAnsi="Arial"/>
                <w:sz w:val="15"/>
                <w:szCs w:val="15"/>
                <w:i w:val="1"/>
                <w:iCs w:val="1"/>
                <w:color w:val="231F20"/>
              </w:rPr>
              <w:t>Total</w:t>
            </w:r>
          </w:p>
        </w:tc>
      </w:tr>
      <w:tr>
        <w:trPr>
          <w:trHeight w:val="202"/>
        </w:trPr>
        <w:tc>
          <w:tcPr>
            <w:tcW w:w="20" w:type="dxa"/>
            <w:vAlign w:val="bottom"/>
          </w:tcPr>
          <w:p>
            <w:pPr>
              <w:spacing w:after="0"/>
              <w:rPr>
                <w:sz w:val="17"/>
                <w:szCs w:val="17"/>
                <w:color w:val="auto"/>
              </w:rPr>
            </w:pPr>
          </w:p>
        </w:tc>
        <w:tc>
          <w:tcPr>
            <w:tcW w:w="324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rPr>
              <w:t>Water</w:t>
            </w:r>
            <w:r>
              <w:rPr>
                <w:rFonts w:ascii="Times New Roman" w:cs="Times New Roman" w:eastAsia="Times New Roman" w:hAnsi="Times New Roman"/>
                <w:sz w:val="20"/>
                <w:szCs w:val="20"/>
                <w:color w:val="231F20"/>
              </w:rPr>
              <w:t>.....................................................</w:t>
            </w:r>
          </w:p>
        </w:tc>
        <w:tc>
          <w:tcPr>
            <w:tcW w:w="960" w:type="dxa"/>
            <w:vAlign w:val="bottom"/>
          </w:tcPr>
          <w:p>
            <w:pPr>
              <w:jc w:val="right"/>
              <w:spacing w:after="0" w:line="203" w:lineRule="exact"/>
              <w:rPr>
                <w:sz w:val="20"/>
                <w:szCs w:val="20"/>
                <w:color w:val="auto"/>
              </w:rPr>
            </w:pPr>
            <w:r>
              <w:rPr>
                <w:rFonts w:ascii="Arial" w:cs="Arial" w:eastAsia="Arial" w:hAnsi="Arial"/>
                <w:sz w:val="20"/>
                <w:szCs w:val="20"/>
                <w:color w:val="231F20"/>
              </w:rPr>
              <w:t>7</w:t>
            </w:r>
          </w:p>
        </w:tc>
        <w:tc>
          <w:tcPr>
            <w:tcW w:w="1320" w:type="dxa"/>
            <w:vAlign w:val="bottom"/>
          </w:tcPr>
          <w:p>
            <w:pPr>
              <w:jc w:val="right"/>
              <w:ind w:right="290"/>
              <w:spacing w:after="0" w:line="203" w:lineRule="exact"/>
              <w:rPr>
                <w:sz w:val="20"/>
                <w:szCs w:val="20"/>
                <w:color w:val="auto"/>
              </w:rPr>
            </w:pPr>
            <w:r>
              <w:rPr>
                <w:rFonts w:ascii="Arial" w:cs="Arial" w:eastAsia="Arial" w:hAnsi="Arial"/>
                <w:sz w:val="20"/>
                <w:szCs w:val="20"/>
                <w:color w:val="231F20"/>
              </w:rPr>
              <w:t>6</w:t>
            </w:r>
          </w:p>
        </w:tc>
        <w:tc>
          <w:tcPr>
            <w:tcW w:w="840" w:type="dxa"/>
            <w:vAlign w:val="bottom"/>
            <w:tcBorders>
              <w:right w:val="single" w:sz="8" w:color="231F20"/>
            </w:tcBorders>
          </w:tcPr>
          <w:p>
            <w:pPr>
              <w:jc w:val="right"/>
              <w:ind w:right="104"/>
              <w:spacing w:after="0" w:line="203" w:lineRule="exact"/>
              <w:rPr>
                <w:sz w:val="20"/>
                <w:szCs w:val="20"/>
                <w:color w:val="auto"/>
              </w:rPr>
            </w:pPr>
            <w:r>
              <w:rPr>
                <w:rFonts w:ascii="Arial" w:cs="Arial" w:eastAsia="Arial" w:hAnsi="Arial"/>
                <w:sz w:val="20"/>
                <w:szCs w:val="20"/>
                <w:color w:val="231F20"/>
              </w:rPr>
              <w:t>13</w:t>
            </w:r>
          </w:p>
        </w:tc>
        <w:tc>
          <w:tcPr>
            <w:tcW w:w="920" w:type="dxa"/>
            <w:vAlign w:val="bottom"/>
          </w:tcPr>
          <w:p>
            <w:pPr>
              <w:jc w:val="right"/>
              <w:spacing w:after="0" w:line="203" w:lineRule="exact"/>
              <w:rPr>
                <w:sz w:val="20"/>
                <w:szCs w:val="20"/>
                <w:color w:val="auto"/>
              </w:rPr>
            </w:pPr>
            <w:r>
              <w:rPr>
                <w:rFonts w:ascii="Arial" w:cs="Arial" w:eastAsia="Arial" w:hAnsi="Arial"/>
                <w:sz w:val="20"/>
                <w:szCs w:val="20"/>
                <w:color w:val="231F20"/>
              </w:rPr>
              <w:t>2</w:t>
            </w:r>
          </w:p>
        </w:tc>
        <w:tc>
          <w:tcPr>
            <w:tcW w:w="1480" w:type="dxa"/>
            <w:vAlign w:val="bottom"/>
          </w:tcPr>
          <w:p>
            <w:pPr>
              <w:jc w:val="right"/>
              <w:ind w:right="387"/>
              <w:spacing w:after="0" w:line="203" w:lineRule="exact"/>
              <w:rPr>
                <w:sz w:val="20"/>
                <w:szCs w:val="20"/>
                <w:color w:val="auto"/>
              </w:rPr>
            </w:pPr>
            <w:r>
              <w:rPr>
                <w:rFonts w:ascii="Arial" w:cs="Arial" w:eastAsia="Arial" w:hAnsi="Arial"/>
                <w:sz w:val="20"/>
                <w:szCs w:val="20"/>
                <w:color w:val="231F20"/>
              </w:rPr>
              <w:t>17</w:t>
            </w:r>
          </w:p>
        </w:tc>
        <w:tc>
          <w:tcPr>
            <w:tcW w:w="660" w:type="dxa"/>
            <w:vAlign w:val="bottom"/>
          </w:tcPr>
          <w:p>
            <w:pPr>
              <w:jc w:val="right"/>
              <w:ind w:right="4"/>
              <w:spacing w:after="0" w:line="203" w:lineRule="exact"/>
              <w:rPr>
                <w:sz w:val="20"/>
                <w:szCs w:val="20"/>
                <w:color w:val="auto"/>
              </w:rPr>
            </w:pPr>
            <w:r>
              <w:rPr>
                <w:rFonts w:ascii="Arial" w:cs="Arial" w:eastAsia="Arial" w:hAnsi="Arial"/>
                <w:sz w:val="20"/>
                <w:szCs w:val="20"/>
                <w:color w:val="231F20"/>
              </w:rPr>
              <w:t>19</w:t>
            </w:r>
          </w:p>
        </w:tc>
      </w:tr>
      <w:tr>
        <w:trPr>
          <w:trHeight w:val="233"/>
        </w:trPr>
        <w:tc>
          <w:tcPr>
            <w:tcW w:w="3260" w:type="dxa"/>
            <w:vAlign w:val="bottom"/>
            <w:tcBorders>
              <w:right w:val="single" w:sz="8" w:color="231F20"/>
            </w:tcBorders>
            <w:gridSpan w:val="2"/>
          </w:tcPr>
          <w:p>
            <w:pPr>
              <w:jc w:val="right"/>
              <w:spacing w:after="0"/>
              <w:rPr>
                <w:sz w:val="20"/>
                <w:szCs w:val="20"/>
                <w:color w:val="auto"/>
              </w:rPr>
            </w:pPr>
            <w:r>
              <w:rPr>
                <w:rFonts w:ascii="Arial" w:cs="Arial" w:eastAsia="Arial" w:hAnsi="Arial"/>
                <w:sz w:val="20"/>
                <w:szCs w:val="20"/>
                <w:color w:val="231F20"/>
                <w:w w:val="99"/>
              </w:rPr>
              <w:t xml:space="preserve">Outdoors </w:t>
            </w:r>
            <w:r>
              <w:rPr>
                <w:rFonts w:ascii="Times New Roman" w:cs="Times New Roman" w:eastAsia="Times New Roman" w:hAnsi="Times New Roman"/>
                <w:sz w:val="20"/>
                <w:szCs w:val="20"/>
                <w:color w:val="231F20"/>
                <w:w w:val="99"/>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11</w:t>
            </w:r>
          </w:p>
        </w:tc>
        <w:tc>
          <w:tcPr>
            <w:tcW w:w="1320" w:type="dxa"/>
            <w:vAlign w:val="bottom"/>
          </w:tcPr>
          <w:p>
            <w:pPr>
              <w:jc w:val="right"/>
              <w:ind w:right="290"/>
              <w:spacing w:after="0"/>
              <w:rPr>
                <w:sz w:val="20"/>
                <w:szCs w:val="20"/>
                <w:color w:val="auto"/>
              </w:rPr>
            </w:pPr>
            <w:r>
              <w:rPr>
                <w:rFonts w:ascii="Arial" w:cs="Arial" w:eastAsia="Arial" w:hAnsi="Arial"/>
                <w:sz w:val="20"/>
                <w:szCs w:val="20"/>
                <w:color w:val="231F20"/>
              </w:rPr>
              <w:t>3</w:t>
            </w:r>
          </w:p>
        </w:tc>
        <w:tc>
          <w:tcPr>
            <w:tcW w:w="840" w:type="dxa"/>
            <w:vAlign w:val="bottom"/>
            <w:tcBorders>
              <w:right w:val="single" w:sz="8" w:color="231F20"/>
            </w:tcBorders>
          </w:tcPr>
          <w:p>
            <w:pPr>
              <w:jc w:val="right"/>
              <w:ind w:right="104"/>
              <w:spacing w:after="0"/>
              <w:rPr>
                <w:sz w:val="20"/>
                <w:szCs w:val="20"/>
                <w:color w:val="auto"/>
              </w:rPr>
            </w:pPr>
            <w:r>
              <w:rPr>
                <w:rFonts w:ascii="Arial" w:cs="Arial" w:eastAsia="Arial" w:hAnsi="Arial"/>
                <w:sz w:val="20"/>
                <w:szCs w:val="20"/>
                <w:color w:val="231F20"/>
              </w:rPr>
              <w:t>14</w:t>
            </w:r>
          </w:p>
        </w:tc>
        <w:tc>
          <w:tcPr>
            <w:tcW w:w="920" w:type="dxa"/>
            <w:vAlign w:val="bottom"/>
          </w:tcPr>
          <w:p>
            <w:pPr>
              <w:jc w:val="right"/>
              <w:spacing w:after="0"/>
              <w:rPr>
                <w:sz w:val="20"/>
                <w:szCs w:val="20"/>
                <w:color w:val="auto"/>
              </w:rPr>
            </w:pPr>
            <w:r>
              <w:rPr>
                <w:rFonts w:ascii="Arial" w:cs="Arial" w:eastAsia="Arial" w:hAnsi="Arial"/>
                <w:sz w:val="20"/>
                <w:szCs w:val="20"/>
                <w:color w:val="231F20"/>
              </w:rPr>
              <w:t>3</w:t>
            </w:r>
          </w:p>
        </w:tc>
        <w:tc>
          <w:tcPr>
            <w:tcW w:w="1480" w:type="dxa"/>
            <w:vAlign w:val="bottom"/>
          </w:tcPr>
          <w:p>
            <w:pPr>
              <w:jc w:val="right"/>
              <w:ind w:right="387"/>
              <w:spacing w:after="0"/>
              <w:rPr>
                <w:sz w:val="20"/>
                <w:szCs w:val="20"/>
                <w:color w:val="auto"/>
              </w:rPr>
            </w:pPr>
            <w:r>
              <w:rPr>
                <w:rFonts w:ascii="Arial" w:cs="Arial" w:eastAsia="Arial" w:hAnsi="Arial"/>
                <w:sz w:val="20"/>
                <w:szCs w:val="20"/>
                <w:color w:val="231F20"/>
              </w:rPr>
              <w:t>11</w:t>
            </w:r>
          </w:p>
        </w:tc>
        <w:tc>
          <w:tcPr>
            <w:tcW w:w="660" w:type="dxa"/>
            <w:vAlign w:val="bottom"/>
          </w:tcPr>
          <w:p>
            <w:pPr>
              <w:jc w:val="right"/>
              <w:ind w:right="4"/>
              <w:spacing w:after="0"/>
              <w:rPr>
                <w:sz w:val="20"/>
                <w:szCs w:val="20"/>
                <w:color w:val="auto"/>
              </w:rPr>
            </w:pPr>
            <w:r>
              <w:rPr>
                <w:rFonts w:ascii="Arial" w:cs="Arial" w:eastAsia="Arial" w:hAnsi="Arial"/>
                <w:sz w:val="20"/>
                <w:szCs w:val="20"/>
                <w:color w:val="231F20"/>
              </w:rPr>
              <w:t>14</w:t>
            </w:r>
          </w:p>
        </w:tc>
      </w:tr>
      <w:tr>
        <w:trPr>
          <w:trHeight w:val="253"/>
        </w:trPr>
        <w:tc>
          <w:tcPr>
            <w:tcW w:w="3260" w:type="dxa"/>
            <w:vAlign w:val="bottom"/>
            <w:tcBorders>
              <w:right w:val="single" w:sz="8" w:color="231F20"/>
            </w:tcBorders>
            <w:gridSpan w:val="2"/>
          </w:tcPr>
          <w:p>
            <w:pPr>
              <w:jc w:val="right"/>
              <w:spacing w:after="0"/>
              <w:rPr>
                <w:sz w:val="20"/>
                <w:szCs w:val="20"/>
                <w:color w:val="auto"/>
              </w:rPr>
            </w:pPr>
            <w:r>
              <w:rPr>
                <w:rFonts w:ascii="Arial" w:cs="Arial" w:eastAsia="Arial" w:hAnsi="Arial"/>
                <w:sz w:val="20"/>
                <w:szCs w:val="20"/>
                <w:color w:val="231F20"/>
                <w:w w:val="99"/>
              </w:rPr>
              <w:t xml:space="preserve">Security </w:t>
            </w:r>
            <w:r>
              <w:rPr>
                <w:rFonts w:ascii="Times New Roman" w:cs="Times New Roman" w:eastAsia="Times New Roman" w:hAnsi="Times New Roman"/>
                <w:sz w:val="20"/>
                <w:szCs w:val="20"/>
                <w:color w:val="231F20"/>
                <w:w w:val="99"/>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4</w:t>
            </w:r>
          </w:p>
        </w:tc>
        <w:tc>
          <w:tcPr>
            <w:tcW w:w="1320" w:type="dxa"/>
            <w:vAlign w:val="bottom"/>
          </w:tcPr>
          <w:p>
            <w:pPr>
              <w:jc w:val="right"/>
              <w:ind w:right="290"/>
              <w:spacing w:after="0"/>
              <w:rPr>
                <w:sz w:val="20"/>
                <w:szCs w:val="20"/>
                <w:color w:val="auto"/>
              </w:rPr>
            </w:pPr>
            <w:r>
              <w:rPr>
                <w:rFonts w:ascii="Arial" w:cs="Arial" w:eastAsia="Arial" w:hAnsi="Arial"/>
                <w:sz w:val="20"/>
                <w:szCs w:val="20"/>
                <w:color w:val="231F20"/>
              </w:rPr>
              <w:t>—</w:t>
            </w:r>
          </w:p>
        </w:tc>
        <w:tc>
          <w:tcPr>
            <w:tcW w:w="840" w:type="dxa"/>
            <w:vAlign w:val="bottom"/>
            <w:tcBorders>
              <w:right w:val="single" w:sz="8" w:color="231F20"/>
            </w:tcBorders>
          </w:tcPr>
          <w:p>
            <w:pPr>
              <w:jc w:val="right"/>
              <w:ind w:right="104"/>
              <w:spacing w:after="0"/>
              <w:rPr>
                <w:sz w:val="20"/>
                <w:szCs w:val="20"/>
                <w:color w:val="auto"/>
              </w:rPr>
            </w:pPr>
            <w:r>
              <w:rPr>
                <w:rFonts w:ascii="Arial" w:cs="Arial" w:eastAsia="Arial" w:hAnsi="Arial"/>
                <w:sz w:val="20"/>
                <w:szCs w:val="20"/>
                <w:color w:val="231F20"/>
              </w:rPr>
              <w:t>4</w:t>
            </w:r>
          </w:p>
        </w:tc>
        <w:tc>
          <w:tcPr>
            <w:tcW w:w="920" w:type="dxa"/>
            <w:vAlign w:val="bottom"/>
          </w:tcPr>
          <w:p>
            <w:pPr>
              <w:jc w:val="right"/>
              <w:spacing w:after="0"/>
              <w:rPr>
                <w:sz w:val="20"/>
                <w:szCs w:val="20"/>
                <w:color w:val="auto"/>
              </w:rPr>
            </w:pPr>
            <w:r>
              <w:rPr>
                <w:rFonts w:ascii="Arial" w:cs="Arial" w:eastAsia="Arial" w:hAnsi="Arial"/>
                <w:sz w:val="20"/>
                <w:szCs w:val="20"/>
                <w:color w:val="231F20"/>
              </w:rPr>
              <w:t>1</w:t>
            </w:r>
          </w:p>
        </w:tc>
        <w:tc>
          <w:tcPr>
            <w:tcW w:w="1480" w:type="dxa"/>
            <w:vAlign w:val="bottom"/>
          </w:tcPr>
          <w:p>
            <w:pPr>
              <w:jc w:val="right"/>
              <w:ind w:right="387"/>
              <w:spacing w:after="0"/>
              <w:rPr>
                <w:sz w:val="20"/>
                <w:szCs w:val="20"/>
                <w:color w:val="auto"/>
              </w:rPr>
            </w:pPr>
            <w:r>
              <w:rPr>
                <w:rFonts w:ascii="Arial" w:cs="Arial" w:eastAsia="Arial" w:hAnsi="Arial"/>
                <w:sz w:val="20"/>
                <w:szCs w:val="20"/>
                <w:color w:val="231F20"/>
              </w:rPr>
              <w:t>7</w:t>
            </w:r>
          </w:p>
        </w:tc>
        <w:tc>
          <w:tcPr>
            <w:tcW w:w="660" w:type="dxa"/>
            <w:vAlign w:val="bottom"/>
          </w:tcPr>
          <w:p>
            <w:pPr>
              <w:jc w:val="right"/>
              <w:ind w:right="4"/>
              <w:spacing w:after="0"/>
              <w:rPr>
                <w:sz w:val="20"/>
                <w:szCs w:val="20"/>
                <w:color w:val="auto"/>
              </w:rPr>
            </w:pPr>
            <w:r>
              <w:rPr>
                <w:rFonts w:ascii="Arial" w:cs="Arial" w:eastAsia="Arial" w:hAnsi="Arial"/>
                <w:sz w:val="20"/>
                <w:szCs w:val="20"/>
                <w:color w:val="231F20"/>
              </w:rPr>
              <w:t>8</w:t>
            </w:r>
          </w:p>
        </w:tc>
      </w:tr>
      <w:tr>
        <w:trPr>
          <w:trHeight w:val="248"/>
        </w:trPr>
        <w:tc>
          <w:tcPr>
            <w:tcW w:w="20" w:type="dxa"/>
            <w:vAlign w:val="bottom"/>
          </w:tcPr>
          <w:p>
            <w:pPr>
              <w:spacing w:after="0"/>
              <w:rPr>
                <w:sz w:val="21"/>
                <w:szCs w:val="21"/>
                <w:color w:val="auto"/>
              </w:rPr>
            </w:pPr>
          </w:p>
        </w:tc>
        <w:tc>
          <w:tcPr>
            <w:tcW w:w="3240" w:type="dxa"/>
            <w:vAlign w:val="bottom"/>
            <w:tcBorders>
              <w:top w:val="single" w:sz="8" w:color="231F20"/>
              <w:bottom w:val="single" w:sz="8" w:color="231F20"/>
              <w:right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Totals </w:t>
            </w:r>
            <w:r>
              <w:rPr>
                <w:rFonts w:ascii="Times New Roman" w:cs="Times New Roman" w:eastAsia="Times New Roman" w:hAnsi="Times New Roman"/>
                <w:sz w:val="20"/>
                <w:szCs w:val="20"/>
                <w:color w:val="231F20"/>
              </w:rPr>
              <w:t>...............................................</w:t>
            </w:r>
          </w:p>
        </w:tc>
        <w:tc>
          <w:tcPr>
            <w:tcW w:w="960" w:type="dxa"/>
            <w:vAlign w:val="bottom"/>
            <w:tcBorders>
              <w:top w:val="single" w:sz="8" w:color="231F20"/>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22</w:t>
            </w:r>
          </w:p>
        </w:tc>
        <w:tc>
          <w:tcPr>
            <w:tcW w:w="1320" w:type="dxa"/>
            <w:vAlign w:val="bottom"/>
            <w:tcBorders>
              <w:top w:val="single" w:sz="8" w:color="231F20"/>
              <w:bottom w:val="single" w:sz="8" w:color="231F20"/>
            </w:tcBorders>
          </w:tcPr>
          <w:p>
            <w:pPr>
              <w:jc w:val="right"/>
              <w:ind w:right="290"/>
              <w:spacing w:after="0" w:line="223" w:lineRule="exact"/>
              <w:rPr>
                <w:sz w:val="20"/>
                <w:szCs w:val="20"/>
                <w:color w:val="auto"/>
              </w:rPr>
            </w:pPr>
            <w:r>
              <w:rPr>
                <w:rFonts w:ascii="Arial" w:cs="Arial" w:eastAsia="Arial" w:hAnsi="Arial"/>
                <w:sz w:val="20"/>
                <w:szCs w:val="20"/>
                <w:color w:val="231F20"/>
              </w:rPr>
              <w:t>9</w:t>
            </w:r>
          </w:p>
        </w:tc>
        <w:tc>
          <w:tcPr>
            <w:tcW w:w="840" w:type="dxa"/>
            <w:vAlign w:val="bottom"/>
            <w:tcBorders>
              <w:top w:val="single" w:sz="8" w:color="231F20"/>
              <w:bottom w:val="single" w:sz="8" w:color="231F20"/>
              <w:right w:val="single" w:sz="8" w:color="231F20"/>
            </w:tcBorders>
          </w:tcPr>
          <w:p>
            <w:pPr>
              <w:jc w:val="right"/>
              <w:ind w:right="104"/>
              <w:spacing w:after="0" w:line="223" w:lineRule="exact"/>
              <w:rPr>
                <w:sz w:val="20"/>
                <w:szCs w:val="20"/>
                <w:color w:val="auto"/>
              </w:rPr>
            </w:pPr>
            <w:r>
              <w:rPr>
                <w:rFonts w:ascii="Arial" w:cs="Arial" w:eastAsia="Arial" w:hAnsi="Arial"/>
                <w:sz w:val="20"/>
                <w:szCs w:val="20"/>
                <w:color w:val="231F20"/>
              </w:rPr>
              <w:t>31</w:t>
            </w:r>
          </w:p>
        </w:tc>
        <w:tc>
          <w:tcPr>
            <w:tcW w:w="920" w:type="dxa"/>
            <w:vAlign w:val="bottom"/>
            <w:tcBorders>
              <w:top w:val="single" w:sz="8" w:color="231F20"/>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w:t>
            </w:r>
          </w:p>
        </w:tc>
        <w:tc>
          <w:tcPr>
            <w:tcW w:w="1480" w:type="dxa"/>
            <w:vAlign w:val="bottom"/>
            <w:tcBorders>
              <w:top w:val="single" w:sz="8" w:color="231F20"/>
              <w:bottom w:val="single" w:sz="8" w:color="231F20"/>
            </w:tcBorders>
          </w:tcPr>
          <w:p>
            <w:pPr>
              <w:jc w:val="right"/>
              <w:ind w:right="387"/>
              <w:spacing w:after="0" w:line="223" w:lineRule="exact"/>
              <w:rPr>
                <w:sz w:val="20"/>
                <w:szCs w:val="20"/>
                <w:color w:val="auto"/>
              </w:rPr>
            </w:pPr>
            <w:r>
              <w:rPr>
                <w:rFonts w:ascii="Arial" w:cs="Arial" w:eastAsia="Arial" w:hAnsi="Arial"/>
                <w:sz w:val="20"/>
                <w:szCs w:val="20"/>
                <w:color w:val="231F20"/>
              </w:rPr>
              <w:t>35</w:t>
            </w:r>
          </w:p>
        </w:tc>
        <w:tc>
          <w:tcPr>
            <w:tcW w:w="660" w:type="dxa"/>
            <w:vAlign w:val="bottom"/>
            <w:tcBorders>
              <w:top w:val="single" w:sz="8" w:color="231F20"/>
              <w:bottom w:val="single" w:sz="8" w:color="231F20"/>
            </w:tcBorders>
          </w:tcPr>
          <w:p>
            <w:pPr>
              <w:jc w:val="right"/>
              <w:ind w:right="4"/>
              <w:spacing w:after="0" w:line="223" w:lineRule="exact"/>
              <w:rPr>
                <w:sz w:val="20"/>
                <w:szCs w:val="20"/>
                <w:color w:val="auto"/>
              </w:rPr>
            </w:pPr>
            <w:r>
              <w:rPr>
                <w:rFonts w:ascii="Arial" w:cs="Arial" w:eastAsia="Arial" w:hAnsi="Arial"/>
                <w:sz w:val="20"/>
                <w:szCs w:val="20"/>
                <w:color w:val="231F20"/>
              </w:rPr>
              <w:t>41</w:t>
            </w:r>
          </w:p>
        </w:tc>
      </w:tr>
    </w:tbl>
    <w:p>
      <w:pPr>
        <w:spacing w:after="0" w:line="190" w:lineRule="exact"/>
        <w:rPr>
          <w:sz w:val="20"/>
          <w:szCs w:val="20"/>
          <w:color w:val="auto"/>
        </w:rPr>
      </w:pPr>
    </w:p>
    <w:p>
      <w:pPr>
        <w:ind w:right="240"/>
        <w:spacing w:after="0" w:line="287" w:lineRule="auto"/>
        <w:rPr>
          <w:sz w:val="20"/>
          <w:szCs w:val="20"/>
          <w:color w:val="auto"/>
        </w:rPr>
      </w:pPr>
      <w:r>
        <w:rPr>
          <w:rFonts w:ascii="Arial" w:cs="Arial" w:eastAsia="Arial" w:hAnsi="Arial"/>
          <w:sz w:val="20"/>
          <w:szCs w:val="20"/>
          <w:color w:val="231F20"/>
        </w:rPr>
        <w:t>We are of the opinion that the properties are suitable to our respective businesses and have production capacities adequate to meet the current needs of our businesses.</w:t>
      </w:r>
    </w:p>
    <w:p>
      <w:pPr>
        <w:sectPr>
          <w:pgSz w:w="12240" w:h="15840" w:orient="portrait"/>
          <w:cols w:equalWidth="0" w:num="1">
            <w:col w:w="9460"/>
          </w:cols>
          <w:pgMar w:left="1380" w:top="1440"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18</w:t>
      </w:r>
    </w:p>
    <w:p>
      <w:pPr>
        <w:sectPr>
          <w:pgSz w:w="12240" w:h="15840" w:orient="portrait"/>
          <w:cols w:equalWidth="0" w:num="1">
            <w:col w:w="9460"/>
          </w:cols>
          <w:pgMar w:left="1380" w:top="1440" w:right="1400" w:bottom="95" w:gutter="0" w:footer="0" w:header="0"/>
          <w:type w:val="continuous"/>
        </w:sectPr>
      </w:pPr>
    </w:p>
    <w:bookmarkStart w:id="26" w:name="page27"/>
    <w:bookmarkEnd w:id="26"/>
    <w:p>
      <w:pPr>
        <w:spacing w:after="0"/>
        <w:tabs>
          <w:tab w:leader="none" w:pos="860" w:val="left"/>
        </w:tabs>
        <w:rPr>
          <w:sz w:val="20"/>
          <w:szCs w:val="20"/>
          <w:color w:val="auto"/>
        </w:rPr>
      </w:pPr>
      <w:r>
        <w:rPr>
          <w:rFonts w:ascii="Arial" w:cs="Arial" w:eastAsia="Arial" w:hAnsi="Arial"/>
          <w:sz w:val="20"/>
          <w:szCs w:val="20"/>
          <w:b w:val="1"/>
          <w:bCs w:val="1"/>
          <w:color w:val="231F20"/>
        </w:rPr>
        <w:t>Item 3.</w:t>
        <w:tab/>
        <w:t>Legal Proceedings.</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231F20"/>
        </w:rPr>
        <w:t>The Company is a defendant in lawsuits that are ordinary, routine litigation matters incidental to its businesses. It is not possible to predict the outcome of the pending actions, and, as with any litigation, it is possible that these actions could be decided unfavorably to the Company. The Company believes that there are meritorious defenses to these actions and that these actions will not have a material adverse effect upon the Company’s results of operations, cash flows or financial condition, and, where appropriate, these actions are being vigorously contested. Accordingly, the Company believes the likelihood of material loss is remote.</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231F20"/>
        </w:rPr>
        <w:t>Item 4.</w:t>
        <w:tab/>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Information about our current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As of the date of this filing, our executive officers 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20" w:type="dxa"/>
            <w:vAlign w:val="bottom"/>
            <w:tcBorders>
              <w:top w:val="single" w:sz="8" w:color="231F20"/>
              <w:bottom w:val="single" w:sz="8" w:color="231F20"/>
            </w:tcBorders>
          </w:tcPr>
          <w:p>
            <w:pPr>
              <w:spacing w:after="0"/>
              <w:rPr>
                <w:sz w:val="20"/>
                <w:szCs w:val="20"/>
                <w:color w:val="auto"/>
              </w:rPr>
            </w:pPr>
            <w:r>
              <w:rPr>
                <w:rFonts w:ascii="Arial" w:cs="Arial" w:eastAsia="Arial" w:hAnsi="Arial"/>
                <w:sz w:val="15"/>
                <w:szCs w:val="15"/>
                <w:color w:val="231F20"/>
              </w:rPr>
              <w:t>Name</w:t>
            </w:r>
          </w:p>
        </w:tc>
        <w:tc>
          <w:tcPr>
            <w:tcW w:w="760" w:type="dxa"/>
            <w:vAlign w:val="bottom"/>
            <w:tcBorders>
              <w:top w:val="single" w:sz="8" w:color="231F20"/>
              <w:bottom w:val="single" w:sz="8" w:color="231F20"/>
            </w:tcBorders>
          </w:tcPr>
          <w:p>
            <w:pPr>
              <w:ind w:left="280"/>
              <w:spacing w:after="0"/>
              <w:rPr>
                <w:sz w:val="20"/>
                <w:szCs w:val="20"/>
                <w:color w:val="auto"/>
              </w:rPr>
            </w:pPr>
            <w:r>
              <w:rPr>
                <w:rFonts w:ascii="Arial" w:cs="Arial" w:eastAsia="Arial" w:hAnsi="Arial"/>
                <w:sz w:val="15"/>
                <w:szCs w:val="15"/>
                <w:color w:val="231F20"/>
              </w:rPr>
              <w:t>Age</w:t>
            </w:r>
          </w:p>
        </w:tc>
        <w:tc>
          <w:tcPr>
            <w:tcW w:w="6500" w:type="dxa"/>
            <w:vAlign w:val="bottom"/>
            <w:tcBorders>
              <w:top w:val="single" w:sz="8" w:color="231F20"/>
              <w:bottom w:val="single" w:sz="8" w:color="231F20"/>
            </w:tcBorders>
          </w:tcPr>
          <w:p>
            <w:pPr>
              <w:ind w:left="220"/>
              <w:spacing w:after="0"/>
              <w:rPr>
                <w:sz w:val="20"/>
                <w:szCs w:val="20"/>
                <w:color w:val="auto"/>
              </w:rPr>
            </w:pPr>
            <w:r>
              <w:rPr>
                <w:rFonts w:ascii="Arial" w:cs="Arial" w:eastAsia="Arial" w:hAnsi="Arial"/>
                <w:sz w:val="15"/>
                <w:szCs w:val="15"/>
                <w:color w:val="231F20"/>
              </w:rPr>
              <w:t>Position</w:t>
            </w:r>
          </w:p>
        </w:tc>
      </w:tr>
      <w:tr>
        <w:trPr>
          <w:trHeight w:val="203"/>
        </w:trPr>
        <w:tc>
          <w:tcPr>
            <w:tcW w:w="2220" w:type="dxa"/>
            <w:vAlign w:val="bottom"/>
          </w:tcPr>
          <w:p>
            <w:pPr>
              <w:spacing w:after="0" w:line="204" w:lineRule="exact"/>
              <w:rPr>
                <w:sz w:val="20"/>
                <w:szCs w:val="20"/>
                <w:color w:val="auto"/>
              </w:rPr>
            </w:pPr>
            <w:r>
              <w:rPr>
                <w:rFonts w:ascii="Arial" w:cs="Arial" w:eastAsia="Arial" w:hAnsi="Arial"/>
                <w:sz w:val="20"/>
                <w:szCs w:val="20"/>
                <w:color w:val="231F20"/>
              </w:rPr>
              <w:t>Nicholas I. Fink</w:t>
            </w:r>
          </w:p>
        </w:tc>
        <w:tc>
          <w:tcPr>
            <w:tcW w:w="760" w:type="dxa"/>
            <w:vAlign w:val="bottom"/>
          </w:tcPr>
          <w:p>
            <w:pPr>
              <w:ind w:left="300"/>
              <w:spacing w:after="0" w:line="204" w:lineRule="exact"/>
              <w:rPr>
                <w:sz w:val="20"/>
                <w:szCs w:val="20"/>
                <w:color w:val="auto"/>
              </w:rPr>
            </w:pPr>
            <w:r>
              <w:rPr>
                <w:rFonts w:ascii="Arial" w:cs="Arial" w:eastAsia="Arial" w:hAnsi="Arial"/>
                <w:sz w:val="20"/>
                <w:szCs w:val="20"/>
                <w:color w:val="231F20"/>
              </w:rPr>
              <w:t>49</w:t>
            </w:r>
          </w:p>
        </w:tc>
        <w:tc>
          <w:tcPr>
            <w:tcW w:w="6500" w:type="dxa"/>
            <w:vAlign w:val="bottom"/>
          </w:tcPr>
          <w:p>
            <w:pPr>
              <w:ind w:left="220"/>
              <w:spacing w:after="0" w:line="204" w:lineRule="exact"/>
              <w:rPr>
                <w:sz w:val="20"/>
                <w:szCs w:val="20"/>
                <w:color w:val="auto"/>
              </w:rPr>
            </w:pPr>
            <w:r>
              <w:rPr>
                <w:rFonts w:ascii="Arial" w:cs="Arial" w:eastAsia="Arial" w:hAnsi="Arial"/>
                <w:sz w:val="20"/>
                <w:szCs w:val="20"/>
                <w:color w:val="231F20"/>
              </w:rPr>
              <w:t>Chief Executive Officer</w:t>
            </w:r>
          </w:p>
        </w:tc>
      </w:tr>
      <w:tr>
        <w:trPr>
          <w:trHeight w:val="233"/>
        </w:trPr>
        <w:tc>
          <w:tcPr>
            <w:tcW w:w="2220" w:type="dxa"/>
            <w:vAlign w:val="bottom"/>
          </w:tcPr>
          <w:p>
            <w:pPr>
              <w:spacing w:after="0"/>
              <w:rPr>
                <w:sz w:val="20"/>
                <w:szCs w:val="20"/>
                <w:color w:val="auto"/>
              </w:rPr>
            </w:pPr>
            <w:r>
              <w:rPr>
                <w:rFonts w:ascii="Arial" w:cs="Arial" w:eastAsia="Arial" w:hAnsi="Arial"/>
                <w:sz w:val="20"/>
                <w:szCs w:val="20"/>
                <w:color w:val="231F20"/>
              </w:rPr>
              <w:t>David V. Barry</w:t>
            </w:r>
          </w:p>
        </w:tc>
        <w:tc>
          <w:tcPr>
            <w:tcW w:w="760" w:type="dxa"/>
            <w:vAlign w:val="bottom"/>
          </w:tcPr>
          <w:p>
            <w:pPr>
              <w:ind w:left="300"/>
              <w:spacing w:after="0"/>
              <w:rPr>
                <w:sz w:val="20"/>
                <w:szCs w:val="20"/>
                <w:color w:val="auto"/>
              </w:rPr>
            </w:pPr>
            <w:r>
              <w:rPr>
                <w:rFonts w:ascii="Arial" w:cs="Arial" w:eastAsia="Arial" w:hAnsi="Arial"/>
                <w:sz w:val="20"/>
                <w:szCs w:val="20"/>
                <w:color w:val="231F20"/>
              </w:rPr>
              <w:t>42</w:t>
            </w:r>
          </w:p>
        </w:tc>
        <w:tc>
          <w:tcPr>
            <w:tcW w:w="6500" w:type="dxa"/>
            <w:vAlign w:val="bottom"/>
          </w:tcPr>
          <w:p>
            <w:pPr>
              <w:ind w:left="220"/>
              <w:spacing w:after="0"/>
              <w:rPr>
                <w:sz w:val="20"/>
                <w:szCs w:val="20"/>
                <w:color w:val="auto"/>
              </w:rPr>
            </w:pPr>
            <w:r>
              <w:rPr>
                <w:rFonts w:ascii="Arial" w:cs="Arial" w:eastAsia="Arial" w:hAnsi="Arial"/>
                <w:sz w:val="20"/>
                <w:szCs w:val="20"/>
                <w:color w:val="231F20"/>
              </w:rPr>
              <w:t>Executive Vice President and Chief Financial Officer</w:t>
            </w:r>
          </w:p>
        </w:tc>
      </w:tr>
      <w:tr>
        <w:trPr>
          <w:trHeight w:val="233"/>
        </w:trPr>
        <w:tc>
          <w:tcPr>
            <w:tcW w:w="2220" w:type="dxa"/>
            <w:vAlign w:val="bottom"/>
          </w:tcPr>
          <w:p>
            <w:pPr>
              <w:spacing w:after="0"/>
              <w:rPr>
                <w:sz w:val="20"/>
                <w:szCs w:val="20"/>
                <w:color w:val="auto"/>
              </w:rPr>
            </w:pPr>
            <w:r>
              <w:rPr>
                <w:rFonts w:ascii="Arial" w:cs="Arial" w:eastAsia="Arial" w:hAnsi="Arial"/>
                <w:sz w:val="20"/>
                <w:szCs w:val="20"/>
                <w:color w:val="231F20"/>
              </w:rPr>
              <w:t>Hiranda S. Donoghue</w:t>
            </w:r>
          </w:p>
        </w:tc>
        <w:tc>
          <w:tcPr>
            <w:tcW w:w="760" w:type="dxa"/>
            <w:vAlign w:val="bottom"/>
          </w:tcPr>
          <w:p>
            <w:pPr>
              <w:ind w:left="300"/>
              <w:spacing w:after="0"/>
              <w:rPr>
                <w:sz w:val="20"/>
                <w:szCs w:val="20"/>
                <w:color w:val="auto"/>
              </w:rPr>
            </w:pPr>
            <w:r>
              <w:rPr>
                <w:rFonts w:ascii="Arial" w:cs="Arial" w:eastAsia="Arial" w:hAnsi="Arial"/>
                <w:sz w:val="20"/>
                <w:szCs w:val="20"/>
                <w:color w:val="231F20"/>
              </w:rPr>
              <w:t>45</w:t>
            </w:r>
          </w:p>
        </w:tc>
        <w:tc>
          <w:tcPr>
            <w:tcW w:w="6500" w:type="dxa"/>
            <w:vAlign w:val="bottom"/>
          </w:tcPr>
          <w:p>
            <w:pPr>
              <w:ind w:left="220"/>
              <w:spacing w:after="0"/>
              <w:rPr>
                <w:sz w:val="20"/>
                <w:szCs w:val="20"/>
                <w:color w:val="auto"/>
              </w:rPr>
            </w:pPr>
            <w:r>
              <w:rPr>
                <w:rFonts w:ascii="Arial" w:cs="Arial" w:eastAsia="Arial" w:hAnsi="Arial"/>
                <w:sz w:val="20"/>
                <w:szCs w:val="20"/>
                <w:color w:val="231F20"/>
              </w:rPr>
              <w:t>Executive Vice President, Chief Legal Officer &amp; Corporate Secretary</w:t>
            </w:r>
          </w:p>
        </w:tc>
      </w:tr>
      <w:tr>
        <w:trPr>
          <w:trHeight w:val="233"/>
        </w:trPr>
        <w:tc>
          <w:tcPr>
            <w:tcW w:w="2220" w:type="dxa"/>
            <w:vAlign w:val="bottom"/>
          </w:tcPr>
          <w:p>
            <w:pPr>
              <w:spacing w:after="0"/>
              <w:rPr>
                <w:sz w:val="20"/>
                <w:szCs w:val="20"/>
                <w:color w:val="auto"/>
              </w:rPr>
            </w:pPr>
            <w:r>
              <w:rPr>
                <w:rFonts w:ascii="Arial" w:cs="Arial" w:eastAsia="Arial" w:hAnsi="Arial"/>
                <w:sz w:val="20"/>
                <w:szCs w:val="20"/>
                <w:color w:val="231F20"/>
              </w:rPr>
              <w:t>Sheri R. Grissom</w:t>
            </w:r>
          </w:p>
        </w:tc>
        <w:tc>
          <w:tcPr>
            <w:tcW w:w="760" w:type="dxa"/>
            <w:vAlign w:val="bottom"/>
          </w:tcPr>
          <w:p>
            <w:pPr>
              <w:ind w:left="300"/>
              <w:spacing w:after="0"/>
              <w:rPr>
                <w:sz w:val="20"/>
                <w:szCs w:val="20"/>
                <w:color w:val="auto"/>
              </w:rPr>
            </w:pPr>
            <w:r>
              <w:rPr>
                <w:rFonts w:ascii="Arial" w:cs="Arial" w:eastAsia="Arial" w:hAnsi="Arial"/>
                <w:sz w:val="20"/>
                <w:szCs w:val="20"/>
                <w:color w:val="231F20"/>
              </w:rPr>
              <w:t>59</w:t>
            </w:r>
          </w:p>
        </w:tc>
        <w:tc>
          <w:tcPr>
            <w:tcW w:w="6500" w:type="dxa"/>
            <w:vAlign w:val="bottom"/>
          </w:tcPr>
          <w:p>
            <w:pPr>
              <w:ind w:left="220"/>
              <w:spacing w:after="0"/>
              <w:rPr>
                <w:sz w:val="20"/>
                <w:szCs w:val="20"/>
                <w:color w:val="auto"/>
              </w:rPr>
            </w:pPr>
            <w:r>
              <w:rPr>
                <w:rFonts w:ascii="Arial" w:cs="Arial" w:eastAsia="Arial" w:hAnsi="Arial"/>
                <w:sz w:val="20"/>
                <w:szCs w:val="20"/>
                <w:color w:val="231F20"/>
              </w:rPr>
              <w:t>Executive Vice President and Chief Transformation Officer</w:t>
            </w:r>
          </w:p>
        </w:tc>
      </w:tr>
      <w:tr>
        <w:trPr>
          <w:trHeight w:val="233"/>
        </w:trPr>
        <w:tc>
          <w:tcPr>
            <w:tcW w:w="2220" w:type="dxa"/>
            <w:vAlign w:val="bottom"/>
          </w:tcPr>
          <w:p>
            <w:pPr>
              <w:spacing w:after="0"/>
              <w:rPr>
                <w:sz w:val="20"/>
                <w:szCs w:val="20"/>
                <w:color w:val="auto"/>
              </w:rPr>
            </w:pPr>
            <w:r>
              <w:rPr>
                <w:rFonts w:ascii="Arial" w:cs="Arial" w:eastAsia="Arial" w:hAnsi="Arial"/>
                <w:sz w:val="20"/>
                <w:szCs w:val="20"/>
                <w:color w:val="231F20"/>
              </w:rPr>
              <w:t>John D. Lee</w:t>
            </w:r>
          </w:p>
        </w:tc>
        <w:tc>
          <w:tcPr>
            <w:tcW w:w="760" w:type="dxa"/>
            <w:vAlign w:val="bottom"/>
          </w:tcPr>
          <w:p>
            <w:pPr>
              <w:ind w:left="300"/>
              <w:spacing w:after="0"/>
              <w:rPr>
                <w:sz w:val="20"/>
                <w:szCs w:val="20"/>
                <w:color w:val="auto"/>
              </w:rPr>
            </w:pPr>
            <w:r>
              <w:rPr>
                <w:rFonts w:ascii="Arial" w:cs="Arial" w:eastAsia="Arial" w:hAnsi="Arial"/>
                <w:sz w:val="20"/>
                <w:szCs w:val="20"/>
                <w:color w:val="231F20"/>
              </w:rPr>
              <w:t>51</w:t>
            </w:r>
          </w:p>
        </w:tc>
        <w:tc>
          <w:tcPr>
            <w:tcW w:w="6500" w:type="dxa"/>
            <w:vAlign w:val="bottom"/>
          </w:tcPr>
          <w:p>
            <w:pPr>
              <w:ind w:left="220"/>
              <w:spacing w:after="0"/>
              <w:rPr>
                <w:sz w:val="20"/>
                <w:szCs w:val="20"/>
                <w:color w:val="auto"/>
              </w:rPr>
            </w:pPr>
            <w:r>
              <w:rPr>
                <w:rFonts w:ascii="Arial" w:cs="Arial" w:eastAsia="Arial" w:hAnsi="Arial"/>
                <w:sz w:val="20"/>
                <w:szCs w:val="20"/>
                <w:color w:val="231F20"/>
              </w:rPr>
              <w:t>Executive Vice President, Chief Growth and Digital Officer</w:t>
            </w:r>
          </w:p>
        </w:tc>
      </w:tr>
      <w:tr>
        <w:trPr>
          <w:trHeight w:val="233"/>
        </w:trPr>
        <w:tc>
          <w:tcPr>
            <w:tcW w:w="2220" w:type="dxa"/>
            <w:vAlign w:val="bottom"/>
          </w:tcPr>
          <w:p>
            <w:pPr>
              <w:spacing w:after="0"/>
              <w:rPr>
                <w:sz w:val="20"/>
                <w:szCs w:val="20"/>
                <w:color w:val="auto"/>
              </w:rPr>
            </w:pPr>
            <w:r>
              <w:rPr>
                <w:rFonts w:ascii="Arial" w:cs="Arial" w:eastAsia="Arial" w:hAnsi="Arial"/>
                <w:sz w:val="20"/>
                <w:szCs w:val="20"/>
                <w:color w:val="231F20"/>
              </w:rPr>
              <w:t>Kristin E. Papesh</w:t>
            </w:r>
          </w:p>
        </w:tc>
        <w:tc>
          <w:tcPr>
            <w:tcW w:w="760" w:type="dxa"/>
            <w:vAlign w:val="bottom"/>
          </w:tcPr>
          <w:p>
            <w:pPr>
              <w:ind w:left="300"/>
              <w:spacing w:after="0"/>
              <w:rPr>
                <w:sz w:val="20"/>
                <w:szCs w:val="20"/>
                <w:color w:val="auto"/>
              </w:rPr>
            </w:pPr>
            <w:r>
              <w:rPr>
                <w:rFonts w:ascii="Arial" w:cs="Arial" w:eastAsia="Arial" w:hAnsi="Arial"/>
                <w:sz w:val="20"/>
                <w:szCs w:val="20"/>
                <w:color w:val="231F20"/>
              </w:rPr>
              <w:t>49</w:t>
            </w:r>
          </w:p>
        </w:tc>
        <w:tc>
          <w:tcPr>
            <w:tcW w:w="6500" w:type="dxa"/>
            <w:vAlign w:val="bottom"/>
          </w:tcPr>
          <w:p>
            <w:pPr>
              <w:ind w:left="220"/>
              <w:spacing w:after="0"/>
              <w:rPr>
                <w:sz w:val="20"/>
                <w:szCs w:val="20"/>
                <w:color w:val="auto"/>
              </w:rPr>
            </w:pPr>
            <w:r>
              <w:rPr>
                <w:rFonts w:ascii="Arial" w:cs="Arial" w:eastAsia="Arial" w:hAnsi="Arial"/>
                <w:sz w:val="20"/>
                <w:szCs w:val="20"/>
                <w:color w:val="231F20"/>
              </w:rPr>
              <w:t>Executive Vice President and Chief Human Resources Officer</w:t>
            </w:r>
          </w:p>
        </w:tc>
      </w:tr>
      <w:tr>
        <w:trPr>
          <w:trHeight w:val="233"/>
        </w:trPr>
        <w:tc>
          <w:tcPr>
            <w:tcW w:w="2220" w:type="dxa"/>
            <w:vAlign w:val="bottom"/>
          </w:tcPr>
          <w:p>
            <w:pPr>
              <w:spacing w:after="0"/>
              <w:rPr>
                <w:sz w:val="20"/>
                <w:szCs w:val="20"/>
                <w:color w:val="auto"/>
              </w:rPr>
            </w:pPr>
            <w:r>
              <w:rPr>
                <w:rFonts w:ascii="Arial" w:cs="Arial" w:eastAsia="Arial" w:hAnsi="Arial"/>
                <w:sz w:val="20"/>
                <w:szCs w:val="20"/>
                <w:color w:val="231F20"/>
              </w:rPr>
              <w:t>Cheri M. Phyfer</w:t>
            </w:r>
          </w:p>
        </w:tc>
        <w:tc>
          <w:tcPr>
            <w:tcW w:w="760" w:type="dxa"/>
            <w:vAlign w:val="bottom"/>
          </w:tcPr>
          <w:p>
            <w:pPr>
              <w:ind w:left="300"/>
              <w:spacing w:after="0"/>
              <w:rPr>
                <w:sz w:val="20"/>
                <w:szCs w:val="20"/>
                <w:color w:val="auto"/>
              </w:rPr>
            </w:pPr>
            <w:r>
              <w:rPr>
                <w:rFonts w:ascii="Arial" w:cs="Arial" w:eastAsia="Arial" w:hAnsi="Arial"/>
                <w:sz w:val="20"/>
                <w:szCs w:val="20"/>
                <w:color w:val="231F20"/>
              </w:rPr>
              <w:t>52</w:t>
            </w:r>
          </w:p>
        </w:tc>
        <w:tc>
          <w:tcPr>
            <w:tcW w:w="6500" w:type="dxa"/>
            <w:vAlign w:val="bottom"/>
          </w:tcPr>
          <w:p>
            <w:pPr>
              <w:ind w:left="220"/>
              <w:spacing w:after="0"/>
              <w:rPr>
                <w:sz w:val="20"/>
                <w:szCs w:val="20"/>
                <w:color w:val="auto"/>
              </w:rPr>
            </w:pPr>
            <w:r>
              <w:rPr>
                <w:rFonts w:ascii="Arial" w:cs="Arial" w:eastAsia="Arial" w:hAnsi="Arial"/>
                <w:sz w:val="20"/>
                <w:szCs w:val="20"/>
                <w:color w:val="231F20"/>
              </w:rPr>
              <w:t>Executive Vice President and Group President</w:t>
            </w:r>
          </w:p>
        </w:tc>
      </w:tr>
      <w:tr>
        <w:trPr>
          <w:trHeight w:val="252"/>
        </w:trPr>
        <w:tc>
          <w:tcPr>
            <w:tcW w:w="222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rPr>
              <w:t>Ron Wilson</w:t>
            </w:r>
          </w:p>
        </w:tc>
        <w:tc>
          <w:tcPr>
            <w:tcW w:w="760" w:type="dxa"/>
            <w:vAlign w:val="bottom"/>
            <w:tcBorders>
              <w:bottom w:val="single" w:sz="8" w:color="231F20"/>
            </w:tcBorders>
          </w:tcPr>
          <w:p>
            <w:pPr>
              <w:ind w:left="300"/>
              <w:spacing w:after="0"/>
              <w:rPr>
                <w:sz w:val="20"/>
                <w:szCs w:val="20"/>
                <w:color w:val="auto"/>
              </w:rPr>
            </w:pPr>
            <w:r>
              <w:rPr>
                <w:rFonts w:ascii="Arial" w:cs="Arial" w:eastAsia="Arial" w:hAnsi="Arial"/>
                <w:sz w:val="20"/>
                <w:szCs w:val="20"/>
                <w:color w:val="231F20"/>
              </w:rPr>
              <w:t>58</w:t>
            </w:r>
          </w:p>
        </w:tc>
        <w:tc>
          <w:tcPr>
            <w:tcW w:w="6500" w:type="dxa"/>
            <w:vAlign w:val="bottom"/>
            <w:tcBorders>
              <w:bottom w:val="single" w:sz="8" w:color="231F20"/>
            </w:tcBorders>
          </w:tcPr>
          <w:p>
            <w:pPr>
              <w:ind w:left="220"/>
              <w:spacing w:after="0"/>
              <w:rPr>
                <w:sz w:val="20"/>
                <w:szCs w:val="20"/>
                <w:color w:val="auto"/>
              </w:rPr>
            </w:pPr>
            <w:r>
              <w:rPr>
                <w:rFonts w:ascii="Arial" w:cs="Arial" w:eastAsia="Arial" w:hAnsi="Arial"/>
                <w:sz w:val="20"/>
                <w:szCs w:val="20"/>
                <w:color w:val="231F20"/>
              </w:rPr>
              <w:t>Executive Vice President and Chief Supply Chain Officer</w:t>
            </w:r>
          </w:p>
        </w:tc>
      </w:tr>
    </w:tbl>
    <w:p>
      <w:pPr>
        <w:spacing w:after="0" w:line="209"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231F20"/>
        </w:rPr>
        <w:t xml:space="preserve">Nicholas I. Fink </w:t>
      </w:r>
      <w:r>
        <w:rPr>
          <w:rFonts w:ascii="Arial" w:cs="Arial" w:eastAsia="Arial" w:hAnsi="Arial"/>
          <w:sz w:val="20"/>
          <w:szCs w:val="20"/>
          <w:color w:val="231F20"/>
        </w:rPr>
        <w:t>has served as Chief Executive Officer since January 2020. From March 2019 to January</w:t>
      </w:r>
      <w:r>
        <w:rPr>
          <w:rFonts w:ascii="Arial" w:cs="Arial" w:eastAsia="Arial" w:hAnsi="Arial"/>
          <w:sz w:val="20"/>
          <w:szCs w:val="20"/>
          <w:b w:val="1"/>
          <w:bCs w:val="1"/>
          <w:color w:val="231F20"/>
        </w:rPr>
        <w:t xml:space="preserve"> </w:t>
      </w:r>
      <w:r>
        <w:rPr>
          <w:rFonts w:ascii="Arial" w:cs="Arial" w:eastAsia="Arial" w:hAnsi="Arial"/>
          <w:sz w:val="20"/>
          <w:szCs w:val="20"/>
          <w:color w:val="231F20"/>
        </w:rPr>
        <w:t>2020, Mr. Fink served as President and Chief Operating Officer of Fortune Brands. From July 2016 to March 2019, Mr. Fink served as President of the Company’s Water Innovations business.</w:t>
      </w:r>
    </w:p>
    <w:p>
      <w:pPr>
        <w:spacing w:after="0" w:line="112"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b w:val="1"/>
          <w:bCs w:val="1"/>
          <w:color w:val="231F20"/>
        </w:rPr>
        <w:t xml:space="preserve">David V. Barry </w:t>
      </w:r>
      <w:r>
        <w:rPr>
          <w:rFonts w:ascii="Arial" w:cs="Arial" w:eastAsia="Arial" w:hAnsi="Arial"/>
          <w:sz w:val="20"/>
          <w:szCs w:val="20"/>
          <w:color w:val="231F20"/>
        </w:rPr>
        <w:t>has served as Executive Vice President &amp; Chief Financial Officer since March 2023 and</w:t>
      </w:r>
      <w:r>
        <w:rPr>
          <w:rFonts w:ascii="Arial" w:cs="Arial" w:eastAsia="Arial" w:hAnsi="Arial"/>
          <w:sz w:val="20"/>
          <w:szCs w:val="20"/>
          <w:b w:val="1"/>
          <w:bCs w:val="1"/>
          <w:color w:val="231F20"/>
        </w:rPr>
        <w:t xml:space="preserve"> </w:t>
      </w:r>
      <w:r>
        <w:rPr>
          <w:rFonts w:ascii="Arial" w:cs="Arial" w:eastAsia="Arial" w:hAnsi="Arial"/>
          <w:sz w:val="20"/>
          <w:szCs w:val="20"/>
          <w:color w:val="231F20"/>
        </w:rPr>
        <w:t>has served as the Company's principal accounting officer since January 29, 2024. From April 2021 to March 2023, Mr. Barry served as Senior Vice President of Finance and Investor Relations. From 2017 to 2021, he was Chief Financial Officer and Senior Vice President for the Water Innovations segment.</w:t>
      </w:r>
    </w:p>
    <w:p>
      <w:pPr>
        <w:spacing w:after="0" w:line="120"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b w:val="1"/>
          <w:bCs w:val="1"/>
          <w:color w:val="231F20"/>
        </w:rPr>
        <w:t xml:space="preserve">Hiranda S. Donoghue </w:t>
      </w:r>
      <w:r>
        <w:rPr>
          <w:rFonts w:ascii="Arial" w:cs="Arial" w:eastAsia="Arial" w:hAnsi="Arial"/>
          <w:sz w:val="20"/>
          <w:szCs w:val="20"/>
          <w:color w:val="231F20"/>
        </w:rPr>
        <w:t>has served as Executive Vice President, Chief Legal Officer &amp; Corporate</w:t>
      </w:r>
      <w:r>
        <w:rPr>
          <w:rFonts w:ascii="Arial" w:cs="Arial" w:eastAsia="Arial" w:hAnsi="Arial"/>
          <w:sz w:val="20"/>
          <w:szCs w:val="20"/>
          <w:b w:val="1"/>
          <w:bCs w:val="1"/>
          <w:color w:val="231F20"/>
        </w:rPr>
        <w:t xml:space="preserve"> </w:t>
      </w:r>
      <w:r>
        <w:rPr>
          <w:rFonts w:ascii="Arial" w:cs="Arial" w:eastAsia="Arial" w:hAnsi="Arial"/>
          <w:sz w:val="20"/>
          <w:szCs w:val="20"/>
          <w:color w:val="231F20"/>
        </w:rPr>
        <w:t>Secretary of Fortune Brands since December 2021. Ms. Donoghue served as Vice President &amp; Deputy General Counsel of Baxter International Inc., a healthcare company, from November 2018 to December 2021. Prior to that, Ms. Donoghue held various positions as a legal advisor at Walgreen Co., including most recently as Vice President, Corporate and M&amp;A Legal.</w:t>
      </w:r>
    </w:p>
    <w:p>
      <w:pPr>
        <w:spacing w:after="0" w:line="123" w:lineRule="exact"/>
        <w:rPr>
          <w:sz w:val="20"/>
          <w:szCs w:val="20"/>
          <w:color w:val="auto"/>
        </w:rPr>
      </w:pPr>
    </w:p>
    <w:p>
      <w:pPr>
        <w:ind w:right="220"/>
        <w:spacing w:after="0" w:line="259" w:lineRule="auto"/>
        <w:rPr>
          <w:sz w:val="20"/>
          <w:szCs w:val="20"/>
          <w:color w:val="auto"/>
        </w:rPr>
      </w:pPr>
      <w:r>
        <w:rPr>
          <w:rFonts w:ascii="Arial" w:cs="Arial" w:eastAsia="Arial" w:hAnsi="Arial"/>
          <w:sz w:val="20"/>
          <w:szCs w:val="20"/>
          <w:b w:val="1"/>
          <w:bCs w:val="1"/>
          <w:color w:val="231F20"/>
        </w:rPr>
        <w:t xml:space="preserve">Sheri R. Grissom </w:t>
      </w:r>
      <w:r>
        <w:rPr>
          <w:rFonts w:ascii="Arial" w:cs="Arial" w:eastAsia="Arial" w:hAnsi="Arial"/>
          <w:sz w:val="20"/>
          <w:szCs w:val="20"/>
          <w:color w:val="231F20"/>
        </w:rPr>
        <w:t>has served as the Executive Vice President and Chief Transformation Officer of</w:t>
      </w:r>
      <w:r>
        <w:rPr>
          <w:rFonts w:ascii="Arial" w:cs="Arial" w:eastAsia="Arial" w:hAnsi="Arial"/>
          <w:sz w:val="20"/>
          <w:szCs w:val="20"/>
          <w:b w:val="1"/>
          <w:bCs w:val="1"/>
          <w:color w:val="231F20"/>
        </w:rPr>
        <w:t xml:space="preserve"> </w:t>
      </w:r>
      <w:r>
        <w:rPr>
          <w:rFonts w:ascii="Arial" w:cs="Arial" w:eastAsia="Arial" w:hAnsi="Arial"/>
          <w:sz w:val="20"/>
          <w:szCs w:val="20"/>
          <w:color w:val="231F20"/>
        </w:rPr>
        <w:t>Fortune Brands since November 2023. She transitioned to this role after serving as Executive Vice President, Chief Human Resources and Transformation Officer since December 2022. Prior to that, Ms. Grissom served as Senior Vice President, Chief Human Resources since February 2015.</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b w:val="1"/>
          <w:bCs w:val="1"/>
          <w:color w:val="231F20"/>
        </w:rPr>
        <w:t xml:space="preserve">John D. Lee </w:t>
      </w:r>
      <w:r>
        <w:rPr>
          <w:rFonts w:ascii="Arial" w:cs="Arial" w:eastAsia="Arial" w:hAnsi="Arial"/>
          <w:sz w:val="20"/>
          <w:szCs w:val="20"/>
          <w:color w:val="231F20"/>
        </w:rPr>
        <w:t>has served as Executive Vice President, Chief Growth and Digital Officer of Fortune Brands</w:t>
      </w:r>
      <w:r>
        <w:rPr>
          <w:rFonts w:ascii="Arial" w:cs="Arial" w:eastAsia="Arial" w:hAnsi="Arial"/>
          <w:sz w:val="20"/>
          <w:szCs w:val="20"/>
          <w:b w:val="1"/>
          <w:bCs w:val="1"/>
          <w:color w:val="231F20"/>
        </w:rPr>
        <w:t xml:space="preserve"> </w:t>
      </w:r>
      <w:r>
        <w:rPr>
          <w:rFonts w:ascii="Arial" w:cs="Arial" w:eastAsia="Arial" w:hAnsi="Arial"/>
          <w:sz w:val="20"/>
          <w:szCs w:val="20"/>
          <w:color w:val="231F20"/>
        </w:rPr>
        <w:t>since May 2023. From January 2020 to May 2023, Mr. Lee served as Executive Vice President, Chief Strategy &amp; Global Growth Officer. Mr. Lee served as Senior Vice President, Global Growth &amp; Development of the Water Innovations segment from July 2016 to January 2020.</w:t>
      </w:r>
    </w:p>
    <w:p>
      <w:pPr>
        <w:sectPr>
          <w:pgSz w:w="12240" w:h="15840" w:orient="portrait"/>
          <w:cols w:equalWidth="0" w:num="1">
            <w:col w:w="9480"/>
          </w:cols>
          <w:pgMar w:left="1380" w:top="1342"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19</w:t>
      </w:r>
    </w:p>
    <w:p>
      <w:pPr>
        <w:sectPr>
          <w:pgSz w:w="12240" w:h="15840" w:orient="portrait"/>
          <w:cols w:equalWidth="0" w:num="1">
            <w:col w:w="9480"/>
          </w:cols>
          <w:pgMar w:left="1380" w:top="1342" w:right="1380" w:bottom="95" w:gutter="0" w:footer="0" w:header="0"/>
          <w:type w:val="continuous"/>
        </w:sectPr>
      </w:pPr>
    </w:p>
    <w:bookmarkStart w:id="27" w:name="page28"/>
    <w:bookmarkEnd w:id="27"/>
    <w:p>
      <w:pPr>
        <w:spacing w:after="0" w:line="250" w:lineRule="auto"/>
        <w:rPr>
          <w:sz w:val="20"/>
          <w:szCs w:val="20"/>
          <w:color w:val="auto"/>
        </w:rPr>
      </w:pPr>
      <w:r>
        <w:rPr>
          <w:rFonts w:ascii="Arial" w:cs="Arial" w:eastAsia="Arial" w:hAnsi="Arial"/>
          <w:sz w:val="20"/>
          <w:szCs w:val="20"/>
          <w:b w:val="1"/>
          <w:bCs w:val="1"/>
          <w:color w:val="231F20"/>
        </w:rPr>
        <w:t xml:space="preserve">Kristin E. Papesh </w:t>
      </w:r>
      <w:r>
        <w:rPr>
          <w:rFonts w:ascii="Arial" w:cs="Arial" w:eastAsia="Arial" w:hAnsi="Arial"/>
          <w:sz w:val="20"/>
          <w:szCs w:val="20"/>
          <w:color w:val="231F20"/>
        </w:rPr>
        <w:t>has served as Executive Vice President and Chief Human Resources Officer of</w:t>
      </w:r>
      <w:r>
        <w:rPr>
          <w:rFonts w:ascii="Arial" w:cs="Arial" w:eastAsia="Arial" w:hAnsi="Arial"/>
          <w:sz w:val="20"/>
          <w:szCs w:val="20"/>
          <w:b w:val="1"/>
          <w:bCs w:val="1"/>
          <w:color w:val="231F20"/>
        </w:rPr>
        <w:t xml:space="preserve"> </w:t>
      </w:r>
      <w:r>
        <w:rPr>
          <w:rFonts w:ascii="Arial" w:cs="Arial" w:eastAsia="Arial" w:hAnsi="Arial"/>
          <w:sz w:val="20"/>
          <w:szCs w:val="20"/>
          <w:color w:val="231F20"/>
        </w:rPr>
        <w:t>Fortune Brands since November 2023. Prior to that, Ms. Papesh held various positions at retail pharmacy Walgreens Boots Alliance from March 2021 to November 2023, including most recently as Senior Vice President, HR Business Partnering from July 2022 to November 2023. Prior to that, she served in various roles at Pfizer Inc., a research-based, global biopharmaceutical company, from September 2015 to March 2021, including most recently as the Vice President of Human Resources from November 2018 to March 2021.</w:t>
      </w:r>
    </w:p>
    <w:p>
      <w:pPr>
        <w:spacing w:after="0" w:line="133" w:lineRule="exact"/>
        <w:rPr>
          <w:sz w:val="20"/>
          <w:szCs w:val="20"/>
          <w:color w:val="auto"/>
        </w:rPr>
      </w:pPr>
    </w:p>
    <w:p>
      <w:pPr>
        <w:ind w:right="220"/>
        <w:spacing w:after="0" w:line="255" w:lineRule="auto"/>
        <w:rPr>
          <w:sz w:val="20"/>
          <w:szCs w:val="20"/>
          <w:color w:val="auto"/>
        </w:rPr>
      </w:pPr>
      <w:r>
        <w:rPr>
          <w:rFonts w:ascii="Arial" w:cs="Arial" w:eastAsia="Arial" w:hAnsi="Arial"/>
          <w:sz w:val="20"/>
          <w:szCs w:val="20"/>
          <w:b w:val="1"/>
          <w:bCs w:val="1"/>
          <w:color w:val="231F20"/>
        </w:rPr>
        <w:t xml:space="preserve">Cheri M. Phyfer </w:t>
      </w:r>
      <w:r>
        <w:rPr>
          <w:rFonts w:ascii="Arial" w:cs="Arial" w:eastAsia="Arial" w:hAnsi="Arial"/>
          <w:sz w:val="20"/>
          <w:szCs w:val="20"/>
          <w:color w:val="231F20"/>
        </w:rPr>
        <w:t>has served as Executive Vice President and Group President of Fortune Brands since</w:t>
      </w:r>
      <w:r>
        <w:rPr>
          <w:rFonts w:ascii="Arial" w:cs="Arial" w:eastAsia="Arial" w:hAnsi="Arial"/>
          <w:sz w:val="20"/>
          <w:szCs w:val="20"/>
          <w:b w:val="1"/>
          <w:bCs w:val="1"/>
          <w:color w:val="231F20"/>
        </w:rPr>
        <w:t xml:space="preserve"> </w:t>
      </w:r>
      <w:r>
        <w:rPr>
          <w:rFonts w:ascii="Arial" w:cs="Arial" w:eastAsia="Arial" w:hAnsi="Arial"/>
          <w:sz w:val="20"/>
          <w:szCs w:val="20"/>
          <w:color w:val="231F20"/>
        </w:rPr>
        <w:t>September 2022. From March 2019 to September 2022, Ms. Phyfer served as President of the Company's Water Innovations segment. Ms. Phyfer served as President of Moen’s U.S. business from February 2018 to March 2019. Prior to that, Ms. Phyfer held various positions at the Sherwin-Williams Company, a manufacturer of paint and coatings products.</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b w:val="1"/>
          <w:bCs w:val="1"/>
          <w:color w:val="231F20"/>
        </w:rPr>
        <w:t xml:space="preserve">Ron Wilson </w:t>
      </w:r>
      <w:r>
        <w:rPr>
          <w:rFonts w:ascii="Arial" w:cs="Arial" w:eastAsia="Arial" w:hAnsi="Arial"/>
          <w:sz w:val="20"/>
          <w:szCs w:val="20"/>
          <w:color w:val="231F20"/>
        </w:rPr>
        <w:t>has served as Executive Vice President and Chief Supply Chain Officer of Fortune Brands</w:t>
      </w:r>
      <w:r>
        <w:rPr>
          <w:rFonts w:ascii="Arial" w:cs="Arial" w:eastAsia="Arial" w:hAnsi="Arial"/>
          <w:sz w:val="20"/>
          <w:szCs w:val="20"/>
          <w:b w:val="1"/>
          <w:bCs w:val="1"/>
          <w:color w:val="231F20"/>
        </w:rPr>
        <w:t xml:space="preserve"> </w:t>
      </w:r>
      <w:r>
        <w:rPr>
          <w:rFonts w:ascii="Arial" w:cs="Arial" w:eastAsia="Arial" w:hAnsi="Arial"/>
          <w:sz w:val="20"/>
          <w:szCs w:val="20"/>
          <w:color w:val="231F20"/>
        </w:rPr>
        <w:t>since September 2022. Mr. Wilson joined Fortune Brands as Senior Vice President of Global Operations of the Company’s Water Innovations segment in November 2019 and served in that role until September 2022. Prior to that, Mr. Wilson served as Vice President of Operations for ABB, an electrification and automation technology company, from June 2018 to April 2019.</w:t>
      </w:r>
    </w:p>
    <w:p>
      <w:pPr>
        <w:sectPr>
          <w:pgSz w:w="12240" w:h="15840" w:orient="portrait"/>
          <w:cols w:equalWidth="0" w:num="1">
            <w:col w:w="9440"/>
          </w:cols>
          <w:pgMar w:left="1380" w:top="1342"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20</w:t>
      </w:r>
    </w:p>
    <w:p>
      <w:pPr>
        <w:sectPr>
          <w:pgSz w:w="12240" w:h="15840" w:orient="portrait"/>
          <w:cols w:equalWidth="0" w:num="1">
            <w:col w:w="9440"/>
          </w:cols>
          <w:pgMar w:left="1380" w:top="1342" w:right="1420" w:bottom="95"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color w:val="231F20"/>
        </w:rPr>
        <w:t>PART II</w:t>
      </w:r>
    </w:p>
    <w:p>
      <w:pPr>
        <w:spacing w:after="0" w:line="185" w:lineRule="exact"/>
        <w:rPr>
          <w:sz w:val="20"/>
          <w:szCs w:val="20"/>
          <w:color w:val="auto"/>
        </w:rPr>
      </w:pPr>
    </w:p>
    <w:p>
      <w:pPr>
        <w:ind w:right="880"/>
        <w:spacing w:after="0" w:line="304" w:lineRule="auto"/>
        <w:rPr>
          <w:sz w:val="20"/>
          <w:szCs w:val="20"/>
          <w:color w:val="auto"/>
        </w:rPr>
      </w:pPr>
      <w:r>
        <w:rPr>
          <w:rFonts w:ascii="Arial" w:cs="Arial" w:eastAsia="Arial" w:hAnsi="Arial"/>
          <w:sz w:val="20"/>
          <w:szCs w:val="20"/>
          <w:b w:val="1"/>
          <w:bCs w:val="1"/>
          <w:color w:val="231F20"/>
        </w:rPr>
        <w:t>Item 5. Market for Registrant’s Common Equity, Related Stockholder Matters and Issuer Purchases of Equity Securities.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Market Information, Dividends and Holders of Record</w:t>
      </w:r>
    </w:p>
    <w:p>
      <w:pPr>
        <w:spacing w:after="0" w:line="189" w:lineRule="exact"/>
        <w:rPr>
          <w:sz w:val="20"/>
          <w:szCs w:val="20"/>
          <w:color w:val="auto"/>
        </w:rPr>
      </w:pPr>
    </w:p>
    <w:p>
      <w:pPr>
        <w:ind w:right="800"/>
        <w:spacing w:after="0" w:line="287" w:lineRule="auto"/>
        <w:rPr>
          <w:sz w:val="20"/>
          <w:szCs w:val="20"/>
          <w:color w:val="auto"/>
        </w:rPr>
      </w:pPr>
      <w:r>
        <w:rPr>
          <w:rFonts w:ascii="Arial" w:cs="Arial" w:eastAsia="Arial" w:hAnsi="Arial"/>
          <w:sz w:val="20"/>
          <w:szCs w:val="20"/>
          <w:color w:val="231F20"/>
        </w:rPr>
        <w:t>Our common stock is listed on the New York Stock Exchange under the ticker symbol “FBIN”. On December 15, 2022, our ticker symbol was changed from "FBHS" to "FBIN".</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231F20"/>
        </w:rPr>
        <w:t>In December 2023, our Board of Directors announced a quarterly cash dividend payable to stockholders of $0.24 per share of our common stock. Our Board of Directors will continue to evaluate dividend payment opportunities on a quarterly basis. There can be no assurance as to when and if future dividends will be paid, or at what level, because the payment of dividends is dependent upon our financial condition, results of operations, capital requirements and other factors deemed relevant by our Board of Directors.</w:t>
      </w:r>
    </w:p>
    <w:p>
      <w:pPr>
        <w:spacing w:after="0" w:line="179" w:lineRule="exact"/>
        <w:rPr>
          <w:sz w:val="20"/>
          <w:szCs w:val="20"/>
          <w:color w:val="auto"/>
        </w:rPr>
      </w:pPr>
    </w:p>
    <w:p>
      <w:pPr>
        <w:ind w:right="400"/>
        <w:spacing w:after="0" w:line="257" w:lineRule="auto"/>
        <w:rPr>
          <w:sz w:val="20"/>
          <w:szCs w:val="20"/>
          <w:color w:val="auto"/>
        </w:rPr>
      </w:pPr>
      <w:r>
        <w:rPr>
          <w:rFonts w:ascii="Arial" w:cs="Arial" w:eastAsia="Arial" w:hAnsi="Arial"/>
          <w:sz w:val="20"/>
          <w:szCs w:val="20"/>
          <w:color w:val="231F20"/>
        </w:rPr>
        <w:t>The source of our unconsolidated revenues and funds is dividends and other payments from our subsidiary businesses. Our subsidiaries are not limited by long-term debt or other agreements in their abilities to pay cash dividends or to make other distributions with respect to their capital stock or other payments to the Company.</w:t>
      </w:r>
    </w:p>
    <w:p>
      <w:pPr>
        <w:spacing w:after="0" w:line="127" w:lineRule="exact"/>
        <w:rPr>
          <w:sz w:val="20"/>
          <w:szCs w:val="20"/>
          <w:color w:val="auto"/>
        </w:rPr>
      </w:pPr>
    </w:p>
    <w:p>
      <w:pPr>
        <w:jc w:val="both"/>
        <w:ind w:right="140"/>
        <w:spacing w:after="0" w:line="265" w:lineRule="auto"/>
        <w:rPr>
          <w:sz w:val="20"/>
          <w:szCs w:val="20"/>
          <w:color w:val="auto"/>
        </w:rPr>
      </w:pPr>
      <w:r>
        <w:rPr>
          <w:rFonts w:ascii="Arial" w:cs="Arial" w:eastAsia="Arial" w:hAnsi="Arial"/>
          <w:sz w:val="20"/>
          <w:szCs w:val="20"/>
          <w:color w:val="231F20"/>
        </w:rPr>
        <w:t>On February 9, 2024, there were 7,229 record holders of the Company’s common stock, par value $0.01 per share. A substantially greater number of holders of the Company’s common stock are “street name” or beneficial holders, whose shares of record are held by banks, brokers or other financial institutions.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Purchases of Equity Securities by the Issuer and Affiliated Purchasers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Below are the repurchases of common stock by the Company or any “affiliated purchaser” (as defined in</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231F20"/>
        </w:rPr>
        <w:t>Rule 10b-18(a)(3) under the Exchange Act) for the thirteen weeks ended December 30, 2023:</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120" w:type="dxa"/>
            <w:vAlign w:val="bottom"/>
            <w:tcBorders>
              <w:top w:val="single" w:sz="8" w:color="231F20"/>
              <w:right w:val="single" w:sz="8" w:color="231F20"/>
            </w:tcBorders>
          </w:tcPr>
          <w:p>
            <w:pPr>
              <w:spacing w:after="0"/>
              <w:rPr>
                <w:sz w:val="15"/>
                <w:szCs w:val="15"/>
                <w:color w:val="auto"/>
              </w:rPr>
            </w:pPr>
          </w:p>
        </w:tc>
        <w:tc>
          <w:tcPr>
            <w:tcW w:w="1400" w:type="dxa"/>
            <w:vAlign w:val="bottom"/>
            <w:tcBorders>
              <w:top w:val="single" w:sz="8" w:color="231F20"/>
              <w:right w:val="single" w:sz="8" w:color="231F20"/>
            </w:tcBorders>
          </w:tcPr>
          <w:p>
            <w:pPr>
              <w:spacing w:after="0"/>
              <w:rPr>
                <w:sz w:val="15"/>
                <w:szCs w:val="15"/>
                <w:color w:val="auto"/>
              </w:rPr>
            </w:pPr>
          </w:p>
        </w:tc>
        <w:tc>
          <w:tcPr>
            <w:tcW w:w="400" w:type="dxa"/>
            <w:vAlign w:val="bottom"/>
            <w:tcBorders>
              <w:top w:val="single" w:sz="8" w:color="231F20"/>
            </w:tcBorders>
          </w:tcPr>
          <w:p>
            <w:pPr>
              <w:spacing w:after="0"/>
              <w:rPr>
                <w:sz w:val="15"/>
                <w:szCs w:val="15"/>
                <w:color w:val="auto"/>
              </w:rPr>
            </w:pPr>
          </w:p>
        </w:tc>
        <w:tc>
          <w:tcPr>
            <w:tcW w:w="900" w:type="dxa"/>
            <w:vAlign w:val="bottom"/>
            <w:tcBorders>
              <w:top w:val="single" w:sz="8" w:color="231F20"/>
              <w:right w:val="single" w:sz="8" w:color="231F20"/>
            </w:tcBorders>
          </w:tcPr>
          <w:p>
            <w:pPr>
              <w:spacing w:after="0"/>
              <w:rPr>
                <w:sz w:val="15"/>
                <w:szCs w:val="15"/>
                <w:color w:val="auto"/>
              </w:rPr>
            </w:pPr>
          </w:p>
        </w:tc>
        <w:tc>
          <w:tcPr>
            <w:tcW w:w="1760" w:type="dxa"/>
            <w:vAlign w:val="bottom"/>
            <w:tcBorders>
              <w:top w:val="single" w:sz="8" w:color="231F20"/>
              <w:right w:val="single" w:sz="8" w:color="231F20"/>
            </w:tcBorders>
          </w:tcPr>
          <w:p>
            <w:pPr>
              <w:jc w:val="right"/>
              <w:ind w:right="135"/>
              <w:spacing w:after="0"/>
              <w:rPr>
                <w:sz w:val="20"/>
                <w:szCs w:val="20"/>
                <w:color w:val="auto"/>
              </w:rPr>
            </w:pPr>
            <w:r>
              <w:rPr>
                <w:rFonts w:ascii="Arial" w:cs="Arial" w:eastAsia="Arial" w:hAnsi="Arial"/>
                <w:sz w:val="15"/>
                <w:szCs w:val="15"/>
                <w:i w:val="1"/>
                <w:iCs w:val="1"/>
                <w:color w:val="231F20"/>
              </w:rPr>
              <w:t>Total number of</w:t>
            </w:r>
          </w:p>
        </w:tc>
        <w:tc>
          <w:tcPr>
            <w:tcW w:w="360" w:type="dxa"/>
            <w:vAlign w:val="bottom"/>
            <w:tcBorders>
              <w:top w:val="single" w:sz="8" w:color="231F20"/>
            </w:tcBorders>
          </w:tcPr>
          <w:p>
            <w:pPr>
              <w:spacing w:after="0"/>
              <w:rPr>
                <w:sz w:val="15"/>
                <w:szCs w:val="15"/>
                <w:color w:val="auto"/>
              </w:rPr>
            </w:pPr>
          </w:p>
        </w:tc>
        <w:tc>
          <w:tcPr>
            <w:tcW w:w="1500" w:type="dxa"/>
            <w:vAlign w:val="bottom"/>
            <w:tcBorders>
              <w:top w:val="single" w:sz="8" w:color="231F20"/>
            </w:tcBorders>
          </w:tcPr>
          <w:p>
            <w:pPr>
              <w:spacing w:after="0"/>
              <w:rPr>
                <w:sz w:val="15"/>
                <w:szCs w:val="15"/>
                <w:color w:val="auto"/>
              </w:rPr>
            </w:pPr>
          </w:p>
        </w:tc>
      </w:tr>
      <w:tr>
        <w:trPr>
          <w:trHeight w:val="174"/>
        </w:trPr>
        <w:tc>
          <w:tcPr>
            <w:tcW w:w="3120" w:type="dxa"/>
            <w:vAlign w:val="bottom"/>
            <w:tcBorders>
              <w:right w:val="single" w:sz="8" w:color="231F20"/>
            </w:tcBorders>
          </w:tcPr>
          <w:p>
            <w:pPr>
              <w:spacing w:after="0"/>
              <w:rPr>
                <w:sz w:val="15"/>
                <w:szCs w:val="15"/>
                <w:color w:val="auto"/>
              </w:rPr>
            </w:pPr>
          </w:p>
        </w:tc>
        <w:tc>
          <w:tcPr>
            <w:tcW w:w="1400" w:type="dxa"/>
            <w:vAlign w:val="bottom"/>
            <w:tcBorders>
              <w:right w:val="single" w:sz="8" w:color="231F20"/>
            </w:tcBorders>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Borders>
              <w:right w:val="single" w:sz="8" w:color="231F20"/>
            </w:tcBorders>
          </w:tcPr>
          <w:p>
            <w:pPr>
              <w:spacing w:after="0"/>
              <w:rPr>
                <w:sz w:val="15"/>
                <w:szCs w:val="15"/>
                <w:color w:val="auto"/>
              </w:rPr>
            </w:pPr>
          </w:p>
        </w:tc>
        <w:tc>
          <w:tcPr>
            <w:tcW w:w="1760" w:type="dxa"/>
            <w:vAlign w:val="bottom"/>
            <w:tcBorders>
              <w:right w:val="single" w:sz="8" w:color="231F20"/>
            </w:tcBorders>
          </w:tcPr>
          <w:p>
            <w:pPr>
              <w:jc w:val="right"/>
              <w:ind w:right="135"/>
              <w:spacing w:after="0"/>
              <w:rPr>
                <w:sz w:val="20"/>
                <w:szCs w:val="20"/>
                <w:color w:val="auto"/>
              </w:rPr>
            </w:pPr>
            <w:r>
              <w:rPr>
                <w:rFonts w:ascii="Arial" w:cs="Arial" w:eastAsia="Arial" w:hAnsi="Arial"/>
                <w:sz w:val="15"/>
                <w:szCs w:val="15"/>
                <w:i w:val="1"/>
                <w:iCs w:val="1"/>
                <w:color w:val="231F20"/>
              </w:rPr>
              <w:t>shares purchased</w:t>
            </w:r>
          </w:p>
        </w:tc>
        <w:tc>
          <w:tcPr>
            <w:tcW w:w="360" w:type="dxa"/>
            <w:vAlign w:val="bottom"/>
          </w:tcPr>
          <w:p>
            <w:pPr>
              <w:spacing w:after="0"/>
              <w:rPr>
                <w:sz w:val="15"/>
                <w:szCs w:val="15"/>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i w:val="1"/>
                <w:iCs w:val="1"/>
                <w:color w:val="231F20"/>
              </w:rPr>
              <w:t>Approximate dollar</w:t>
            </w:r>
          </w:p>
        </w:tc>
      </w:tr>
      <w:tr>
        <w:trPr>
          <w:trHeight w:val="174"/>
        </w:trPr>
        <w:tc>
          <w:tcPr>
            <w:tcW w:w="3120" w:type="dxa"/>
            <w:vAlign w:val="bottom"/>
            <w:tcBorders>
              <w:right w:val="single" w:sz="8" w:color="231F20"/>
            </w:tcBorders>
          </w:tcPr>
          <w:p>
            <w:pPr>
              <w:spacing w:after="0"/>
              <w:rPr>
                <w:sz w:val="15"/>
                <w:szCs w:val="15"/>
                <w:color w:val="auto"/>
              </w:rPr>
            </w:pPr>
          </w:p>
        </w:tc>
        <w:tc>
          <w:tcPr>
            <w:tcW w:w="1400" w:type="dxa"/>
            <w:vAlign w:val="bottom"/>
            <w:tcBorders>
              <w:right w:val="single" w:sz="8" w:color="231F20"/>
            </w:tcBorders>
          </w:tcPr>
          <w:p>
            <w:pPr>
              <w:jc w:val="right"/>
              <w:ind w:right="136"/>
              <w:spacing w:after="0"/>
              <w:rPr>
                <w:sz w:val="20"/>
                <w:szCs w:val="20"/>
                <w:color w:val="auto"/>
              </w:rPr>
            </w:pPr>
            <w:r>
              <w:rPr>
                <w:rFonts w:ascii="Arial" w:cs="Arial" w:eastAsia="Arial" w:hAnsi="Arial"/>
                <w:sz w:val="15"/>
                <w:szCs w:val="15"/>
                <w:i w:val="1"/>
                <w:iCs w:val="1"/>
                <w:color w:val="231F20"/>
              </w:rPr>
              <w:t>Total number of</w:t>
            </w:r>
          </w:p>
        </w:tc>
        <w:tc>
          <w:tcPr>
            <w:tcW w:w="400" w:type="dxa"/>
            <w:vAlign w:val="bottom"/>
          </w:tcPr>
          <w:p>
            <w:pPr>
              <w:spacing w:after="0"/>
              <w:rPr>
                <w:sz w:val="15"/>
                <w:szCs w:val="15"/>
                <w:color w:val="auto"/>
              </w:rPr>
            </w:pPr>
          </w:p>
        </w:tc>
        <w:tc>
          <w:tcPr>
            <w:tcW w:w="900" w:type="dxa"/>
            <w:vAlign w:val="bottom"/>
            <w:tcBorders>
              <w:right w:val="single" w:sz="8" w:color="231F20"/>
            </w:tcBorders>
          </w:tcPr>
          <w:p>
            <w:pPr>
              <w:spacing w:after="0"/>
              <w:rPr>
                <w:sz w:val="15"/>
                <w:szCs w:val="15"/>
                <w:color w:val="auto"/>
              </w:rPr>
            </w:pPr>
          </w:p>
        </w:tc>
        <w:tc>
          <w:tcPr>
            <w:tcW w:w="1760" w:type="dxa"/>
            <w:vAlign w:val="bottom"/>
            <w:tcBorders>
              <w:right w:val="single" w:sz="8" w:color="231F20"/>
            </w:tcBorders>
          </w:tcPr>
          <w:p>
            <w:pPr>
              <w:jc w:val="right"/>
              <w:ind w:right="135"/>
              <w:spacing w:after="0"/>
              <w:rPr>
                <w:sz w:val="20"/>
                <w:szCs w:val="20"/>
                <w:color w:val="auto"/>
              </w:rPr>
            </w:pPr>
            <w:r>
              <w:rPr>
                <w:rFonts w:ascii="Arial" w:cs="Arial" w:eastAsia="Arial" w:hAnsi="Arial"/>
                <w:sz w:val="15"/>
                <w:szCs w:val="15"/>
                <w:i w:val="1"/>
                <w:iCs w:val="1"/>
                <w:color w:val="231F20"/>
              </w:rPr>
              <w:t>as part of publicly</w:t>
            </w:r>
          </w:p>
        </w:tc>
        <w:tc>
          <w:tcPr>
            <w:tcW w:w="1860" w:type="dxa"/>
            <w:vAlign w:val="bottom"/>
            <w:gridSpan w:val="2"/>
          </w:tcPr>
          <w:p>
            <w:pPr>
              <w:jc w:val="right"/>
              <w:ind w:right="5"/>
              <w:spacing w:after="0"/>
              <w:rPr>
                <w:sz w:val="20"/>
                <w:szCs w:val="20"/>
                <w:color w:val="auto"/>
              </w:rPr>
            </w:pPr>
            <w:r>
              <w:rPr>
                <w:rFonts w:ascii="Arial" w:cs="Arial" w:eastAsia="Arial" w:hAnsi="Arial"/>
                <w:sz w:val="15"/>
                <w:szCs w:val="15"/>
                <w:i w:val="1"/>
                <w:iCs w:val="1"/>
                <w:color w:val="231F20"/>
              </w:rPr>
              <w:t>value of shares that may</w:t>
            </w:r>
          </w:p>
        </w:tc>
      </w:tr>
      <w:tr>
        <w:trPr>
          <w:trHeight w:val="151"/>
        </w:trPr>
        <w:tc>
          <w:tcPr>
            <w:tcW w:w="3120" w:type="dxa"/>
            <w:vAlign w:val="bottom"/>
            <w:tcBorders>
              <w:right w:val="single" w:sz="8" w:color="231F20"/>
            </w:tcBorders>
          </w:tcPr>
          <w:p>
            <w:pPr>
              <w:spacing w:after="0"/>
              <w:rPr>
                <w:sz w:val="13"/>
                <w:szCs w:val="13"/>
                <w:color w:val="auto"/>
              </w:rPr>
            </w:pPr>
          </w:p>
        </w:tc>
        <w:tc>
          <w:tcPr>
            <w:tcW w:w="1400" w:type="dxa"/>
            <w:vAlign w:val="bottom"/>
            <w:tcBorders>
              <w:right w:val="single" w:sz="8" w:color="231F20"/>
            </w:tcBorders>
          </w:tcPr>
          <w:p>
            <w:pPr>
              <w:jc w:val="right"/>
              <w:ind w:right="136"/>
              <w:spacing w:after="0" w:line="131" w:lineRule="exact"/>
              <w:rPr>
                <w:sz w:val="20"/>
                <w:szCs w:val="20"/>
                <w:color w:val="auto"/>
              </w:rPr>
            </w:pPr>
            <w:r>
              <w:rPr>
                <w:rFonts w:ascii="Arial" w:cs="Arial" w:eastAsia="Arial" w:hAnsi="Arial"/>
                <w:sz w:val="15"/>
                <w:szCs w:val="15"/>
                <w:i w:val="1"/>
                <w:iCs w:val="1"/>
                <w:color w:val="231F20"/>
              </w:rPr>
              <w:t>shares purchas</w:t>
            </w:r>
          </w:p>
        </w:tc>
        <w:tc>
          <w:tcPr>
            <w:tcW w:w="1300" w:type="dxa"/>
            <w:vAlign w:val="bottom"/>
            <w:tcBorders>
              <w:right w:val="single" w:sz="8" w:color="231F20"/>
            </w:tcBorders>
            <w:gridSpan w:val="2"/>
          </w:tcPr>
          <w:p>
            <w:pPr>
              <w:jc w:val="right"/>
              <w:ind w:right="120"/>
              <w:spacing w:after="0" w:line="131" w:lineRule="exact"/>
              <w:rPr>
                <w:sz w:val="20"/>
                <w:szCs w:val="20"/>
                <w:color w:val="auto"/>
              </w:rPr>
            </w:pPr>
            <w:r>
              <w:rPr>
                <w:rFonts w:ascii="Arial" w:cs="Arial" w:eastAsia="Arial" w:hAnsi="Arial"/>
                <w:sz w:val="15"/>
                <w:szCs w:val="15"/>
                <w:i w:val="1"/>
                <w:iCs w:val="1"/>
                <w:color w:val="231F20"/>
              </w:rPr>
              <w:t>Average price</w:t>
            </w:r>
          </w:p>
        </w:tc>
        <w:tc>
          <w:tcPr>
            <w:tcW w:w="1760" w:type="dxa"/>
            <w:vAlign w:val="bottom"/>
            <w:tcBorders>
              <w:right w:val="single" w:sz="8" w:color="231F20"/>
            </w:tcBorders>
          </w:tcPr>
          <w:p>
            <w:pPr>
              <w:jc w:val="right"/>
              <w:ind w:right="135"/>
              <w:spacing w:after="0" w:line="131" w:lineRule="exact"/>
              <w:rPr>
                <w:sz w:val="20"/>
                <w:szCs w:val="20"/>
                <w:color w:val="auto"/>
              </w:rPr>
            </w:pPr>
            <w:r>
              <w:rPr>
                <w:rFonts w:ascii="Arial" w:cs="Arial" w:eastAsia="Arial" w:hAnsi="Arial"/>
                <w:sz w:val="15"/>
                <w:szCs w:val="15"/>
                <w:i w:val="1"/>
                <w:iCs w:val="1"/>
                <w:color w:val="231F20"/>
              </w:rPr>
              <w:t>announced plans</w:t>
            </w:r>
          </w:p>
        </w:tc>
        <w:tc>
          <w:tcPr>
            <w:tcW w:w="1860" w:type="dxa"/>
            <w:vAlign w:val="bottom"/>
            <w:gridSpan w:val="2"/>
          </w:tcPr>
          <w:p>
            <w:pPr>
              <w:jc w:val="right"/>
              <w:ind w:right="5"/>
              <w:spacing w:after="0" w:line="131" w:lineRule="exact"/>
              <w:rPr>
                <w:sz w:val="20"/>
                <w:szCs w:val="20"/>
                <w:color w:val="auto"/>
              </w:rPr>
            </w:pPr>
            <w:r>
              <w:rPr>
                <w:rFonts w:ascii="Arial" w:cs="Arial" w:eastAsia="Arial" w:hAnsi="Arial"/>
                <w:sz w:val="15"/>
                <w:szCs w:val="15"/>
                <w:i w:val="1"/>
                <w:iCs w:val="1"/>
                <w:color w:val="231F20"/>
              </w:rPr>
              <w:t>yet be purchased under</w:t>
            </w:r>
          </w:p>
        </w:tc>
      </w:tr>
      <w:tr>
        <w:trPr>
          <w:trHeight w:val="207"/>
        </w:trPr>
        <w:tc>
          <w:tcPr>
            <w:tcW w:w="3120" w:type="dxa"/>
            <w:vAlign w:val="bottom"/>
            <w:tcBorders>
              <w:bottom w:val="single" w:sz="8" w:color="231F20"/>
              <w:right w:val="single" w:sz="8" w:color="231F20"/>
            </w:tcBorders>
          </w:tcPr>
          <w:p>
            <w:pPr>
              <w:jc w:val="right"/>
              <w:spacing w:after="0" w:line="154" w:lineRule="exact"/>
              <w:rPr>
                <w:sz w:val="20"/>
                <w:szCs w:val="20"/>
                <w:color w:val="auto"/>
              </w:rPr>
            </w:pPr>
            <w:r>
              <w:rPr>
                <w:rFonts w:ascii="Arial" w:cs="Arial" w:eastAsia="Arial" w:hAnsi="Arial"/>
                <w:sz w:val="13"/>
                <w:szCs w:val="13"/>
                <w:i w:val="1"/>
                <w:iCs w:val="1"/>
                <w:color w:val="231F20"/>
              </w:rPr>
              <w:t xml:space="preserve">Thirteen Weeks Ended December 30, 2023 </w:t>
            </w:r>
            <w:r>
              <w:rPr>
                <w:rFonts w:ascii="Times New Roman" w:cs="Times New Roman" w:eastAsia="Times New Roman" w:hAnsi="Times New Roman"/>
                <w:sz w:val="17"/>
                <w:szCs w:val="17"/>
                <w:color w:val="231F20"/>
              </w:rPr>
              <w:t>...</w:t>
            </w:r>
          </w:p>
        </w:tc>
        <w:tc>
          <w:tcPr>
            <w:tcW w:w="1400" w:type="dxa"/>
            <w:vAlign w:val="bottom"/>
            <w:tcBorders>
              <w:bottom w:val="single" w:sz="8" w:color="231F20"/>
              <w:right w:val="single" w:sz="8" w:color="231F20"/>
            </w:tcBorders>
          </w:tcPr>
          <w:p>
            <w:pPr>
              <w:jc w:val="right"/>
              <w:ind w:right="136"/>
              <w:spacing w:after="0" w:line="154" w:lineRule="exact"/>
              <w:rPr>
                <w:sz w:val="20"/>
                <w:szCs w:val="20"/>
                <w:color w:val="auto"/>
              </w:rPr>
            </w:pPr>
            <w:r>
              <w:rPr>
                <w:rFonts w:ascii="Arial" w:cs="Arial" w:eastAsia="Arial" w:hAnsi="Arial"/>
                <w:sz w:val="17"/>
                <w:szCs w:val="17"/>
                <w:i w:val="1"/>
                <w:iCs w:val="1"/>
                <w:color w:val="231F20"/>
                <w:vertAlign w:val="subscript"/>
              </w:rPr>
              <w:t>ed</w:t>
            </w:r>
            <w:r>
              <w:rPr>
                <w:rFonts w:ascii="Arial" w:cs="Arial" w:eastAsia="Arial" w:hAnsi="Arial"/>
                <w:sz w:val="8"/>
                <w:szCs w:val="8"/>
                <w:i w:val="1"/>
                <w:iCs w:val="1"/>
                <w:color w:val="231F20"/>
              </w:rPr>
              <w:t>(a)</w:t>
            </w:r>
          </w:p>
        </w:tc>
        <w:tc>
          <w:tcPr>
            <w:tcW w:w="1300" w:type="dxa"/>
            <w:vAlign w:val="bottom"/>
            <w:tcBorders>
              <w:bottom w:val="single" w:sz="8" w:color="231F20"/>
              <w:right w:val="single" w:sz="8" w:color="231F20"/>
            </w:tcBorders>
            <w:gridSpan w:val="2"/>
          </w:tcPr>
          <w:p>
            <w:pPr>
              <w:ind w:left="120"/>
              <w:spacing w:after="0" w:line="154" w:lineRule="exact"/>
              <w:rPr>
                <w:sz w:val="20"/>
                <w:szCs w:val="20"/>
                <w:color w:val="auto"/>
              </w:rPr>
            </w:pPr>
            <w:r>
              <w:rPr>
                <w:rFonts w:ascii="Arial" w:cs="Arial" w:eastAsia="Arial" w:hAnsi="Arial"/>
                <w:sz w:val="15"/>
                <w:szCs w:val="15"/>
                <w:i w:val="1"/>
                <w:iCs w:val="1"/>
                <w:color w:val="231F20"/>
              </w:rPr>
              <w:t>paid per share</w:t>
            </w:r>
          </w:p>
        </w:tc>
        <w:tc>
          <w:tcPr>
            <w:tcW w:w="1760" w:type="dxa"/>
            <w:vAlign w:val="bottom"/>
            <w:tcBorders>
              <w:bottom w:val="single" w:sz="8" w:color="231F20"/>
              <w:right w:val="single" w:sz="8" w:color="231F20"/>
            </w:tcBorders>
          </w:tcPr>
          <w:p>
            <w:pPr>
              <w:jc w:val="right"/>
              <w:ind w:right="135"/>
              <w:spacing w:after="0" w:line="154" w:lineRule="exact"/>
              <w:rPr>
                <w:sz w:val="20"/>
                <w:szCs w:val="20"/>
                <w:color w:val="auto"/>
              </w:rPr>
            </w:pPr>
            <w:r>
              <w:rPr>
                <w:rFonts w:ascii="Arial" w:cs="Arial" w:eastAsia="Arial" w:hAnsi="Arial"/>
                <w:sz w:val="13"/>
                <w:szCs w:val="13"/>
                <w:i w:val="1"/>
                <w:iCs w:val="1"/>
                <w:color w:val="231F20"/>
              </w:rPr>
              <w:t>or programs</w:t>
            </w:r>
            <w:r>
              <w:rPr>
                <w:rFonts w:ascii="Arial" w:cs="Arial" w:eastAsia="Arial" w:hAnsi="Arial"/>
                <w:sz w:val="17"/>
                <w:szCs w:val="17"/>
                <w:i w:val="1"/>
                <w:iCs w:val="1"/>
                <w:color w:val="231F20"/>
                <w:vertAlign w:val="superscript"/>
              </w:rPr>
              <w:t>(a)</w:t>
            </w:r>
          </w:p>
        </w:tc>
        <w:tc>
          <w:tcPr>
            <w:tcW w:w="1860" w:type="dxa"/>
            <w:vAlign w:val="bottom"/>
            <w:tcBorders>
              <w:bottom w:val="single" w:sz="8" w:color="231F20"/>
            </w:tcBorders>
            <w:gridSpan w:val="2"/>
          </w:tcPr>
          <w:p>
            <w:pPr>
              <w:jc w:val="right"/>
              <w:ind w:right="5"/>
              <w:spacing w:after="0" w:line="154" w:lineRule="exact"/>
              <w:rPr>
                <w:sz w:val="20"/>
                <w:szCs w:val="20"/>
                <w:color w:val="auto"/>
              </w:rPr>
            </w:pPr>
            <w:r>
              <w:rPr>
                <w:rFonts w:ascii="Arial" w:cs="Arial" w:eastAsia="Arial" w:hAnsi="Arial"/>
                <w:sz w:val="13"/>
                <w:szCs w:val="13"/>
                <w:i w:val="1"/>
                <w:iCs w:val="1"/>
                <w:color w:val="231F20"/>
              </w:rPr>
              <w:t>the plans or programs</w:t>
            </w:r>
            <w:r>
              <w:rPr>
                <w:rFonts w:ascii="Arial" w:cs="Arial" w:eastAsia="Arial" w:hAnsi="Arial"/>
                <w:sz w:val="17"/>
                <w:szCs w:val="17"/>
                <w:i w:val="1"/>
                <w:iCs w:val="1"/>
                <w:color w:val="231F20"/>
                <w:vertAlign w:val="superscript"/>
              </w:rPr>
              <w:t>(a)</w:t>
            </w:r>
          </w:p>
        </w:tc>
      </w:tr>
      <w:tr>
        <w:trPr>
          <w:trHeight w:val="202"/>
        </w:trPr>
        <w:tc>
          <w:tcPr>
            <w:tcW w:w="312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rPr>
              <w:t>October 1 – October 28</w:t>
            </w:r>
            <w:r>
              <w:rPr>
                <w:rFonts w:ascii="Times New Roman" w:cs="Times New Roman" w:eastAsia="Times New Roman" w:hAnsi="Times New Roman"/>
                <w:sz w:val="20"/>
                <w:szCs w:val="20"/>
                <w:color w:val="231F20"/>
              </w:rPr>
              <w:t>...................</w:t>
            </w:r>
          </w:p>
        </w:tc>
        <w:tc>
          <w:tcPr>
            <w:tcW w:w="1400" w:type="dxa"/>
            <w:vAlign w:val="bottom"/>
            <w:tcBorders>
              <w:right w:val="single" w:sz="8" w:color="231F20"/>
            </w:tcBorders>
          </w:tcPr>
          <w:p>
            <w:pPr>
              <w:jc w:val="right"/>
              <w:ind w:right="136"/>
              <w:spacing w:after="0" w:line="203" w:lineRule="exact"/>
              <w:rPr>
                <w:sz w:val="20"/>
                <w:szCs w:val="20"/>
                <w:color w:val="auto"/>
              </w:rPr>
            </w:pPr>
            <w:r>
              <w:rPr>
                <w:rFonts w:ascii="Arial" w:cs="Arial" w:eastAsia="Arial" w:hAnsi="Arial"/>
                <w:sz w:val="20"/>
                <w:szCs w:val="20"/>
                <w:color w:val="231F20"/>
              </w:rPr>
              <w:t>331,799</w:t>
            </w:r>
          </w:p>
        </w:tc>
        <w:tc>
          <w:tcPr>
            <w:tcW w:w="400" w:type="dxa"/>
            <w:vAlign w:val="bottom"/>
          </w:tcPr>
          <w:p>
            <w:pPr>
              <w:ind w:left="100"/>
              <w:spacing w:after="0" w:line="203" w:lineRule="exact"/>
              <w:rPr>
                <w:sz w:val="20"/>
                <w:szCs w:val="20"/>
                <w:color w:val="auto"/>
              </w:rPr>
            </w:pPr>
            <w:r>
              <w:rPr>
                <w:rFonts w:ascii="Arial" w:cs="Arial" w:eastAsia="Arial" w:hAnsi="Arial"/>
                <w:sz w:val="20"/>
                <w:szCs w:val="20"/>
                <w:color w:val="231F20"/>
              </w:rPr>
              <w:t>$</w:t>
            </w:r>
          </w:p>
        </w:tc>
        <w:tc>
          <w:tcPr>
            <w:tcW w:w="900" w:type="dxa"/>
            <w:vAlign w:val="bottom"/>
            <w:tcBorders>
              <w:right w:val="single" w:sz="8" w:color="231F20"/>
            </w:tcBorders>
          </w:tcPr>
          <w:p>
            <w:pPr>
              <w:jc w:val="right"/>
              <w:ind w:right="120"/>
              <w:spacing w:after="0" w:line="203" w:lineRule="exact"/>
              <w:rPr>
                <w:sz w:val="20"/>
                <w:szCs w:val="20"/>
                <w:color w:val="auto"/>
              </w:rPr>
            </w:pPr>
            <w:r>
              <w:rPr>
                <w:rFonts w:ascii="Arial" w:cs="Arial" w:eastAsia="Arial" w:hAnsi="Arial"/>
                <w:sz w:val="20"/>
                <w:szCs w:val="20"/>
                <w:color w:val="231F20"/>
              </w:rPr>
              <w:t>60.19</w:t>
            </w:r>
          </w:p>
        </w:tc>
        <w:tc>
          <w:tcPr>
            <w:tcW w:w="1760" w:type="dxa"/>
            <w:vAlign w:val="bottom"/>
            <w:tcBorders>
              <w:right w:val="single" w:sz="8" w:color="231F20"/>
            </w:tcBorders>
          </w:tcPr>
          <w:p>
            <w:pPr>
              <w:jc w:val="right"/>
              <w:ind w:right="135"/>
              <w:spacing w:after="0" w:line="203" w:lineRule="exact"/>
              <w:rPr>
                <w:sz w:val="20"/>
                <w:szCs w:val="20"/>
                <w:color w:val="auto"/>
              </w:rPr>
            </w:pPr>
            <w:r>
              <w:rPr>
                <w:rFonts w:ascii="Arial" w:cs="Arial" w:eastAsia="Arial" w:hAnsi="Arial"/>
                <w:sz w:val="20"/>
                <w:szCs w:val="20"/>
                <w:color w:val="231F20"/>
              </w:rPr>
              <w:t>331,799</w:t>
            </w:r>
          </w:p>
        </w:tc>
        <w:tc>
          <w:tcPr>
            <w:tcW w:w="360" w:type="dxa"/>
            <w:vAlign w:val="bottom"/>
          </w:tcPr>
          <w:p>
            <w:pPr>
              <w:jc w:val="right"/>
              <w:ind w:right="60"/>
              <w:spacing w:after="0" w:line="203" w:lineRule="exact"/>
              <w:rPr>
                <w:sz w:val="20"/>
                <w:szCs w:val="20"/>
                <w:color w:val="auto"/>
              </w:rPr>
            </w:pPr>
            <w:r>
              <w:rPr>
                <w:rFonts w:ascii="Arial" w:cs="Arial" w:eastAsia="Arial" w:hAnsi="Arial"/>
                <w:sz w:val="20"/>
                <w:szCs w:val="20"/>
                <w:color w:val="231F20"/>
              </w:rPr>
              <w:t>$</w:t>
            </w:r>
          </w:p>
        </w:tc>
        <w:tc>
          <w:tcPr>
            <w:tcW w:w="1500" w:type="dxa"/>
            <w:vAlign w:val="bottom"/>
          </w:tcPr>
          <w:p>
            <w:pPr>
              <w:jc w:val="right"/>
              <w:ind w:right="5"/>
              <w:spacing w:after="0" w:line="203" w:lineRule="exact"/>
              <w:rPr>
                <w:sz w:val="20"/>
                <w:szCs w:val="20"/>
                <w:color w:val="auto"/>
              </w:rPr>
            </w:pPr>
            <w:r>
              <w:rPr>
                <w:rFonts w:ascii="Arial" w:cs="Arial" w:eastAsia="Arial" w:hAnsi="Arial"/>
                <w:sz w:val="20"/>
                <w:szCs w:val="20"/>
                <w:color w:val="231F20"/>
              </w:rPr>
              <w:t>434,580,518</w:t>
            </w:r>
          </w:p>
        </w:tc>
      </w:tr>
      <w:tr>
        <w:trPr>
          <w:trHeight w:val="233"/>
        </w:trPr>
        <w:tc>
          <w:tcPr>
            <w:tcW w:w="312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October 29 – November 25 </w:t>
            </w:r>
            <w:r>
              <w:rPr>
                <w:rFonts w:ascii="Times New Roman" w:cs="Times New Roman" w:eastAsia="Times New Roman" w:hAnsi="Times New Roman"/>
                <w:sz w:val="20"/>
                <w:szCs w:val="20"/>
                <w:color w:val="231F20"/>
              </w:rPr>
              <w:t>............</w:t>
            </w:r>
          </w:p>
        </w:tc>
        <w:tc>
          <w:tcPr>
            <w:tcW w:w="1400" w:type="dxa"/>
            <w:vAlign w:val="bottom"/>
            <w:tcBorders>
              <w:right w:val="single" w:sz="8" w:color="231F20"/>
            </w:tcBorders>
          </w:tcPr>
          <w:p>
            <w:pPr>
              <w:jc w:val="right"/>
              <w:ind w:right="136"/>
              <w:spacing w:after="0"/>
              <w:rPr>
                <w:sz w:val="20"/>
                <w:szCs w:val="20"/>
                <w:color w:val="auto"/>
              </w:rPr>
            </w:pPr>
            <w:r>
              <w:rPr>
                <w:rFonts w:ascii="Arial" w:cs="Arial" w:eastAsia="Arial" w:hAnsi="Arial"/>
                <w:sz w:val="20"/>
                <w:szCs w:val="20"/>
                <w:color w:val="231F20"/>
              </w:rPr>
              <w:t>—</w:t>
            </w:r>
          </w:p>
        </w:tc>
        <w:tc>
          <w:tcPr>
            <w:tcW w:w="400" w:type="dxa"/>
            <w:vAlign w:val="bottom"/>
          </w:tcPr>
          <w:p>
            <w:pPr>
              <w:spacing w:after="0"/>
              <w:rPr>
                <w:sz w:val="20"/>
                <w:szCs w:val="20"/>
                <w:color w:val="auto"/>
              </w:rPr>
            </w:pPr>
          </w:p>
        </w:tc>
        <w:tc>
          <w:tcPr>
            <w:tcW w:w="900" w:type="dxa"/>
            <w:vAlign w:val="bottom"/>
            <w:tcBorders>
              <w:right w:val="single" w:sz="8" w:color="231F20"/>
            </w:tcBorders>
          </w:tcPr>
          <w:p>
            <w:pPr>
              <w:jc w:val="right"/>
              <w:ind w:right="120"/>
              <w:spacing w:after="0"/>
              <w:rPr>
                <w:sz w:val="20"/>
                <w:szCs w:val="20"/>
                <w:color w:val="auto"/>
              </w:rPr>
            </w:pPr>
            <w:r>
              <w:rPr>
                <w:rFonts w:ascii="Arial" w:cs="Arial" w:eastAsia="Arial" w:hAnsi="Arial"/>
                <w:sz w:val="20"/>
                <w:szCs w:val="20"/>
                <w:color w:val="231F20"/>
              </w:rPr>
              <w:t>—</w:t>
            </w:r>
          </w:p>
        </w:tc>
        <w:tc>
          <w:tcPr>
            <w:tcW w:w="1760" w:type="dxa"/>
            <w:vAlign w:val="bottom"/>
            <w:tcBorders>
              <w:right w:val="single" w:sz="8" w:color="231F20"/>
            </w:tcBorders>
          </w:tcPr>
          <w:p>
            <w:pPr>
              <w:jc w:val="right"/>
              <w:ind w:right="135"/>
              <w:spacing w:after="0"/>
              <w:rPr>
                <w:sz w:val="20"/>
                <w:szCs w:val="20"/>
                <w:color w:val="auto"/>
              </w:rPr>
            </w:pPr>
            <w:r>
              <w:rPr>
                <w:rFonts w:ascii="Arial" w:cs="Arial" w:eastAsia="Arial" w:hAnsi="Arial"/>
                <w:sz w:val="20"/>
                <w:szCs w:val="20"/>
                <w:color w:val="231F20"/>
              </w:rPr>
              <w:t>—</w:t>
            </w:r>
          </w:p>
        </w:tc>
        <w:tc>
          <w:tcPr>
            <w:tcW w:w="360" w:type="dxa"/>
            <w:vAlign w:val="bottom"/>
          </w:tcPr>
          <w:p>
            <w:pPr>
              <w:spacing w:after="0"/>
              <w:rPr>
                <w:sz w:val="20"/>
                <w:szCs w:val="20"/>
                <w:color w:val="auto"/>
              </w:rPr>
            </w:pPr>
          </w:p>
        </w:tc>
        <w:tc>
          <w:tcPr>
            <w:tcW w:w="1500" w:type="dxa"/>
            <w:vAlign w:val="bottom"/>
          </w:tcPr>
          <w:p>
            <w:pPr>
              <w:jc w:val="right"/>
              <w:ind w:right="5"/>
              <w:spacing w:after="0"/>
              <w:rPr>
                <w:sz w:val="20"/>
                <w:szCs w:val="20"/>
                <w:color w:val="auto"/>
              </w:rPr>
            </w:pPr>
            <w:r>
              <w:rPr>
                <w:rFonts w:ascii="Arial" w:cs="Arial" w:eastAsia="Arial" w:hAnsi="Arial"/>
                <w:sz w:val="20"/>
                <w:szCs w:val="20"/>
                <w:color w:val="231F20"/>
              </w:rPr>
              <w:t>434,580,518</w:t>
            </w:r>
          </w:p>
        </w:tc>
      </w:tr>
      <w:tr>
        <w:trPr>
          <w:trHeight w:val="253"/>
        </w:trPr>
        <w:tc>
          <w:tcPr>
            <w:tcW w:w="3120" w:type="dxa"/>
            <w:vAlign w:val="bottom"/>
            <w:tcBorders>
              <w:bottom w:val="single" w:sz="8" w:color="231F20"/>
              <w:right w:val="single" w:sz="8" w:color="231F20"/>
            </w:tcBorders>
          </w:tcPr>
          <w:p>
            <w:pPr>
              <w:jc w:val="right"/>
              <w:spacing w:after="0" w:line="190" w:lineRule="exact"/>
              <w:rPr>
                <w:sz w:val="20"/>
                <w:szCs w:val="20"/>
                <w:color w:val="auto"/>
              </w:rPr>
            </w:pPr>
            <w:r>
              <w:rPr>
                <w:rFonts w:ascii="Arial" w:cs="Arial" w:eastAsia="Arial" w:hAnsi="Arial"/>
                <w:sz w:val="20"/>
                <w:szCs w:val="20"/>
                <w:color w:val="231F20"/>
              </w:rPr>
              <w:t xml:space="preserve">November 26 – December 30 </w:t>
            </w:r>
            <w:r>
              <w:rPr>
                <w:rFonts w:ascii="Times New Roman" w:cs="Times New Roman" w:eastAsia="Times New Roman" w:hAnsi="Times New Roman"/>
                <w:sz w:val="20"/>
                <w:szCs w:val="20"/>
                <w:color w:val="231F20"/>
              </w:rPr>
              <w:t>........</w:t>
            </w:r>
          </w:p>
        </w:tc>
        <w:tc>
          <w:tcPr>
            <w:tcW w:w="1400" w:type="dxa"/>
            <w:vAlign w:val="bottom"/>
            <w:tcBorders>
              <w:bottom w:val="single" w:sz="8" w:color="231F20"/>
              <w:right w:val="single" w:sz="8" w:color="231F20"/>
            </w:tcBorders>
          </w:tcPr>
          <w:p>
            <w:pPr>
              <w:jc w:val="right"/>
              <w:ind w:right="136"/>
              <w:spacing w:after="0" w:line="190" w:lineRule="exact"/>
              <w:rPr>
                <w:sz w:val="20"/>
                <w:szCs w:val="20"/>
                <w:color w:val="auto"/>
              </w:rPr>
            </w:pPr>
            <w:r>
              <w:rPr>
                <w:rFonts w:ascii="Arial" w:cs="Arial" w:eastAsia="Arial" w:hAnsi="Arial"/>
                <w:sz w:val="20"/>
                <w:szCs w:val="20"/>
                <w:color w:val="231F20"/>
              </w:rPr>
              <w:t>—</w:t>
            </w:r>
          </w:p>
        </w:tc>
        <w:tc>
          <w:tcPr>
            <w:tcW w:w="40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right w:val="single" w:sz="8" w:color="231F20"/>
            </w:tcBorders>
          </w:tcPr>
          <w:p>
            <w:pPr>
              <w:jc w:val="right"/>
              <w:ind w:right="120"/>
              <w:spacing w:after="0" w:line="190" w:lineRule="exact"/>
              <w:rPr>
                <w:sz w:val="20"/>
                <w:szCs w:val="20"/>
                <w:color w:val="auto"/>
              </w:rPr>
            </w:pPr>
            <w:r>
              <w:rPr>
                <w:rFonts w:ascii="Arial" w:cs="Arial" w:eastAsia="Arial" w:hAnsi="Arial"/>
                <w:sz w:val="20"/>
                <w:szCs w:val="20"/>
                <w:color w:val="231F20"/>
              </w:rPr>
              <w:t>—</w:t>
            </w:r>
          </w:p>
        </w:tc>
        <w:tc>
          <w:tcPr>
            <w:tcW w:w="1760" w:type="dxa"/>
            <w:vAlign w:val="bottom"/>
            <w:tcBorders>
              <w:bottom w:val="single" w:sz="8" w:color="231F20"/>
              <w:right w:val="single" w:sz="8" w:color="231F20"/>
            </w:tcBorders>
          </w:tcPr>
          <w:p>
            <w:pPr>
              <w:jc w:val="right"/>
              <w:ind w:right="135"/>
              <w:spacing w:after="0" w:line="190" w:lineRule="exact"/>
              <w:rPr>
                <w:sz w:val="20"/>
                <w:szCs w:val="20"/>
                <w:color w:val="auto"/>
              </w:rPr>
            </w:pPr>
            <w:r>
              <w:rPr>
                <w:rFonts w:ascii="Arial" w:cs="Arial" w:eastAsia="Arial" w:hAnsi="Arial"/>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1500" w:type="dxa"/>
            <w:vAlign w:val="bottom"/>
            <w:tcBorders>
              <w:bottom w:val="single" w:sz="8" w:color="231F20"/>
            </w:tcBorders>
          </w:tcPr>
          <w:p>
            <w:pPr>
              <w:jc w:val="right"/>
              <w:ind w:right="5"/>
              <w:spacing w:after="0" w:line="190" w:lineRule="exact"/>
              <w:rPr>
                <w:sz w:val="20"/>
                <w:szCs w:val="20"/>
                <w:color w:val="auto"/>
              </w:rPr>
            </w:pPr>
            <w:r>
              <w:rPr>
                <w:rFonts w:ascii="Arial" w:cs="Arial" w:eastAsia="Arial" w:hAnsi="Arial"/>
                <w:sz w:val="20"/>
                <w:szCs w:val="20"/>
                <w:color w:val="231F20"/>
              </w:rPr>
              <w:t>434,580,518</w:t>
            </w:r>
          </w:p>
        </w:tc>
      </w:tr>
      <w:tr>
        <w:trPr>
          <w:trHeight w:val="248"/>
        </w:trPr>
        <w:tc>
          <w:tcPr>
            <w:tcW w:w="3120" w:type="dxa"/>
            <w:vAlign w:val="bottom"/>
            <w:tcBorders>
              <w:bottom w:val="single" w:sz="8" w:color="231F20"/>
              <w:right w:val="single" w:sz="8" w:color="231F20"/>
            </w:tcBorders>
          </w:tcPr>
          <w:p>
            <w:pPr>
              <w:jc w:val="right"/>
              <w:spacing w:after="0" w:line="170" w:lineRule="exact"/>
              <w:rPr>
                <w:sz w:val="20"/>
                <w:szCs w:val="20"/>
                <w:color w:val="auto"/>
              </w:rPr>
            </w:pPr>
            <w:r>
              <w:rPr>
                <w:rFonts w:ascii="Arial" w:cs="Arial" w:eastAsia="Arial" w:hAnsi="Arial"/>
                <w:sz w:val="19"/>
                <w:szCs w:val="19"/>
                <w:color w:val="231F20"/>
              </w:rPr>
              <w:t xml:space="preserve">Total </w:t>
            </w:r>
            <w:r>
              <w:rPr>
                <w:rFonts w:ascii="Times New Roman" w:cs="Times New Roman" w:eastAsia="Times New Roman" w:hAnsi="Times New Roman"/>
                <w:sz w:val="19"/>
                <w:szCs w:val="19"/>
                <w:color w:val="231F20"/>
              </w:rPr>
              <w:t>..............................................</w:t>
            </w:r>
          </w:p>
        </w:tc>
        <w:tc>
          <w:tcPr>
            <w:tcW w:w="1400" w:type="dxa"/>
            <w:vAlign w:val="bottom"/>
            <w:tcBorders>
              <w:bottom w:val="single" w:sz="8" w:color="231F20"/>
              <w:right w:val="single" w:sz="8" w:color="231F20"/>
            </w:tcBorders>
          </w:tcPr>
          <w:p>
            <w:pPr>
              <w:jc w:val="right"/>
              <w:ind w:right="136"/>
              <w:spacing w:after="0" w:line="170" w:lineRule="exact"/>
              <w:rPr>
                <w:sz w:val="20"/>
                <w:szCs w:val="20"/>
                <w:color w:val="auto"/>
              </w:rPr>
            </w:pPr>
            <w:r>
              <w:rPr>
                <w:rFonts w:ascii="Arial" w:cs="Arial" w:eastAsia="Arial" w:hAnsi="Arial"/>
                <w:sz w:val="19"/>
                <w:szCs w:val="19"/>
                <w:color w:val="231F20"/>
              </w:rPr>
              <w:t>331,799</w:t>
            </w:r>
          </w:p>
        </w:tc>
        <w:tc>
          <w:tcPr>
            <w:tcW w:w="400" w:type="dxa"/>
            <w:vAlign w:val="bottom"/>
            <w:tcBorders>
              <w:bottom w:val="single" w:sz="8" w:color="231F20"/>
            </w:tcBorders>
          </w:tcPr>
          <w:p>
            <w:pPr>
              <w:ind w:left="100"/>
              <w:spacing w:after="0" w:line="170" w:lineRule="exact"/>
              <w:rPr>
                <w:sz w:val="20"/>
                <w:szCs w:val="20"/>
                <w:color w:val="auto"/>
              </w:rPr>
            </w:pPr>
            <w:r>
              <w:rPr>
                <w:rFonts w:ascii="Arial" w:cs="Arial" w:eastAsia="Arial" w:hAnsi="Arial"/>
                <w:sz w:val="19"/>
                <w:szCs w:val="19"/>
                <w:color w:val="231F20"/>
              </w:rPr>
              <w:t>$</w:t>
            </w:r>
          </w:p>
        </w:tc>
        <w:tc>
          <w:tcPr>
            <w:tcW w:w="900" w:type="dxa"/>
            <w:vAlign w:val="bottom"/>
            <w:tcBorders>
              <w:bottom w:val="single" w:sz="8" w:color="231F20"/>
              <w:right w:val="single" w:sz="8" w:color="231F20"/>
            </w:tcBorders>
          </w:tcPr>
          <w:p>
            <w:pPr>
              <w:jc w:val="right"/>
              <w:ind w:right="120"/>
              <w:spacing w:after="0" w:line="170" w:lineRule="exact"/>
              <w:rPr>
                <w:sz w:val="20"/>
                <w:szCs w:val="20"/>
                <w:color w:val="auto"/>
              </w:rPr>
            </w:pPr>
            <w:r>
              <w:rPr>
                <w:rFonts w:ascii="Arial" w:cs="Arial" w:eastAsia="Arial" w:hAnsi="Arial"/>
                <w:sz w:val="19"/>
                <w:szCs w:val="19"/>
                <w:color w:val="231F20"/>
              </w:rPr>
              <w:t>60.19</w:t>
            </w:r>
          </w:p>
        </w:tc>
        <w:tc>
          <w:tcPr>
            <w:tcW w:w="1760" w:type="dxa"/>
            <w:vAlign w:val="bottom"/>
            <w:tcBorders>
              <w:bottom w:val="single" w:sz="8" w:color="231F20"/>
              <w:right w:val="single" w:sz="8" w:color="231F20"/>
            </w:tcBorders>
          </w:tcPr>
          <w:p>
            <w:pPr>
              <w:jc w:val="right"/>
              <w:ind w:right="135"/>
              <w:spacing w:after="0" w:line="170" w:lineRule="exact"/>
              <w:rPr>
                <w:sz w:val="20"/>
                <w:szCs w:val="20"/>
                <w:color w:val="auto"/>
              </w:rPr>
            </w:pPr>
            <w:r>
              <w:rPr>
                <w:rFonts w:ascii="Arial" w:cs="Arial" w:eastAsia="Arial" w:hAnsi="Arial"/>
                <w:sz w:val="19"/>
                <w:szCs w:val="19"/>
                <w:color w:val="231F20"/>
              </w:rPr>
              <w:t>331,799</w:t>
            </w:r>
          </w:p>
        </w:tc>
        <w:tc>
          <w:tcPr>
            <w:tcW w:w="360" w:type="dxa"/>
            <w:vAlign w:val="bottom"/>
            <w:tcBorders>
              <w:bottom w:val="single" w:sz="8" w:color="231F20"/>
            </w:tcBorders>
          </w:tcPr>
          <w:p>
            <w:pPr>
              <w:spacing w:after="0"/>
              <w:rPr>
                <w:sz w:val="21"/>
                <w:szCs w:val="21"/>
                <w:color w:val="auto"/>
              </w:rPr>
            </w:pPr>
          </w:p>
        </w:tc>
        <w:tc>
          <w:tcPr>
            <w:tcW w:w="1500" w:type="dxa"/>
            <w:vAlign w:val="bottom"/>
            <w:tcBorders>
              <w:bottom w:val="single" w:sz="8" w:color="231F20"/>
            </w:tcBorders>
          </w:tcPr>
          <w:p>
            <w:pPr>
              <w:spacing w:after="0"/>
              <w:rPr>
                <w:sz w:val="21"/>
                <w:szCs w:val="21"/>
                <w:color w:val="auto"/>
              </w:rPr>
            </w:pPr>
          </w:p>
        </w:tc>
      </w:tr>
    </w:tbl>
    <w:p>
      <w:pPr>
        <w:spacing w:after="0" w:line="131" w:lineRule="exact"/>
        <w:rPr>
          <w:sz w:val="20"/>
          <w:szCs w:val="20"/>
          <w:color w:val="auto"/>
        </w:rPr>
      </w:pPr>
    </w:p>
    <w:p>
      <w:pPr>
        <w:ind w:left="200" w:hanging="194"/>
        <w:spacing w:after="0"/>
        <w:tabs>
          <w:tab w:leader="none" w:pos="200" w:val="left"/>
        </w:tabs>
        <w:numPr>
          <w:ilvl w:val="0"/>
          <w:numId w:val="10"/>
        </w:numPr>
        <w:rPr>
          <w:rFonts w:ascii="Arial" w:cs="Arial" w:eastAsia="Arial" w:hAnsi="Arial"/>
          <w:sz w:val="10"/>
          <w:szCs w:val="10"/>
          <w:i w:val="1"/>
          <w:iCs w:val="1"/>
          <w:color w:val="231F20"/>
        </w:rPr>
      </w:pPr>
      <w:r>
        <w:rPr>
          <w:rFonts w:ascii="Arial" w:cs="Arial" w:eastAsia="Arial" w:hAnsi="Arial"/>
          <w:sz w:val="16"/>
          <w:szCs w:val="16"/>
          <w:i w:val="1"/>
          <w:iCs w:val="1"/>
          <w:color w:val="231F20"/>
        </w:rPr>
        <w:t>Information on the Company’s share repurchase program in effect during the period covered by the table above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Borders>
              <w:top w:val="single" w:sz="8" w:color="231F20"/>
            </w:tcBorders>
          </w:tcPr>
          <w:p>
            <w:pPr>
              <w:spacing w:after="0"/>
              <w:rPr>
                <w:sz w:val="15"/>
                <w:szCs w:val="15"/>
                <w:color w:val="auto"/>
              </w:rPr>
            </w:pPr>
          </w:p>
        </w:tc>
        <w:tc>
          <w:tcPr>
            <w:tcW w:w="2240" w:type="dxa"/>
            <w:vAlign w:val="bottom"/>
            <w:tcBorders>
              <w:top w:val="single" w:sz="8" w:color="231F20"/>
            </w:tcBorders>
          </w:tcPr>
          <w:p>
            <w:pPr>
              <w:spacing w:after="0"/>
              <w:rPr>
                <w:sz w:val="15"/>
                <w:szCs w:val="15"/>
                <w:color w:val="auto"/>
              </w:rPr>
            </w:pPr>
          </w:p>
        </w:tc>
        <w:tc>
          <w:tcPr>
            <w:tcW w:w="2780" w:type="dxa"/>
            <w:vAlign w:val="bottom"/>
            <w:tcBorders>
              <w:top w:val="single" w:sz="8" w:color="231F20"/>
            </w:tcBorders>
          </w:tcPr>
          <w:p>
            <w:pPr>
              <w:jc w:val="center"/>
              <w:spacing w:after="0"/>
              <w:rPr>
                <w:sz w:val="20"/>
                <w:szCs w:val="20"/>
                <w:color w:val="auto"/>
              </w:rPr>
            </w:pPr>
            <w:r>
              <w:rPr>
                <w:rFonts w:ascii="Arial" w:cs="Arial" w:eastAsia="Arial" w:hAnsi="Arial"/>
                <w:sz w:val="15"/>
                <w:szCs w:val="15"/>
                <w:i w:val="1"/>
                <w:iCs w:val="1"/>
                <w:color w:val="231F20"/>
              </w:rPr>
              <w:t>Authorization amount of shares</w:t>
            </w:r>
          </w:p>
        </w:tc>
        <w:tc>
          <w:tcPr>
            <w:tcW w:w="1940" w:type="dxa"/>
            <w:vAlign w:val="bottom"/>
            <w:tcBorders>
              <w:top w:val="single" w:sz="8" w:color="231F20"/>
            </w:tcBorders>
          </w:tcPr>
          <w:p>
            <w:pPr>
              <w:spacing w:after="0"/>
              <w:rPr>
                <w:sz w:val="15"/>
                <w:szCs w:val="15"/>
                <w:color w:val="auto"/>
              </w:rPr>
            </w:pPr>
          </w:p>
        </w:tc>
      </w:tr>
      <w:tr>
        <w:trPr>
          <w:trHeight w:val="183"/>
        </w:trPr>
        <w:tc>
          <w:tcPr>
            <w:tcW w:w="2520" w:type="dxa"/>
            <w:vAlign w:val="bottom"/>
            <w:tcBorders>
              <w:bottom w:val="single" w:sz="8" w:color="231F20"/>
            </w:tcBorders>
          </w:tcPr>
          <w:p>
            <w:pPr>
              <w:jc w:val="center"/>
              <w:ind w:left="51"/>
              <w:spacing w:after="0"/>
              <w:rPr>
                <w:sz w:val="20"/>
                <w:szCs w:val="20"/>
                <w:color w:val="auto"/>
              </w:rPr>
            </w:pPr>
            <w:r>
              <w:rPr>
                <w:rFonts w:ascii="Arial" w:cs="Arial" w:eastAsia="Arial" w:hAnsi="Arial"/>
                <w:sz w:val="15"/>
                <w:szCs w:val="15"/>
                <w:i w:val="1"/>
                <w:iCs w:val="1"/>
                <w:color w:val="231F20"/>
              </w:rPr>
              <w:t>Authorization date</w:t>
            </w:r>
          </w:p>
        </w:tc>
        <w:tc>
          <w:tcPr>
            <w:tcW w:w="2240" w:type="dxa"/>
            <w:vAlign w:val="bottom"/>
            <w:tcBorders>
              <w:bottom w:val="single" w:sz="8" w:color="231F20"/>
            </w:tcBorders>
          </w:tcPr>
          <w:p>
            <w:pPr>
              <w:jc w:val="center"/>
              <w:ind w:left="111"/>
              <w:spacing w:after="0"/>
              <w:rPr>
                <w:sz w:val="20"/>
                <w:szCs w:val="20"/>
                <w:color w:val="auto"/>
              </w:rPr>
            </w:pPr>
            <w:r>
              <w:rPr>
                <w:rFonts w:ascii="Arial" w:cs="Arial" w:eastAsia="Arial" w:hAnsi="Arial"/>
                <w:sz w:val="15"/>
                <w:szCs w:val="15"/>
                <w:i w:val="1"/>
                <w:iCs w:val="1"/>
                <w:color w:val="231F20"/>
              </w:rPr>
              <w:t>Announcement date</w:t>
            </w:r>
          </w:p>
        </w:tc>
        <w:tc>
          <w:tcPr>
            <w:tcW w:w="2780" w:type="dxa"/>
            <w:vAlign w:val="bottom"/>
            <w:tcBorders>
              <w:bottom w:val="single" w:sz="8" w:color="231F20"/>
            </w:tcBorders>
          </w:tcPr>
          <w:p>
            <w:pPr>
              <w:jc w:val="center"/>
              <w:spacing w:after="0"/>
              <w:rPr>
                <w:sz w:val="20"/>
                <w:szCs w:val="20"/>
                <w:color w:val="auto"/>
              </w:rPr>
            </w:pPr>
            <w:r>
              <w:rPr>
                <w:rFonts w:ascii="Arial" w:cs="Arial" w:eastAsia="Arial" w:hAnsi="Arial"/>
                <w:sz w:val="15"/>
                <w:szCs w:val="15"/>
                <w:i w:val="1"/>
                <w:iCs w:val="1"/>
                <w:color w:val="231F20"/>
              </w:rPr>
              <w:t>of outstanding common stock</w:t>
            </w:r>
          </w:p>
        </w:tc>
        <w:tc>
          <w:tcPr>
            <w:tcW w:w="1940" w:type="dxa"/>
            <w:vAlign w:val="bottom"/>
            <w:tcBorders>
              <w:bottom w:val="single" w:sz="8" w:color="231F20"/>
            </w:tcBorders>
          </w:tcPr>
          <w:p>
            <w:pPr>
              <w:jc w:val="center"/>
              <w:spacing w:after="0"/>
              <w:rPr>
                <w:sz w:val="20"/>
                <w:szCs w:val="20"/>
                <w:color w:val="auto"/>
              </w:rPr>
            </w:pPr>
            <w:r>
              <w:rPr>
                <w:rFonts w:ascii="Arial" w:cs="Arial" w:eastAsia="Arial" w:hAnsi="Arial"/>
                <w:sz w:val="15"/>
                <w:szCs w:val="15"/>
                <w:i w:val="1"/>
                <w:iCs w:val="1"/>
                <w:color w:val="231F20"/>
              </w:rPr>
              <w:t>Expiration date</w:t>
            </w:r>
          </w:p>
        </w:tc>
      </w:tr>
      <w:tr>
        <w:trPr>
          <w:trHeight w:val="248"/>
        </w:trPr>
        <w:tc>
          <w:tcPr>
            <w:tcW w:w="2520" w:type="dxa"/>
            <w:vAlign w:val="bottom"/>
            <w:tcBorders>
              <w:bottom w:val="single" w:sz="8" w:color="231F20"/>
            </w:tcBorders>
          </w:tcPr>
          <w:p>
            <w:pPr>
              <w:jc w:val="center"/>
              <w:ind w:left="51"/>
              <w:spacing w:after="0" w:line="223" w:lineRule="exact"/>
              <w:rPr>
                <w:sz w:val="20"/>
                <w:szCs w:val="20"/>
                <w:color w:val="auto"/>
              </w:rPr>
            </w:pPr>
            <w:r>
              <w:rPr>
                <w:rFonts w:ascii="Arial" w:cs="Arial" w:eastAsia="Arial" w:hAnsi="Arial"/>
                <w:sz w:val="20"/>
                <w:szCs w:val="20"/>
                <w:i w:val="1"/>
                <w:iCs w:val="1"/>
                <w:color w:val="231F20"/>
              </w:rPr>
              <w:t>March 1, 2022</w:t>
            </w:r>
          </w:p>
        </w:tc>
        <w:tc>
          <w:tcPr>
            <w:tcW w:w="2240" w:type="dxa"/>
            <w:vAlign w:val="bottom"/>
            <w:tcBorders>
              <w:bottom w:val="single" w:sz="8" w:color="231F20"/>
            </w:tcBorders>
          </w:tcPr>
          <w:p>
            <w:pPr>
              <w:jc w:val="center"/>
              <w:ind w:left="91"/>
              <w:spacing w:after="0" w:line="223" w:lineRule="exact"/>
              <w:rPr>
                <w:sz w:val="20"/>
                <w:szCs w:val="20"/>
                <w:color w:val="auto"/>
              </w:rPr>
            </w:pPr>
            <w:r>
              <w:rPr>
                <w:rFonts w:ascii="Arial" w:cs="Arial" w:eastAsia="Arial" w:hAnsi="Arial"/>
                <w:sz w:val="20"/>
                <w:szCs w:val="20"/>
                <w:i w:val="1"/>
                <w:iCs w:val="1"/>
                <w:color w:val="231F20"/>
              </w:rPr>
              <w:t>March 2, 2022</w:t>
            </w:r>
          </w:p>
        </w:tc>
        <w:tc>
          <w:tcPr>
            <w:tcW w:w="2780" w:type="dxa"/>
            <w:vAlign w:val="bottom"/>
            <w:tcBorders>
              <w:bottom w:val="single" w:sz="8" w:color="231F20"/>
            </w:tcBorders>
          </w:tcPr>
          <w:p>
            <w:pPr>
              <w:jc w:val="center"/>
              <w:spacing w:after="0" w:line="223" w:lineRule="exact"/>
              <w:rPr>
                <w:sz w:val="20"/>
                <w:szCs w:val="20"/>
                <w:color w:val="auto"/>
              </w:rPr>
            </w:pPr>
            <w:r>
              <w:rPr>
                <w:rFonts w:ascii="Arial" w:cs="Arial" w:eastAsia="Arial" w:hAnsi="Arial"/>
                <w:sz w:val="20"/>
                <w:szCs w:val="20"/>
                <w:i w:val="1"/>
                <w:iCs w:val="1"/>
                <w:color w:val="231F20"/>
              </w:rPr>
              <w:t>$750,000,000</w:t>
            </w:r>
          </w:p>
        </w:tc>
        <w:tc>
          <w:tcPr>
            <w:tcW w:w="1940" w:type="dxa"/>
            <w:vAlign w:val="bottom"/>
            <w:tcBorders>
              <w:bottom w:val="single" w:sz="8" w:color="231F20"/>
            </w:tcBorders>
          </w:tcPr>
          <w:p>
            <w:pPr>
              <w:jc w:val="center"/>
              <w:spacing w:after="0" w:line="223" w:lineRule="exact"/>
              <w:rPr>
                <w:sz w:val="20"/>
                <w:szCs w:val="20"/>
                <w:color w:val="auto"/>
              </w:rPr>
            </w:pPr>
            <w:r>
              <w:rPr>
                <w:rFonts w:ascii="Arial" w:cs="Arial" w:eastAsia="Arial" w:hAnsi="Arial"/>
                <w:sz w:val="20"/>
                <w:szCs w:val="20"/>
                <w:i w:val="1"/>
                <w:iCs w:val="1"/>
                <w:color w:val="231F20"/>
              </w:rPr>
              <w:t>March 1, 2024</w:t>
            </w:r>
          </w:p>
        </w:tc>
      </w:tr>
    </w:tbl>
    <w:p>
      <w:pPr>
        <w:spacing w:after="0" w:line="21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231F20"/>
        </w:rPr>
        <w:t>In addition, on January 29, 2024, the Company's Board of Directors authorized the repurchase of up to $650 million of shares of the Company’s outstanding common stock over the next two years on the open market or in privately negotiated transactions or otherwise (including pursuant to a Rule 10b5-1 trading plan, block trades and accelerated share repurchase transactions), in accordance with applicable securities laws. The $650 million share repurchase authorization is in addition to the approximately $435 million remaining as of January 30, 2024 from the existing authorization described above expiring on March 1, 2024.</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231F20"/>
        </w:rPr>
        <w:t>The new purchases, if made, will occur from time to time depending on market conditions. The newly announced share repurchase authorization does not obligate the Company to repurchase any dollar amount or number of shares of common stock. The authorization is in effect until January 29, 2026, and may be suspended or discontinued at any time.</w:t>
      </w:r>
    </w:p>
    <w:p>
      <w:pPr>
        <w:sectPr>
          <w:pgSz w:w="12240" w:h="15840" w:orient="portrait"/>
          <w:cols w:equalWidth="0" w:num="1">
            <w:col w:w="9480"/>
          </w:cols>
          <w:pgMar w:left="1380" w:top="1342"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21</w:t>
      </w:r>
    </w:p>
    <w:p>
      <w:pPr>
        <w:sectPr>
          <w:pgSz w:w="12240" w:h="15840" w:orient="portrait"/>
          <w:cols w:equalWidth="0" w:num="1">
            <w:col w:w="9480"/>
          </w:cols>
          <w:pgMar w:left="1380" w:top="1342" w:right="1380" w:bottom="95" w:gutter="0" w:footer="0" w:header="0"/>
          <w:type w:val="continuous"/>
        </w:sectPr>
      </w:pPr>
    </w:p>
    <w:bookmarkStart w:id="29" w:name="page30"/>
    <w:bookmarkEnd w:id="29"/>
    <w:p>
      <w:pPr>
        <w:spacing w:after="0"/>
        <w:rPr>
          <w:sz w:val="20"/>
          <w:szCs w:val="20"/>
          <w:color w:val="auto"/>
        </w:rPr>
      </w:pPr>
      <w:r>
        <w:rPr>
          <w:rFonts w:ascii="Arial" w:cs="Arial" w:eastAsia="Arial" w:hAnsi="Arial"/>
          <w:sz w:val="20"/>
          <w:szCs w:val="20"/>
          <w:b w:val="1"/>
          <w:bCs w:val="1"/>
          <w:color w:val="231F20"/>
        </w:rPr>
        <w:t>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6012180" cy="4412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6012180" cy="4412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231F20"/>
        </w:rPr>
        <w:t>The above graph compares the relative performance of our common stock, the S&amp;P MidCap 400 Index and S&amp;P MidCap 400 Consumer Durables Index. This graph covers the period from December 31, 2018 through December 30, 2023. This graph assumes $100 was invested in the stock or the index on December 31, 2018 and also assumes the reinvestment of dividends, including the effect of the Separation. The foregoing performance graph is being furnished as part of this Annual Report on Form 10-K solely in accordance with the requirement under Rule 14a-3(b)(9) to furnish our stockholders with such information, and therefore, shall not be deemed to be filed or incorporated by reference into any filings by the Company under the Securities Act or the Exchange Act.</w:t>
      </w:r>
    </w:p>
    <w:p>
      <w:pPr>
        <w:spacing w:after="0" w:line="36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231F20"/>
        </w:rPr>
        <w:t>Item 6.</w:t>
        <w:tab/>
        <w:t>Reserved.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231F20"/>
        </w:rPr>
        <w:t>Not applicable.</w:t>
      </w:r>
    </w:p>
    <w:p>
      <w:pPr>
        <w:sectPr>
          <w:pgSz w:w="12240" w:h="15840" w:orient="portrait"/>
          <w:cols w:equalWidth="0" w:num="1">
            <w:col w:w="9420"/>
          </w:cols>
          <w:pgMar w:left="1380" w:top="1342" w:right="144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22</w:t>
      </w:r>
    </w:p>
    <w:p>
      <w:pPr>
        <w:sectPr>
          <w:pgSz w:w="12240" w:h="15840" w:orient="portrait"/>
          <w:cols w:equalWidth="0" w:num="1">
            <w:col w:w="9420"/>
          </w:cols>
          <w:pgMar w:left="1380" w:top="1342" w:right="1440" w:bottom="95" w:gutter="0" w:footer="0" w:header="0"/>
          <w:type w:val="continuous"/>
        </w:sectPr>
      </w:pPr>
    </w:p>
    <w:bookmarkStart w:id="30" w:name="page31"/>
    <w:bookmarkEnd w:id="30"/>
    <w:p>
      <w:pPr>
        <w:ind w:right="1120"/>
        <w:spacing w:after="0" w:line="304" w:lineRule="auto"/>
        <w:rPr>
          <w:sz w:val="20"/>
          <w:szCs w:val="20"/>
          <w:color w:val="auto"/>
        </w:rPr>
      </w:pPr>
      <w:r>
        <w:rPr>
          <w:rFonts w:ascii="Arial" w:cs="Arial" w:eastAsia="Arial" w:hAnsi="Arial"/>
          <w:sz w:val="20"/>
          <w:szCs w:val="20"/>
          <w:b w:val="1"/>
          <w:bCs w:val="1"/>
          <w:color w:val="231F20"/>
        </w:rPr>
        <w:t>Item 7. Management’s Discussion and Analysis of Financial Condition and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Introduction</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231F20"/>
        </w:rPr>
        <w:t>This Management’s Discussion and Analysis of Financial Condition and Results of Operations (“MD&amp;A”) is a supplement to the accompanying consolidated financial statements and provides additional information on our business, recent developments, financial condition, liquidity and capital resources, cash flows and results of operations. MD&amp;A is organized as follows:</w:t>
      </w:r>
    </w:p>
    <w:p>
      <w:pPr>
        <w:spacing w:after="0" w:line="50" w:lineRule="exact"/>
        <w:rPr>
          <w:sz w:val="20"/>
          <w:szCs w:val="20"/>
          <w:color w:val="auto"/>
        </w:rPr>
      </w:pPr>
    </w:p>
    <w:p>
      <w:pPr>
        <w:jc w:val="both"/>
        <w:ind w:left="380" w:right="280" w:hanging="374"/>
        <w:spacing w:after="0" w:line="265" w:lineRule="auto"/>
        <w:tabs>
          <w:tab w:leader="none" w:pos="3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Recent Developments: This section provides a summary of noteworthy recent developments in the most recently completed fiscal year in the operation of the business, including changes in segment reporting and significant acquisitions.</w:t>
      </w:r>
    </w:p>
    <w:p>
      <w:pPr>
        <w:spacing w:after="0" w:line="40" w:lineRule="exact"/>
        <w:rPr>
          <w:rFonts w:ascii="Arial" w:cs="Arial" w:eastAsia="Arial" w:hAnsi="Arial"/>
          <w:sz w:val="20"/>
          <w:szCs w:val="20"/>
          <w:color w:val="231F20"/>
        </w:rPr>
      </w:pPr>
    </w:p>
    <w:p>
      <w:pPr>
        <w:ind w:left="380" w:right="140" w:hanging="374"/>
        <w:spacing w:after="0" w:line="257" w:lineRule="auto"/>
        <w:tabs>
          <w:tab w:leader="none" w:pos="3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Overview: This section provides a general description of our business and a discussion of management’s general outlook regarding market demand, our competitive position and product innovation, as well as additional recent developments we believe are important to understanding our results of operations and financial condition or in understanding anticipated future trends.</w:t>
      </w:r>
    </w:p>
    <w:p>
      <w:pPr>
        <w:spacing w:after="0" w:line="50" w:lineRule="exact"/>
        <w:rPr>
          <w:rFonts w:ascii="Arial" w:cs="Arial" w:eastAsia="Arial" w:hAnsi="Arial"/>
          <w:sz w:val="20"/>
          <w:szCs w:val="20"/>
          <w:color w:val="231F20"/>
        </w:rPr>
      </w:pPr>
    </w:p>
    <w:p>
      <w:pPr>
        <w:ind w:left="380" w:right="520" w:hanging="374"/>
        <w:spacing w:after="0" w:line="287" w:lineRule="auto"/>
        <w:tabs>
          <w:tab w:leader="none" w:pos="3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Basis of Presentation: This section provides a discussion of the basis on which our consolidated financial statements were prepared.</w:t>
      </w:r>
    </w:p>
    <w:p>
      <w:pPr>
        <w:spacing w:after="0" w:line="19" w:lineRule="exact"/>
        <w:rPr>
          <w:rFonts w:ascii="Arial" w:cs="Arial" w:eastAsia="Arial" w:hAnsi="Arial"/>
          <w:sz w:val="20"/>
          <w:szCs w:val="20"/>
          <w:color w:val="231F20"/>
        </w:rPr>
      </w:pPr>
    </w:p>
    <w:p>
      <w:pPr>
        <w:ind w:left="380" w:right="460" w:hanging="374"/>
        <w:spacing w:after="0" w:line="287" w:lineRule="auto"/>
        <w:tabs>
          <w:tab w:leader="none" w:pos="3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Results of Operations: This section provides an analysis of our results of operations for the fiscal years ended December 30, 2023, December 31, 2022 and December 31, 2021.</w:t>
      </w:r>
    </w:p>
    <w:p>
      <w:pPr>
        <w:spacing w:after="0" w:line="19" w:lineRule="exact"/>
        <w:rPr>
          <w:rFonts w:ascii="Arial" w:cs="Arial" w:eastAsia="Arial" w:hAnsi="Arial"/>
          <w:sz w:val="20"/>
          <w:szCs w:val="20"/>
          <w:color w:val="231F20"/>
        </w:rPr>
      </w:pPr>
    </w:p>
    <w:p>
      <w:pPr>
        <w:ind w:left="380" w:hanging="374"/>
        <w:spacing w:after="0" w:line="251" w:lineRule="auto"/>
        <w:tabs>
          <w:tab w:leader="none" w:pos="3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Liquidity and Capital Resources: This section provides a discussion of our financial condition as of December 30, 2023 and an analysis of our cash flows for each of the three years ended December 30, 2023, December 31, 2022 and December 31, 2021. This section also provides a discussion of our contractual obligations, other purchase commitments and customer credit risk that existed at December 30, 2023, as well as a discussion of our ability to fund our future commitments and ongoing operating activities through internal and external sources of capital.</w:t>
      </w:r>
    </w:p>
    <w:p>
      <w:pPr>
        <w:spacing w:after="0" w:line="57" w:lineRule="exact"/>
        <w:rPr>
          <w:rFonts w:ascii="Arial" w:cs="Arial" w:eastAsia="Arial" w:hAnsi="Arial"/>
          <w:sz w:val="20"/>
          <w:szCs w:val="20"/>
          <w:color w:val="231F20"/>
        </w:rPr>
      </w:pPr>
    </w:p>
    <w:p>
      <w:pPr>
        <w:ind w:left="380" w:right="180" w:hanging="374"/>
        <w:spacing w:after="0" w:line="265" w:lineRule="auto"/>
        <w:tabs>
          <w:tab w:leader="none" w:pos="380" w:val="left"/>
        </w:tabs>
        <w:numPr>
          <w:ilvl w:val="0"/>
          <w:numId w:val="11"/>
        </w:numPr>
        <w:rPr>
          <w:rFonts w:ascii="Arial" w:cs="Arial" w:eastAsia="Arial" w:hAnsi="Arial"/>
          <w:sz w:val="20"/>
          <w:szCs w:val="20"/>
          <w:color w:val="231F20"/>
        </w:rPr>
      </w:pPr>
      <w:r>
        <w:rPr>
          <w:rFonts w:ascii="Arial" w:cs="Arial" w:eastAsia="Arial" w:hAnsi="Arial"/>
          <w:sz w:val="20"/>
          <w:szCs w:val="20"/>
          <w:color w:val="231F20"/>
        </w:rPr>
        <w:t>Critical Accounting Estimates: This section identifies and summarizes those accounting policies that significantly impact our reported results of operations and financial condition and require significant judgment or estimates on the part of management in their application.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Recent Developments</w:t>
      </w:r>
    </w:p>
    <w:p>
      <w:pPr>
        <w:spacing w:after="0" w:line="215"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231F20"/>
        </w:rPr>
        <w:t>Effective in the first quarter of 2023, the Company revised its segment reporting from two reportable segments, Water Innovations and Outdoors &amp; Security, to three reportable segments, Water Innovations (“Water”), Outdoors and Security. The change in segment reporting was made to align with changes made in the manner our chief operating decision maker reviews the Company’s operating results in assessing performance and allocating resources. Comparative prior periods amounts have been recast to conform to the new segment presentation.</w:t>
      </w:r>
    </w:p>
    <w:p>
      <w:pPr>
        <w:spacing w:after="0" w:line="13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231F20"/>
        </w:rPr>
        <w:t>In June 2023, we acquired the Emtek and Schaub premium and luxury door and cabinet hardware business (the "Emtek and Schaub Business") and the U.S. and Canadian Yale and August residential smart locks business (the "Yale and August Business", and, collectively with the Emtek and Schaub Business, the "ASSA Businesses") from ASSA ABLOY, Inc. and its affiliates ("ASSA"). The Company completed the acquisition for a total purchase price of approximately $809.3 million, subject to post-closing adjustments, net of cash acquired of $16.3 million. As of the date of this filing, legal title to international operations in Vietnam has not yet transferred, but we expect a deferred closing, which will include a payment of approximately $23.5 million (which amount is already included in the overall purchase price but for which the cash payment has not yet been made) shortly following receipt of local regulatory approval. In preparation for the deferred closing, $23.5 million is classified as restricted cash within Other current assets and the corresponding payable is included within Other current liabilities. We financed the transaction with cash on hand. The results of the Emtek and Schaub Business are reported as part of the Water segment, and the results of the Yale and August Business are reported as part of the Security segment.</w:t>
      </w:r>
    </w:p>
    <w:p>
      <w:pPr>
        <w:sectPr>
          <w:pgSz w:w="12240" w:h="15840" w:orient="portrait"/>
          <w:cols w:equalWidth="0" w:num="1">
            <w:col w:w="9460"/>
          </w:cols>
          <w:pgMar w:left="1380" w:top="1342"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23</w:t>
      </w:r>
    </w:p>
    <w:p>
      <w:pPr>
        <w:sectPr>
          <w:pgSz w:w="12240" w:h="15840" w:orient="portrait"/>
          <w:cols w:equalWidth="0" w:num="1">
            <w:col w:w="9460"/>
          </w:cols>
          <w:pgMar w:left="1380" w:top="1342" w:right="1400" w:bottom="95"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b w:val="1"/>
          <w:bCs w:val="1"/>
          <w:color w:val="231F20"/>
        </w:rPr>
        <w:t>Overview</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231F20"/>
        </w:rPr>
        <w:t>The Company is a leading innovation company focused on creating smarter, safer and more beautiful homes and lives that is focused on the design, manufacture and sale of market-leading branded products in the following categories: plumbing and accessories, entry door and storm door systems, security products, and outdoor performance materials used in decking and railing products.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231F20"/>
        </w:rPr>
        <w:t>For the year ended December 30, 2023, net sales based on country of destination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610870</wp:posOffset>
                </wp:positionH>
                <wp:positionV relativeFrom="paragraph">
                  <wp:posOffset>149860</wp:posOffset>
                </wp:positionV>
                <wp:extent cx="47974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742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pt,11.8pt" to="425.85pt,11.8pt" o:allowincell="f" strokecolor="#231F20" strokeweight="0.506pt"/>
            </w:pict>
          </mc:Fallback>
        </mc:AlternateConten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15"/>
          <w:szCs w:val="15"/>
          <w:i w:val="1"/>
          <w:iCs w:val="1"/>
          <w:color w:val="231F20"/>
        </w:rPr>
        <w:t>(In millions)</w:t>
      </w:r>
    </w:p>
    <w:p>
      <w:pPr>
        <w:spacing w:after="0" w:line="11" w:lineRule="exact"/>
        <w:rPr>
          <w:sz w:val="20"/>
          <w:szCs w:val="20"/>
          <w:color w:val="auto"/>
        </w:rPr>
      </w:pPr>
    </w:p>
    <w:tbl>
      <w:tblPr>
        <w:tblLayout w:type="fixed"/>
        <w:tblInd w:w="960" w:type="dxa"/>
        <w:tblCellMar>
          <w:top w:w="0" w:type="dxa"/>
          <w:left w:w="0" w:type="dxa"/>
          <w:bottom w:w="0" w:type="dxa"/>
          <w:right w:w="0" w:type="dxa"/>
        </w:tblCellMar>
      </w:tblPr>
      <w:tr>
        <w:trPr>
          <w:trHeight w:val="202"/>
        </w:trPr>
        <w:tc>
          <w:tcPr>
            <w:tcW w:w="4540" w:type="dxa"/>
            <w:vAlign w:val="bottom"/>
            <w:tcBorders>
              <w:top w:val="single" w:sz="8" w:color="231F20"/>
            </w:tcBorders>
          </w:tcPr>
          <w:p>
            <w:pPr>
              <w:jc w:val="right"/>
              <w:spacing w:after="0" w:line="202" w:lineRule="exact"/>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20"/>
                <w:szCs w:val="20"/>
                <w:color w:val="231F20"/>
              </w:rPr>
              <w:t>UnitedStates</w:t>
            </w:r>
          </w:p>
        </w:tc>
        <w:tc>
          <w:tcPr>
            <w:tcW w:w="560" w:type="dxa"/>
            <w:vAlign w:val="bottom"/>
            <w:tcBorders>
              <w:top w:val="single" w:sz="8" w:color="231F20"/>
            </w:tcBorders>
          </w:tcPr>
          <w:p>
            <w:pPr>
              <w:jc w:val="right"/>
              <w:ind w:right="259"/>
              <w:spacing w:after="0" w:line="203" w:lineRule="exact"/>
              <w:rPr>
                <w:sz w:val="20"/>
                <w:szCs w:val="20"/>
                <w:color w:val="auto"/>
              </w:rPr>
            </w:pPr>
            <w:r>
              <w:rPr>
                <w:rFonts w:ascii="Arial" w:cs="Arial" w:eastAsia="Arial" w:hAnsi="Arial"/>
                <w:sz w:val="20"/>
                <w:szCs w:val="20"/>
                <w:color w:val="231F20"/>
              </w:rPr>
              <w:t>$</w:t>
            </w:r>
          </w:p>
        </w:tc>
        <w:tc>
          <w:tcPr>
            <w:tcW w:w="1480" w:type="dxa"/>
            <w:vAlign w:val="bottom"/>
            <w:tcBorders>
              <w:top w:val="single" w:sz="8" w:color="231F20"/>
            </w:tcBorders>
          </w:tcPr>
          <w:p>
            <w:pPr>
              <w:jc w:val="right"/>
              <w:ind w:right="359"/>
              <w:spacing w:after="0" w:line="203" w:lineRule="exact"/>
              <w:rPr>
                <w:sz w:val="20"/>
                <w:szCs w:val="20"/>
                <w:color w:val="auto"/>
              </w:rPr>
            </w:pPr>
            <w:r>
              <w:rPr>
                <w:rFonts w:ascii="Arial" w:cs="Arial" w:eastAsia="Arial" w:hAnsi="Arial"/>
                <w:sz w:val="20"/>
                <w:szCs w:val="20"/>
                <w:color w:val="231F20"/>
              </w:rPr>
              <w:t>3,708.0</w:t>
            </w:r>
          </w:p>
        </w:tc>
        <w:tc>
          <w:tcPr>
            <w:tcW w:w="980" w:type="dxa"/>
            <w:vAlign w:val="bottom"/>
            <w:tcBorders>
              <w:top w:val="single" w:sz="8" w:color="231F20"/>
            </w:tcBorders>
          </w:tcPr>
          <w:p>
            <w:pPr>
              <w:jc w:val="right"/>
              <w:spacing w:after="0" w:line="203" w:lineRule="exact"/>
              <w:rPr>
                <w:sz w:val="20"/>
                <w:szCs w:val="20"/>
                <w:color w:val="auto"/>
              </w:rPr>
            </w:pPr>
            <w:r>
              <w:rPr>
                <w:rFonts w:ascii="Arial" w:cs="Arial" w:eastAsia="Arial" w:hAnsi="Arial"/>
                <w:sz w:val="20"/>
                <w:szCs w:val="20"/>
                <w:color w:val="231F20"/>
              </w:rPr>
              <w:t>80%</w:t>
            </w:r>
          </w:p>
        </w:tc>
      </w:tr>
      <w:tr>
        <w:trPr>
          <w:trHeight w:val="233"/>
        </w:trPr>
        <w:tc>
          <w:tcPr>
            <w:tcW w:w="4540" w:type="dxa"/>
            <w:vAlign w:val="bottom"/>
          </w:tcPr>
          <w:p>
            <w:pPr>
              <w:jc w:val="right"/>
              <w:spacing w:after="0"/>
              <w:rPr>
                <w:sz w:val="20"/>
                <w:szCs w:val="20"/>
                <w:color w:val="auto"/>
              </w:rPr>
            </w:pPr>
            <w:r>
              <w:rPr>
                <w:rFonts w:ascii="Arial" w:cs="Arial" w:eastAsia="Arial" w:hAnsi="Arial"/>
                <w:sz w:val="20"/>
                <w:szCs w:val="20"/>
                <w:color w:val="231F20"/>
              </w:rPr>
              <w:t xml:space="preserve">Canada </w:t>
            </w:r>
            <w:r>
              <w:rPr>
                <w:rFonts w:ascii="Times New Roman" w:cs="Times New Roman" w:eastAsia="Times New Roman" w:hAnsi="Times New Roman"/>
                <w:sz w:val="20"/>
                <w:szCs w:val="20"/>
                <w:color w:val="231F20"/>
              </w:rPr>
              <w:t>.........................................................................</w:t>
            </w:r>
          </w:p>
        </w:tc>
        <w:tc>
          <w:tcPr>
            <w:tcW w:w="560" w:type="dxa"/>
            <w:vAlign w:val="bottom"/>
          </w:tcPr>
          <w:p>
            <w:pPr>
              <w:spacing w:after="0"/>
              <w:rPr>
                <w:sz w:val="20"/>
                <w:szCs w:val="20"/>
                <w:color w:val="auto"/>
              </w:rPr>
            </w:pPr>
          </w:p>
        </w:tc>
        <w:tc>
          <w:tcPr>
            <w:tcW w:w="1480" w:type="dxa"/>
            <w:vAlign w:val="bottom"/>
          </w:tcPr>
          <w:p>
            <w:pPr>
              <w:jc w:val="right"/>
              <w:ind w:right="359"/>
              <w:spacing w:after="0"/>
              <w:rPr>
                <w:sz w:val="20"/>
                <w:szCs w:val="20"/>
                <w:color w:val="auto"/>
              </w:rPr>
            </w:pPr>
            <w:r>
              <w:rPr>
                <w:rFonts w:ascii="Arial" w:cs="Arial" w:eastAsia="Arial" w:hAnsi="Arial"/>
                <w:sz w:val="20"/>
                <w:szCs w:val="20"/>
                <w:color w:val="231F20"/>
              </w:rPr>
              <w:t>352.4</w:t>
            </w:r>
          </w:p>
        </w:tc>
        <w:tc>
          <w:tcPr>
            <w:tcW w:w="980" w:type="dxa"/>
            <w:vAlign w:val="bottom"/>
          </w:tcPr>
          <w:p>
            <w:pPr>
              <w:jc w:val="right"/>
              <w:ind w:right="99"/>
              <w:spacing w:after="0"/>
              <w:rPr>
                <w:sz w:val="20"/>
                <w:szCs w:val="20"/>
                <w:color w:val="auto"/>
              </w:rPr>
            </w:pPr>
            <w:r>
              <w:rPr>
                <w:rFonts w:ascii="Arial" w:cs="Arial" w:eastAsia="Arial" w:hAnsi="Arial"/>
                <w:sz w:val="20"/>
                <w:szCs w:val="20"/>
                <w:color w:val="231F20"/>
              </w:rPr>
              <w:t>8</w:t>
            </w:r>
          </w:p>
        </w:tc>
      </w:tr>
      <w:tr>
        <w:trPr>
          <w:trHeight w:val="233"/>
        </w:trPr>
        <w:tc>
          <w:tcPr>
            <w:tcW w:w="4540" w:type="dxa"/>
            <w:vAlign w:val="bottom"/>
          </w:tcPr>
          <w:p>
            <w:pPr>
              <w:jc w:val="right"/>
              <w:spacing w:after="0"/>
              <w:rPr>
                <w:sz w:val="20"/>
                <w:szCs w:val="20"/>
                <w:color w:val="auto"/>
              </w:rPr>
            </w:pPr>
            <w:r>
              <w:rPr>
                <w:rFonts w:ascii="Arial" w:cs="Arial" w:eastAsia="Arial" w:hAnsi="Arial"/>
                <w:sz w:val="20"/>
                <w:szCs w:val="20"/>
                <w:color w:val="231F20"/>
              </w:rPr>
              <w:t>China</w:t>
            </w:r>
            <w:r>
              <w:rPr>
                <w:rFonts w:ascii="Times New Roman" w:cs="Times New Roman" w:eastAsia="Times New Roman" w:hAnsi="Times New Roman"/>
                <w:sz w:val="20"/>
                <w:szCs w:val="20"/>
                <w:color w:val="231F20"/>
              </w:rPr>
              <w:t>.............................................................................</w:t>
            </w:r>
          </w:p>
        </w:tc>
        <w:tc>
          <w:tcPr>
            <w:tcW w:w="560" w:type="dxa"/>
            <w:vAlign w:val="bottom"/>
          </w:tcPr>
          <w:p>
            <w:pPr>
              <w:spacing w:after="0"/>
              <w:rPr>
                <w:sz w:val="20"/>
                <w:szCs w:val="20"/>
                <w:color w:val="auto"/>
              </w:rPr>
            </w:pPr>
          </w:p>
        </w:tc>
        <w:tc>
          <w:tcPr>
            <w:tcW w:w="1480" w:type="dxa"/>
            <w:vAlign w:val="bottom"/>
          </w:tcPr>
          <w:p>
            <w:pPr>
              <w:jc w:val="right"/>
              <w:ind w:right="359"/>
              <w:spacing w:after="0"/>
              <w:rPr>
                <w:sz w:val="20"/>
                <w:szCs w:val="20"/>
                <w:color w:val="auto"/>
              </w:rPr>
            </w:pPr>
            <w:r>
              <w:rPr>
                <w:rFonts w:ascii="Arial" w:cs="Arial" w:eastAsia="Arial" w:hAnsi="Arial"/>
                <w:sz w:val="20"/>
                <w:szCs w:val="20"/>
                <w:color w:val="231F20"/>
              </w:rPr>
              <w:t>335.2</w:t>
            </w:r>
          </w:p>
        </w:tc>
        <w:tc>
          <w:tcPr>
            <w:tcW w:w="980" w:type="dxa"/>
            <w:vAlign w:val="bottom"/>
          </w:tcPr>
          <w:p>
            <w:pPr>
              <w:jc w:val="right"/>
              <w:ind w:right="99"/>
              <w:spacing w:after="0"/>
              <w:rPr>
                <w:sz w:val="20"/>
                <w:szCs w:val="20"/>
                <w:color w:val="auto"/>
              </w:rPr>
            </w:pPr>
            <w:r>
              <w:rPr>
                <w:rFonts w:ascii="Arial" w:cs="Arial" w:eastAsia="Arial" w:hAnsi="Arial"/>
                <w:sz w:val="20"/>
                <w:szCs w:val="20"/>
                <w:color w:val="231F20"/>
              </w:rPr>
              <w:t>7</w:t>
            </w:r>
          </w:p>
        </w:tc>
      </w:tr>
      <w:tr>
        <w:trPr>
          <w:trHeight w:val="253"/>
        </w:trPr>
        <w:tc>
          <w:tcPr>
            <w:tcW w:w="45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Other international </w:t>
            </w:r>
            <w:r>
              <w:rPr>
                <w:rFonts w:ascii="Times New Roman" w:cs="Times New Roman" w:eastAsia="Times New Roman" w:hAnsi="Times New Roman"/>
                <w:sz w:val="20"/>
                <w:szCs w:val="20"/>
                <w:color w:val="231F20"/>
              </w:rPr>
              <w:t>......................................................</w:t>
            </w:r>
          </w:p>
        </w:tc>
        <w:tc>
          <w:tcPr>
            <w:tcW w:w="560" w:type="dxa"/>
            <w:vAlign w:val="bottom"/>
            <w:tcBorders>
              <w:bottom w:val="single" w:sz="8" w:color="231F20"/>
            </w:tcBorders>
          </w:tcPr>
          <w:p>
            <w:pPr>
              <w:spacing w:after="0"/>
              <w:rPr>
                <w:sz w:val="22"/>
                <w:szCs w:val="22"/>
                <w:color w:val="auto"/>
              </w:rPr>
            </w:pPr>
          </w:p>
        </w:tc>
        <w:tc>
          <w:tcPr>
            <w:tcW w:w="1480" w:type="dxa"/>
            <w:vAlign w:val="bottom"/>
            <w:tcBorders>
              <w:bottom w:val="single" w:sz="8" w:color="231F20"/>
            </w:tcBorders>
          </w:tcPr>
          <w:p>
            <w:pPr>
              <w:jc w:val="right"/>
              <w:ind w:right="359"/>
              <w:spacing w:after="0"/>
              <w:rPr>
                <w:sz w:val="20"/>
                <w:szCs w:val="20"/>
                <w:color w:val="auto"/>
              </w:rPr>
            </w:pPr>
            <w:r>
              <w:rPr>
                <w:rFonts w:ascii="Arial" w:cs="Arial" w:eastAsia="Arial" w:hAnsi="Arial"/>
                <w:sz w:val="20"/>
                <w:szCs w:val="20"/>
                <w:color w:val="231F20"/>
              </w:rPr>
              <w:t>230.6</w:t>
            </w:r>
          </w:p>
        </w:tc>
        <w:tc>
          <w:tcPr>
            <w:tcW w:w="980" w:type="dxa"/>
            <w:vAlign w:val="bottom"/>
            <w:tcBorders>
              <w:bottom w:val="single" w:sz="8" w:color="231F20"/>
            </w:tcBorders>
          </w:tcPr>
          <w:p>
            <w:pPr>
              <w:jc w:val="right"/>
              <w:ind w:right="99"/>
              <w:spacing w:after="0"/>
              <w:rPr>
                <w:sz w:val="20"/>
                <w:szCs w:val="20"/>
                <w:color w:val="auto"/>
              </w:rPr>
            </w:pPr>
            <w:r>
              <w:rPr>
                <w:rFonts w:ascii="Arial" w:cs="Arial" w:eastAsia="Arial" w:hAnsi="Arial"/>
                <w:sz w:val="20"/>
                <w:szCs w:val="20"/>
                <w:color w:val="231F20"/>
              </w:rPr>
              <w:t>5</w:t>
            </w:r>
          </w:p>
        </w:tc>
      </w:tr>
      <w:tr>
        <w:trPr>
          <w:trHeight w:val="248"/>
        </w:trPr>
        <w:tc>
          <w:tcPr>
            <w:tcW w:w="45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Total</w:t>
            </w:r>
            <w:r>
              <w:rPr>
                <w:rFonts w:ascii="Times New Roman" w:cs="Times New Roman" w:eastAsia="Times New Roman" w:hAnsi="Times New Roman"/>
                <w:sz w:val="20"/>
                <w:szCs w:val="20"/>
                <w:color w:val="231F20"/>
              </w:rPr>
              <w:t>.........................................................................</w:t>
            </w:r>
          </w:p>
        </w:tc>
        <w:tc>
          <w:tcPr>
            <w:tcW w:w="560" w:type="dxa"/>
            <w:vAlign w:val="bottom"/>
            <w:tcBorders>
              <w:bottom w:val="single" w:sz="8" w:color="231F20"/>
            </w:tcBorders>
          </w:tcPr>
          <w:p>
            <w:pPr>
              <w:jc w:val="right"/>
              <w:ind w:right="259"/>
              <w:spacing w:after="0" w:line="223" w:lineRule="exact"/>
              <w:rPr>
                <w:sz w:val="20"/>
                <w:szCs w:val="20"/>
                <w:color w:val="auto"/>
              </w:rPr>
            </w:pPr>
            <w:r>
              <w:rPr>
                <w:rFonts w:ascii="Arial" w:cs="Arial" w:eastAsia="Arial" w:hAnsi="Arial"/>
                <w:sz w:val="20"/>
                <w:szCs w:val="20"/>
                <w:color w:val="231F20"/>
              </w:rPr>
              <w:t>$</w:t>
            </w:r>
          </w:p>
        </w:tc>
        <w:tc>
          <w:tcPr>
            <w:tcW w:w="1480" w:type="dxa"/>
            <w:vAlign w:val="bottom"/>
            <w:tcBorders>
              <w:bottom w:val="single" w:sz="8" w:color="231F20"/>
            </w:tcBorders>
          </w:tcPr>
          <w:p>
            <w:pPr>
              <w:jc w:val="right"/>
              <w:ind w:right="359"/>
              <w:spacing w:after="0" w:line="223" w:lineRule="exact"/>
              <w:rPr>
                <w:sz w:val="20"/>
                <w:szCs w:val="20"/>
                <w:color w:val="auto"/>
              </w:rPr>
            </w:pPr>
            <w:r>
              <w:rPr>
                <w:rFonts w:ascii="Arial" w:cs="Arial" w:eastAsia="Arial" w:hAnsi="Arial"/>
                <w:sz w:val="20"/>
                <w:szCs w:val="20"/>
                <w:color w:val="231F20"/>
              </w:rPr>
              <w:t>4,626.2</w:t>
            </w:r>
          </w:p>
        </w:tc>
        <w:tc>
          <w:tcPr>
            <w:tcW w:w="9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100%</w:t>
            </w:r>
          </w:p>
        </w:tc>
      </w:tr>
    </w:tbl>
    <w:p>
      <w:pPr>
        <w:spacing w:after="0" w:line="190" w:lineRule="exact"/>
        <w:rPr>
          <w:sz w:val="20"/>
          <w:szCs w:val="20"/>
          <w:color w:val="auto"/>
        </w:rPr>
      </w:pPr>
    </w:p>
    <w:p>
      <w:pPr>
        <w:spacing w:after="0" w:line="249" w:lineRule="auto"/>
        <w:rPr>
          <w:sz w:val="20"/>
          <w:szCs w:val="20"/>
          <w:color w:val="auto"/>
        </w:rPr>
      </w:pPr>
      <w:r>
        <w:rPr>
          <w:rFonts w:ascii="Arial" w:cs="Arial" w:eastAsia="Arial" w:hAnsi="Arial"/>
          <w:sz w:val="20"/>
          <w:szCs w:val="20"/>
          <w:color w:val="231F20"/>
        </w:rPr>
        <w:t>We believe that the Company has certain competitive advantages including market-leading brands, a diversified mix of channels, lean and flexible supply chains and a strong capital structure, as well as a tradition of strong innovation and customer service. We are focused on outperforming our markets in growth, profitability and returns in order to drive increased stockholder value. We believe the Company’s track record reflects the long-term attractiveness and potential of the categories we serve and our leading brands. The long-term outlook for our products remains favorable, and our strategic advantages, including the set of capabilities we refer to as the Fortune Brands Advantage, has helped us to continue to achieve profitable organic growth over time.</w:t>
      </w:r>
    </w:p>
    <w:p>
      <w:pPr>
        <w:spacing w:after="0" w:line="134"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231F20"/>
        </w:rPr>
        <w:t>We continue to believe our most attractive opportunities are to invest in profitable organic growth initiatives, pursue accretive strategic acquisitions, non-controlling equity investments, and joint ventures, and return cash to stockholders through a combination of dividends and repurchases of shares of our common stock under our share repurchase program as explained in further detail under “Liquidity and Capital Resources” below.</w:t>
      </w:r>
    </w:p>
    <w:p>
      <w:pPr>
        <w:spacing w:after="0" w:line="179"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231F20"/>
        </w:rPr>
        <w:t>The U.S. market for our products primarily consists of spending on both new home construction and repair and remodel activities within existing homes, with a substantial majority of the markets we serve consisting of repair and remodel spending. Continued growth in the U.S. market for our home products will largely depend on consumer confidence, employment, wage growth, home prices, stable mortgage rates and credit availability. Increases in inflation and mortgage rates during the preceding years have slowed the pace of single-family and existing home sales activity and new home construction and repair and remodel activities. However, we believe we are well positioned to manage what we expect to be a short-term slow-down in the housing market as we believe the fundamental drivers of the housing market remain intact.</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231F20"/>
        </w:rPr>
        <w:t>We have been and may continue to be impacted by near-term supply, labor and freight constraints, a volatile global supply chain environment, as well as sustained increased rates of inflation, increased interest rates, unfavorable fluctuations in foreign exchange rates and the ongoing costs of tariffs. We continue to manage these challenges and are diligently working to offset potential unfavorable impacts of these items through continuous productivity improvement initiatives and price increases.</w:t>
      </w:r>
    </w:p>
    <w:p>
      <w:pPr>
        <w:spacing w:after="0" w:line="179" w:lineRule="exact"/>
        <w:rPr>
          <w:sz w:val="20"/>
          <w:szCs w:val="20"/>
          <w:color w:val="auto"/>
        </w:rPr>
      </w:pPr>
    </w:p>
    <w:p>
      <w:pPr>
        <w:spacing w:after="0" w:line="251" w:lineRule="auto"/>
        <w:rPr>
          <w:sz w:val="20"/>
          <w:szCs w:val="20"/>
          <w:color w:val="auto"/>
        </w:rPr>
      </w:pPr>
      <w:r>
        <w:rPr>
          <w:rFonts w:ascii="Arial" w:cs="Arial" w:eastAsia="Arial" w:hAnsi="Arial"/>
          <w:sz w:val="20"/>
          <w:szCs w:val="20"/>
          <w:color w:val="231F20"/>
        </w:rPr>
        <w:t>During the three fiscal years ended December 30, 2023, our net sales grew at a compounded annual rate of 8.5% as we benefited from a growing U.S. home products market, acquisitions and growth in international markets. Operating income grew at a compounded annual rate of 2.7% with consolidated operating margins ranging between 13% and 17% from 2021 to 2023. Growth in operating income over this period was primarily due to higher sales volume, changes to our portfolio of businesses, control over our operating expenses and the benefits of manufacturing productivity programs.</w:t>
      </w:r>
    </w:p>
    <w:p>
      <w:pPr>
        <w:sectPr>
          <w:pgSz w:w="12240" w:h="15840" w:orient="portrait"/>
          <w:cols w:equalWidth="0" w:num="1">
            <w:col w:w="9420"/>
          </w:cols>
          <w:pgMar w:left="1380" w:top="1342" w:right="144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24</w:t>
      </w:r>
    </w:p>
    <w:p>
      <w:pPr>
        <w:sectPr>
          <w:pgSz w:w="12240" w:h="15840" w:orient="portrait"/>
          <w:cols w:equalWidth="0" w:num="1">
            <w:col w:w="9420"/>
          </w:cols>
          <w:pgMar w:left="1380" w:top="1342" w:right="1440" w:bottom="95" w:gutter="0" w:footer="0" w:header="0"/>
          <w:type w:val="continuous"/>
        </w:sectPr>
      </w:pPr>
    </w:p>
    <w:bookmarkStart w:id="32" w:name="page33"/>
    <w:bookmarkEnd w:id="32"/>
    <w:p>
      <w:pPr>
        <w:spacing w:after="0" w:line="245" w:lineRule="auto"/>
        <w:rPr>
          <w:sz w:val="20"/>
          <w:szCs w:val="20"/>
          <w:color w:val="auto"/>
        </w:rPr>
      </w:pPr>
      <w:r>
        <w:rPr>
          <w:rFonts w:ascii="Arial" w:cs="Arial" w:eastAsia="Arial" w:hAnsi="Arial"/>
          <w:sz w:val="20"/>
          <w:szCs w:val="20"/>
          <w:color w:val="231F20"/>
        </w:rPr>
        <w:t>During 2023, the U.S. home products market contracted due to decreases in repair and remodel and new home construction activity. We believe spending for home repair and remodeling decreased approximately 5% and new housing construction declined by approximately 4% in 2023 compared to 2022. In 2023, the Company's net sales declined 2.0% due to lower sales unit volume in the U.S. and lower sales in our international markets ($41.2 million) as well as unfavorable foreign exchange of approximately $24 million. These factors were partially offset by the benefit from the acquisitions of the ASSA Businesses in June 2023 and Aqualisa in July 2022 (approximately $247 million combined sales benefit in 2023) and favorable channel mix. In 2023, operating income decreased 20.6% over 2022 primarily due to lower sales unit volume in the U.S., lower international sales ($41.2 million decrease), manufacturing inefficiencies related to lower sales unit volume, amortization of the inventory fair-value adjustment related to the acquisition of the ASSA Businesses ($12.4 million), higher restructuring and other costs associated with the planned closure of a manufacturing facility in our Security segment, higher headcount-related costs, as well as unfavorable foreign exchange of approximately $7.9 million. These factors were partially offset by the benefit from the acquisition of the ASSA Businesses, productivity improvements, savings associated with our 2022 corporate reorganization and restructuring activities and lower advertising and marketing costs.</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Basis of Presentation</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231F20"/>
        </w:rPr>
        <w:t>The consolidated financial statements in this Annual Report on Form 10-K have been derived from the accounts of the Company and its wholly-owned subsidiaries. Effective January 1, 2023, the Company changed its fiscal year end from December 31 to a 52- or 53-week fiscal year closing on the Saturday closest but not subsequent to December 31 of each year. The following discussion contains references to years 2023, 2022 and 2021, which represent fiscal years ended December 30, 2023, December 31, 2022 and December 31, 2021.</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23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231F20"/>
        </w:rPr>
        <w:t>The discussion of consolidated results of operations should be read in conjunction with the discussion of segment results of operations and our financial statements and notes thereto included in this Annual Report on Form 10-K. As a result of the Separation, our former Cabinets segment was disposed of, and the operating results of the Cabinets business are reported as discontinued operations for all periods presented unless otherwise noted. All amounts, percentages and disclosures for all periods presented reflect only the continuing operations of the Company unless otherwise noted. See Note 5, "Discontinued Operations", in the consolidated financial statements in Item 8 for additional information.</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800" w:type="dxa"/>
            <w:vAlign w:val="bottom"/>
            <w:tcBorders>
              <w:top w:val="single" w:sz="8" w:color="231F20"/>
              <w:bottom w:val="single" w:sz="8" w:color="231F20"/>
            </w:tcBorders>
          </w:tcPr>
          <w:p>
            <w:pPr>
              <w:spacing w:after="0" w:line="184"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440" w:type="dxa"/>
            <w:vAlign w:val="bottom"/>
            <w:tcBorders>
              <w:top w:val="single" w:sz="8" w:color="231F20"/>
              <w:bottom w:val="single" w:sz="8" w:color="231F20"/>
            </w:tcBorders>
          </w:tcPr>
          <w:p>
            <w:pPr>
              <w:spacing w:after="0"/>
              <w:rPr>
                <w:sz w:val="16"/>
                <w:szCs w:val="16"/>
                <w:color w:val="auto"/>
              </w:rPr>
            </w:pPr>
          </w:p>
        </w:tc>
        <w:tc>
          <w:tcPr>
            <w:tcW w:w="1100" w:type="dxa"/>
            <w:vAlign w:val="bottom"/>
            <w:tcBorders>
              <w:top w:val="single" w:sz="8" w:color="231F20"/>
              <w:bottom w:val="single" w:sz="8" w:color="231F20"/>
            </w:tcBorders>
          </w:tcPr>
          <w:p>
            <w:pPr>
              <w:jc w:val="right"/>
              <w:ind w:right="121"/>
              <w:spacing w:after="0"/>
              <w:rPr>
                <w:sz w:val="20"/>
                <w:szCs w:val="20"/>
                <w:color w:val="auto"/>
              </w:rPr>
            </w:pPr>
            <w:r>
              <w:rPr>
                <w:rFonts w:ascii="Arial" w:cs="Arial" w:eastAsia="Arial" w:hAnsi="Arial"/>
                <w:sz w:val="15"/>
                <w:szCs w:val="15"/>
                <w:i w:val="1"/>
                <w:iCs w:val="1"/>
                <w:color w:val="231F20"/>
              </w:rPr>
              <w:t>2023</w:t>
            </w:r>
          </w:p>
        </w:tc>
        <w:tc>
          <w:tcPr>
            <w:tcW w:w="1220" w:type="dxa"/>
            <w:vAlign w:val="bottom"/>
            <w:tcBorders>
              <w:top w:val="single" w:sz="8" w:color="231F20"/>
              <w:bottom w:val="single" w:sz="8" w:color="231F20"/>
              <w:right w:val="single" w:sz="8" w:color="231F20"/>
            </w:tcBorders>
          </w:tcPr>
          <w:p>
            <w:pPr>
              <w:jc w:val="right"/>
              <w:ind w:right="301"/>
              <w:spacing w:after="0"/>
              <w:rPr>
                <w:sz w:val="20"/>
                <w:szCs w:val="20"/>
                <w:color w:val="auto"/>
              </w:rPr>
            </w:pPr>
            <w:r>
              <w:rPr>
                <w:rFonts w:ascii="Arial" w:cs="Arial" w:eastAsia="Arial" w:hAnsi="Arial"/>
                <w:sz w:val="15"/>
                <w:szCs w:val="15"/>
                <w:i w:val="1"/>
                <w:iCs w:val="1"/>
                <w:color w:val="231F20"/>
              </w:rPr>
              <w:t>% change</w:t>
            </w:r>
          </w:p>
        </w:tc>
        <w:tc>
          <w:tcPr>
            <w:tcW w:w="280" w:type="dxa"/>
            <w:vAlign w:val="bottom"/>
            <w:tcBorders>
              <w:top w:val="single" w:sz="8" w:color="231F20"/>
              <w:bottom w:val="single" w:sz="8" w:color="231F20"/>
            </w:tcBorders>
          </w:tcPr>
          <w:p>
            <w:pPr>
              <w:spacing w:after="0"/>
              <w:rPr>
                <w:sz w:val="16"/>
                <w:szCs w:val="16"/>
                <w:color w:val="auto"/>
              </w:rPr>
            </w:pPr>
          </w:p>
        </w:tc>
        <w:tc>
          <w:tcPr>
            <w:tcW w:w="1100" w:type="dxa"/>
            <w:vAlign w:val="bottom"/>
            <w:tcBorders>
              <w:top w:val="single" w:sz="8" w:color="231F20"/>
              <w:bottom w:val="single" w:sz="8" w:color="231F20"/>
            </w:tcBorders>
          </w:tcPr>
          <w:p>
            <w:pPr>
              <w:jc w:val="right"/>
              <w:ind w:right="161"/>
              <w:spacing w:after="0"/>
              <w:rPr>
                <w:sz w:val="20"/>
                <w:szCs w:val="20"/>
                <w:color w:val="auto"/>
              </w:rPr>
            </w:pPr>
            <w:r>
              <w:rPr>
                <w:rFonts w:ascii="Arial" w:cs="Arial" w:eastAsia="Arial" w:hAnsi="Arial"/>
                <w:sz w:val="15"/>
                <w:szCs w:val="15"/>
                <w:color w:val="231F20"/>
              </w:rPr>
              <w:t>2022</w:t>
            </w:r>
          </w:p>
        </w:tc>
        <w:tc>
          <w:tcPr>
            <w:tcW w:w="1260" w:type="dxa"/>
            <w:vAlign w:val="bottom"/>
            <w:tcBorders>
              <w:top w:val="single" w:sz="8" w:color="231F20"/>
              <w:bottom w:val="single" w:sz="8" w:color="231F20"/>
              <w:right w:val="single" w:sz="8" w:color="231F20"/>
            </w:tcBorders>
          </w:tcPr>
          <w:p>
            <w:pPr>
              <w:jc w:val="right"/>
              <w:ind w:right="281"/>
              <w:spacing w:after="0"/>
              <w:rPr>
                <w:sz w:val="20"/>
                <w:szCs w:val="20"/>
                <w:color w:val="auto"/>
              </w:rPr>
            </w:pPr>
            <w:r>
              <w:rPr>
                <w:rFonts w:ascii="Arial" w:cs="Arial" w:eastAsia="Arial" w:hAnsi="Arial"/>
                <w:sz w:val="15"/>
                <w:szCs w:val="15"/>
                <w:i w:val="1"/>
                <w:iCs w:val="1"/>
                <w:color w:val="231F20"/>
              </w:rPr>
              <w:t>% change</w:t>
            </w:r>
          </w:p>
        </w:tc>
        <w:tc>
          <w:tcPr>
            <w:tcW w:w="280" w:type="dxa"/>
            <w:vAlign w:val="bottom"/>
            <w:tcBorders>
              <w:top w:val="single" w:sz="8" w:color="231F20"/>
              <w:bottom w:val="single" w:sz="8" w:color="231F20"/>
            </w:tcBorders>
          </w:tcPr>
          <w:p>
            <w:pPr>
              <w:spacing w:after="0"/>
              <w:rPr>
                <w:sz w:val="16"/>
                <w:szCs w:val="16"/>
                <w:color w:val="auto"/>
              </w:rPr>
            </w:pPr>
          </w:p>
        </w:tc>
        <w:tc>
          <w:tcPr>
            <w:tcW w:w="960" w:type="dxa"/>
            <w:vAlign w:val="bottom"/>
            <w:tcBorders>
              <w:top w:val="single" w:sz="8" w:color="231F20"/>
              <w:bottom w:val="single" w:sz="8" w:color="231F20"/>
            </w:tcBorders>
          </w:tcPr>
          <w:p>
            <w:pPr>
              <w:jc w:val="right"/>
              <w:ind w:right="1"/>
              <w:spacing w:after="0"/>
              <w:rPr>
                <w:sz w:val="20"/>
                <w:szCs w:val="20"/>
                <w:color w:val="auto"/>
              </w:rPr>
            </w:pPr>
            <w:r>
              <w:rPr>
                <w:rFonts w:ascii="Arial" w:cs="Arial" w:eastAsia="Arial" w:hAnsi="Arial"/>
                <w:sz w:val="15"/>
                <w:szCs w:val="15"/>
                <w:color w:val="231F20"/>
              </w:rPr>
              <w:t>2021</w:t>
            </w:r>
          </w:p>
        </w:tc>
      </w:tr>
      <w:tr>
        <w:trPr>
          <w:trHeight w:val="202"/>
        </w:trPr>
        <w:tc>
          <w:tcPr>
            <w:tcW w:w="2800" w:type="dxa"/>
            <w:vAlign w:val="bottom"/>
          </w:tcPr>
          <w:p>
            <w:pPr>
              <w:spacing w:after="0" w:line="203" w:lineRule="exact"/>
              <w:rPr>
                <w:sz w:val="20"/>
                <w:szCs w:val="20"/>
                <w:color w:val="auto"/>
              </w:rPr>
            </w:pPr>
            <w:r>
              <w:rPr>
                <w:rFonts w:ascii="Arial" w:cs="Arial" w:eastAsia="Arial" w:hAnsi="Arial"/>
                <w:sz w:val="20"/>
                <w:szCs w:val="20"/>
                <w:b w:val="1"/>
                <w:bCs w:val="1"/>
                <w:color w:val="231F20"/>
              </w:rPr>
              <w:t>Net sales:</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Borders>
              <w:right w:val="single" w:sz="8" w:color="231F20"/>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Borders>
              <w:right w:val="single" w:sz="8" w:color="231F20"/>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3"/>
        </w:trPr>
        <w:tc>
          <w:tcPr>
            <w:tcW w:w="2800" w:type="dxa"/>
            <w:vAlign w:val="bottom"/>
          </w:tcPr>
          <w:p>
            <w:pPr>
              <w:spacing w:after="0"/>
              <w:rPr>
                <w:sz w:val="20"/>
                <w:szCs w:val="20"/>
                <w:color w:val="auto"/>
              </w:rPr>
            </w:pPr>
            <w:r>
              <w:rPr>
                <w:rFonts w:ascii="Arial" w:cs="Arial" w:eastAsia="Arial" w:hAnsi="Arial"/>
                <w:sz w:val="20"/>
                <w:szCs w:val="20"/>
                <w:color w:val="231F20"/>
              </w:rPr>
              <w:t xml:space="preserve">Water </w:t>
            </w:r>
            <w:r>
              <w:rPr>
                <w:rFonts w:ascii="Times New Roman" w:cs="Times New Roman" w:eastAsia="Times New Roman" w:hAnsi="Times New Roman"/>
                <w:sz w:val="20"/>
                <w:szCs w:val="20"/>
                <w:color w:val="231F20"/>
              </w:rPr>
              <w:t>..........................................</w:t>
            </w:r>
          </w:p>
        </w:tc>
        <w:tc>
          <w:tcPr>
            <w:tcW w:w="440" w:type="dxa"/>
            <w:vAlign w:val="bottom"/>
          </w:tcPr>
          <w:p>
            <w:pPr>
              <w:jc w:val="right"/>
              <w:ind w:right="119"/>
              <w:spacing w:after="0"/>
              <w:rPr>
                <w:sz w:val="20"/>
                <w:szCs w:val="20"/>
                <w:color w:val="auto"/>
              </w:rPr>
            </w:pPr>
            <w:r>
              <w:rPr>
                <w:rFonts w:ascii="Arial" w:cs="Arial" w:eastAsia="Arial" w:hAnsi="Arial"/>
                <w:sz w:val="20"/>
                <w:szCs w:val="20"/>
                <w:color w:val="231F20"/>
              </w:rPr>
              <w:t>$</w:t>
            </w:r>
          </w:p>
        </w:tc>
        <w:tc>
          <w:tcPr>
            <w:tcW w:w="1100" w:type="dxa"/>
            <w:vAlign w:val="bottom"/>
          </w:tcPr>
          <w:p>
            <w:pPr>
              <w:jc w:val="right"/>
              <w:ind w:right="121"/>
              <w:spacing w:after="0"/>
              <w:rPr>
                <w:sz w:val="20"/>
                <w:szCs w:val="20"/>
                <w:color w:val="auto"/>
              </w:rPr>
            </w:pPr>
            <w:r>
              <w:rPr>
                <w:rFonts w:ascii="Arial" w:cs="Arial" w:eastAsia="Arial" w:hAnsi="Arial"/>
                <w:sz w:val="20"/>
                <w:szCs w:val="20"/>
                <w:color w:val="231F20"/>
              </w:rPr>
              <w:t>2,562.2</w:t>
            </w:r>
          </w:p>
        </w:tc>
        <w:tc>
          <w:tcPr>
            <w:tcW w:w="1220" w:type="dxa"/>
            <w:vAlign w:val="bottom"/>
            <w:tcBorders>
              <w:right w:val="single" w:sz="8" w:color="231F20"/>
            </w:tcBorders>
          </w:tcPr>
          <w:p>
            <w:pPr>
              <w:jc w:val="right"/>
              <w:ind w:right="41"/>
              <w:spacing w:after="0"/>
              <w:rPr>
                <w:sz w:val="20"/>
                <w:szCs w:val="20"/>
                <w:color w:val="auto"/>
              </w:rPr>
            </w:pPr>
            <w:r>
              <w:rPr>
                <w:rFonts w:ascii="Arial" w:cs="Arial" w:eastAsia="Arial" w:hAnsi="Arial"/>
                <w:sz w:val="20"/>
                <w:szCs w:val="20"/>
                <w:color w:val="231F20"/>
              </w:rPr>
              <w:t>(0.3)%</w:t>
            </w:r>
          </w:p>
        </w:tc>
        <w:tc>
          <w:tcPr>
            <w:tcW w:w="280" w:type="dxa"/>
            <w:vAlign w:val="bottom"/>
          </w:tcPr>
          <w:p>
            <w:pPr>
              <w:jc w:val="right"/>
              <w:ind w:right="79"/>
              <w:spacing w:after="0"/>
              <w:rPr>
                <w:sz w:val="20"/>
                <w:szCs w:val="20"/>
                <w:color w:val="auto"/>
              </w:rPr>
            </w:pPr>
            <w:r>
              <w:rPr>
                <w:rFonts w:ascii="Arial" w:cs="Arial" w:eastAsia="Arial" w:hAnsi="Arial"/>
                <w:sz w:val="20"/>
                <w:szCs w:val="20"/>
                <w:color w:val="231F20"/>
                <w:w w:val="71"/>
              </w:rPr>
              <w:t>$</w:t>
            </w:r>
          </w:p>
        </w:tc>
        <w:tc>
          <w:tcPr>
            <w:tcW w:w="1100" w:type="dxa"/>
            <w:vAlign w:val="bottom"/>
          </w:tcPr>
          <w:p>
            <w:pPr>
              <w:jc w:val="right"/>
              <w:ind w:right="161"/>
              <w:spacing w:after="0"/>
              <w:rPr>
                <w:sz w:val="20"/>
                <w:szCs w:val="20"/>
                <w:color w:val="auto"/>
              </w:rPr>
            </w:pPr>
            <w:r>
              <w:rPr>
                <w:rFonts w:ascii="Arial" w:cs="Arial" w:eastAsia="Arial" w:hAnsi="Arial"/>
                <w:sz w:val="20"/>
                <w:szCs w:val="20"/>
                <w:color w:val="231F20"/>
              </w:rPr>
              <w:t>2,570.2</w:t>
            </w:r>
          </w:p>
        </w:tc>
        <w:tc>
          <w:tcPr>
            <w:tcW w:w="1260" w:type="dxa"/>
            <w:vAlign w:val="bottom"/>
            <w:tcBorders>
              <w:right w:val="single" w:sz="8" w:color="231F20"/>
            </w:tcBorders>
          </w:tcPr>
          <w:p>
            <w:pPr>
              <w:jc w:val="right"/>
              <w:ind w:right="41"/>
              <w:spacing w:after="0"/>
              <w:rPr>
                <w:sz w:val="20"/>
                <w:szCs w:val="20"/>
                <w:color w:val="auto"/>
              </w:rPr>
            </w:pPr>
            <w:r>
              <w:rPr>
                <w:rFonts w:ascii="Arial" w:cs="Arial" w:eastAsia="Arial" w:hAnsi="Arial"/>
                <w:sz w:val="20"/>
                <w:szCs w:val="20"/>
                <w:color w:val="231F20"/>
              </w:rPr>
              <w:t>(6.9)%</w:t>
            </w:r>
          </w:p>
        </w:tc>
        <w:tc>
          <w:tcPr>
            <w:tcW w:w="280" w:type="dxa"/>
            <w:vAlign w:val="bottom"/>
          </w:tcPr>
          <w:p>
            <w:pPr>
              <w:jc w:val="right"/>
              <w:ind w:right="79"/>
              <w:spacing w:after="0"/>
              <w:rPr>
                <w:sz w:val="20"/>
                <w:szCs w:val="20"/>
                <w:color w:val="auto"/>
              </w:rPr>
            </w:pPr>
            <w:r>
              <w:rPr>
                <w:rFonts w:ascii="Arial" w:cs="Arial" w:eastAsia="Arial" w:hAnsi="Arial"/>
                <w:sz w:val="20"/>
                <w:szCs w:val="20"/>
                <w:color w:val="231F20"/>
                <w:w w:val="71"/>
              </w:rPr>
              <w:t>$</w:t>
            </w:r>
          </w:p>
        </w:tc>
        <w:tc>
          <w:tcPr>
            <w:tcW w:w="960" w:type="dxa"/>
            <w:vAlign w:val="bottom"/>
          </w:tcPr>
          <w:p>
            <w:pPr>
              <w:jc w:val="right"/>
              <w:ind w:right="1"/>
              <w:spacing w:after="0"/>
              <w:rPr>
                <w:sz w:val="20"/>
                <w:szCs w:val="20"/>
                <w:color w:val="auto"/>
              </w:rPr>
            </w:pPr>
            <w:r>
              <w:rPr>
                <w:rFonts w:ascii="Arial" w:cs="Arial" w:eastAsia="Arial" w:hAnsi="Arial"/>
                <w:sz w:val="20"/>
                <w:szCs w:val="20"/>
                <w:color w:val="231F20"/>
              </w:rPr>
              <w:t>2,761.2</w:t>
            </w:r>
          </w:p>
        </w:tc>
      </w:tr>
      <w:tr>
        <w:trPr>
          <w:trHeight w:val="233"/>
        </w:trPr>
        <w:tc>
          <w:tcPr>
            <w:tcW w:w="2800" w:type="dxa"/>
            <w:vAlign w:val="bottom"/>
          </w:tcPr>
          <w:p>
            <w:pPr>
              <w:spacing w:after="0"/>
              <w:rPr>
                <w:sz w:val="20"/>
                <w:szCs w:val="20"/>
                <w:color w:val="auto"/>
              </w:rPr>
            </w:pPr>
            <w:r>
              <w:rPr>
                <w:rFonts w:ascii="Arial" w:cs="Arial" w:eastAsia="Arial" w:hAnsi="Arial"/>
                <w:sz w:val="20"/>
                <w:szCs w:val="20"/>
                <w:color w:val="231F20"/>
              </w:rPr>
              <w:t>Outdoors</w:t>
            </w:r>
            <w:r>
              <w:rPr>
                <w:rFonts w:ascii="Times New Roman" w:cs="Times New Roman" w:eastAsia="Times New Roman" w:hAnsi="Times New Roman"/>
                <w:sz w:val="20"/>
                <w:szCs w:val="20"/>
                <w:color w:val="231F20"/>
              </w:rPr>
              <w:t>.....................................</w:t>
            </w:r>
          </w:p>
        </w:tc>
        <w:tc>
          <w:tcPr>
            <w:tcW w:w="440" w:type="dxa"/>
            <w:vAlign w:val="bottom"/>
          </w:tcPr>
          <w:p>
            <w:pPr>
              <w:spacing w:after="0"/>
              <w:rPr>
                <w:sz w:val="20"/>
                <w:szCs w:val="20"/>
                <w:color w:val="auto"/>
              </w:rPr>
            </w:pPr>
          </w:p>
        </w:tc>
        <w:tc>
          <w:tcPr>
            <w:tcW w:w="1100" w:type="dxa"/>
            <w:vAlign w:val="bottom"/>
          </w:tcPr>
          <w:p>
            <w:pPr>
              <w:jc w:val="right"/>
              <w:ind w:right="121"/>
              <w:spacing w:after="0"/>
              <w:rPr>
                <w:sz w:val="20"/>
                <w:szCs w:val="20"/>
                <w:color w:val="auto"/>
              </w:rPr>
            </w:pPr>
            <w:r>
              <w:rPr>
                <w:rFonts w:ascii="Arial" w:cs="Arial" w:eastAsia="Arial" w:hAnsi="Arial"/>
                <w:sz w:val="20"/>
                <w:szCs w:val="20"/>
                <w:color w:val="231F20"/>
              </w:rPr>
              <w:t>1,341.1</w:t>
            </w:r>
          </w:p>
        </w:tc>
        <w:tc>
          <w:tcPr>
            <w:tcW w:w="1220" w:type="dxa"/>
            <w:vAlign w:val="bottom"/>
            <w:tcBorders>
              <w:right w:val="single" w:sz="8" w:color="231F20"/>
            </w:tcBorders>
          </w:tcPr>
          <w:p>
            <w:pPr>
              <w:jc w:val="right"/>
              <w:ind w:right="221"/>
              <w:spacing w:after="0"/>
              <w:rPr>
                <w:sz w:val="20"/>
                <w:szCs w:val="20"/>
                <w:color w:val="auto"/>
              </w:rPr>
            </w:pPr>
            <w:r>
              <w:rPr>
                <w:rFonts w:ascii="Arial" w:cs="Arial" w:eastAsia="Arial" w:hAnsi="Arial"/>
                <w:sz w:val="20"/>
                <w:szCs w:val="20"/>
                <w:color w:val="231F20"/>
              </w:rPr>
              <w:t>(11.6)</w:t>
            </w:r>
          </w:p>
        </w:tc>
        <w:tc>
          <w:tcPr>
            <w:tcW w:w="280" w:type="dxa"/>
            <w:vAlign w:val="bottom"/>
          </w:tcPr>
          <w:p>
            <w:pPr>
              <w:spacing w:after="0"/>
              <w:rPr>
                <w:sz w:val="20"/>
                <w:szCs w:val="20"/>
                <w:color w:val="auto"/>
              </w:rPr>
            </w:pPr>
          </w:p>
        </w:tc>
        <w:tc>
          <w:tcPr>
            <w:tcW w:w="1100" w:type="dxa"/>
            <w:vAlign w:val="bottom"/>
          </w:tcPr>
          <w:p>
            <w:pPr>
              <w:jc w:val="right"/>
              <w:ind w:right="161"/>
              <w:spacing w:after="0"/>
              <w:rPr>
                <w:sz w:val="20"/>
                <w:szCs w:val="20"/>
                <w:color w:val="auto"/>
              </w:rPr>
            </w:pPr>
            <w:r>
              <w:rPr>
                <w:rFonts w:ascii="Arial" w:cs="Arial" w:eastAsia="Arial" w:hAnsi="Arial"/>
                <w:sz w:val="20"/>
                <w:szCs w:val="20"/>
                <w:color w:val="231F20"/>
              </w:rPr>
              <w:t>1,517.4</w:t>
            </w:r>
          </w:p>
        </w:tc>
        <w:tc>
          <w:tcPr>
            <w:tcW w:w="1260" w:type="dxa"/>
            <w:vAlign w:val="bottom"/>
            <w:tcBorders>
              <w:right w:val="single" w:sz="8" w:color="231F20"/>
            </w:tcBorders>
          </w:tcPr>
          <w:p>
            <w:pPr>
              <w:jc w:val="right"/>
              <w:ind w:right="301"/>
              <w:spacing w:after="0"/>
              <w:rPr>
                <w:sz w:val="20"/>
                <w:szCs w:val="20"/>
                <w:color w:val="auto"/>
              </w:rPr>
            </w:pPr>
            <w:r>
              <w:rPr>
                <w:rFonts w:ascii="Arial" w:cs="Arial" w:eastAsia="Arial" w:hAnsi="Arial"/>
                <w:sz w:val="20"/>
                <w:szCs w:val="20"/>
                <w:color w:val="231F20"/>
              </w:rPr>
              <w:t>7.1</w:t>
            </w:r>
          </w:p>
        </w:tc>
        <w:tc>
          <w:tcPr>
            <w:tcW w:w="2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231F20"/>
              </w:rPr>
              <w:t>1,416.5</w:t>
            </w:r>
          </w:p>
        </w:tc>
      </w:tr>
      <w:tr>
        <w:trPr>
          <w:trHeight w:val="253"/>
        </w:trPr>
        <w:tc>
          <w:tcPr>
            <w:tcW w:w="280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rPr>
              <w:t>Security</w:t>
            </w:r>
            <w:r>
              <w:rPr>
                <w:rFonts w:ascii="Times New Roman" w:cs="Times New Roman" w:eastAsia="Times New Roman" w:hAnsi="Times New Roman"/>
                <w:sz w:val="20"/>
                <w:szCs w:val="20"/>
                <w:color w:val="231F20"/>
              </w:rPr>
              <w:t>.......................................</w:t>
            </w:r>
          </w:p>
        </w:tc>
        <w:tc>
          <w:tcPr>
            <w:tcW w:w="44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121"/>
              <w:spacing w:after="0"/>
              <w:rPr>
                <w:sz w:val="20"/>
                <w:szCs w:val="20"/>
                <w:color w:val="auto"/>
              </w:rPr>
            </w:pPr>
            <w:r>
              <w:rPr>
                <w:rFonts w:ascii="Arial" w:cs="Arial" w:eastAsia="Arial" w:hAnsi="Arial"/>
                <w:sz w:val="20"/>
                <w:szCs w:val="20"/>
                <w:color w:val="231F20"/>
              </w:rPr>
              <w:t>722.9</w:t>
            </w:r>
          </w:p>
        </w:tc>
        <w:tc>
          <w:tcPr>
            <w:tcW w:w="1220" w:type="dxa"/>
            <w:vAlign w:val="bottom"/>
            <w:tcBorders>
              <w:bottom w:val="single" w:sz="8" w:color="231F20"/>
              <w:right w:val="single" w:sz="8" w:color="231F20"/>
            </w:tcBorders>
          </w:tcPr>
          <w:p>
            <w:pPr>
              <w:jc w:val="right"/>
              <w:ind w:right="301"/>
              <w:spacing w:after="0"/>
              <w:rPr>
                <w:sz w:val="20"/>
                <w:szCs w:val="20"/>
                <w:color w:val="auto"/>
              </w:rPr>
            </w:pPr>
            <w:r>
              <w:rPr>
                <w:rFonts w:ascii="Arial" w:cs="Arial" w:eastAsia="Arial" w:hAnsi="Arial"/>
                <w:sz w:val="20"/>
                <w:szCs w:val="20"/>
                <w:color w:val="231F20"/>
              </w:rPr>
              <w:t>13.8</w:t>
            </w:r>
          </w:p>
        </w:tc>
        <w:tc>
          <w:tcPr>
            <w:tcW w:w="28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161"/>
              <w:spacing w:after="0"/>
              <w:rPr>
                <w:sz w:val="20"/>
                <w:szCs w:val="20"/>
                <w:color w:val="auto"/>
              </w:rPr>
            </w:pPr>
            <w:r>
              <w:rPr>
                <w:rFonts w:ascii="Arial" w:cs="Arial" w:eastAsia="Arial" w:hAnsi="Arial"/>
                <w:sz w:val="20"/>
                <w:szCs w:val="20"/>
                <w:color w:val="231F20"/>
              </w:rPr>
              <w:t>635.4</w:t>
            </w:r>
          </w:p>
        </w:tc>
        <w:tc>
          <w:tcPr>
            <w:tcW w:w="1260" w:type="dxa"/>
            <w:vAlign w:val="bottom"/>
            <w:tcBorders>
              <w:bottom w:val="single" w:sz="8" w:color="231F20"/>
              <w:right w:val="single" w:sz="8" w:color="231F20"/>
            </w:tcBorders>
          </w:tcPr>
          <w:p>
            <w:pPr>
              <w:jc w:val="right"/>
              <w:ind w:right="301"/>
              <w:spacing w:after="0"/>
              <w:rPr>
                <w:sz w:val="20"/>
                <w:szCs w:val="20"/>
                <w:color w:val="auto"/>
              </w:rPr>
            </w:pPr>
            <w:r>
              <w:rPr>
                <w:rFonts w:ascii="Arial" w:cs="Arial" w:eastAsia="Arial" w:hAnsi="Arial"/>
                <w:sz w:val="20"/>
                <w:szCs w:val="20"/>
                <w:color w:val="231F20"/>
              </w:rPr>
              <w:t>1.9</w:t>
            </w:r>
          </w:p>
        </w:tc>
        <w:tc>
          <w:tcPr>
            <w:tcW w:w="28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623.4</w:t>
            </w:r>
          </w:p>
        </w:tc>
      </w:tr>
      <w:tr>
        <w:trPr>
          <w:trHeight w:val="248"/>
        </w:trPr>
        <w:tc>
          <w:tcPr>
            <w:tcW w:w="2800" w:type="dxa"/>
            <w:vAlign w:val="bottom"/>
            <w:tcBorders>
              <w:bottom w:val="single" w:sz="8" w:color="231F20"/>
            </w:tcBorders>
          </w:tcPr>
          <w:p>
            <w:pPr>
              <w:ind w:left="280"/>
              <w:spacing w:after="0" w:line="223" w:lineRule="exact"/>
              <w:rPr>
                <w:sz w:val="20"/>
                <w:szCs w:val="20"/>
                <w:color w:val="auto"/>
              </w:rPr>
            </w:pPr>
            <w:r>
              <w:rPr>
                <w:rFonts w:ascii="Arial" w:cs="Arial" w:eastAsia="Arial" w:hAnsi="Arial"/>
                <w:sz w:val="20"/>
                <w:szCs w:val="20"/>
                <w:color w:val="231F20"/>
              </w:rPr>
              <w:t>Total net sales</w:t>
            </w:r>
            <w:r>
              <w:rPr>
                <w:rFonts w:ascii="Times New Roman" w:cs="Times New Roman" w:eastAsia="Times New Roman" w:hAnsi="Times New Roman"/>
                <w:sz w:val="20"/>
                <w:szCs w:val="20"/>
                <w:color w:val="231F20"/>
              </w:rPr>
              <w:t>......................</w:t>
            </w:r>
          </w:p>
        </w:tc>
        <w:tc>
          <w:tcPr>
            <w:tcW w:w="440" w:type="dxa"/>
            <w:vAlign w:val="bottom"/>
            <w:tcBorders>
              <w:bottom w:val="single" w:sz="8" w:color="231F20"/>
            </w:tcBorders>
          </w:tcPr>
          <w:p>
            <w:pPr>
              <w:jc w:val="right"/>
              <w:ind w:right="119"/>
              <w:spacing w:after="0" w:line="223" w:lineRule="exact"/>
              <w:rPr>
                <w:sz w:val="20"/>
                <w:szCs w:val="20"/>
                <w:color w:val="auto"/>
              </w:rPr>
            </w:pPr>
            <w:r>
              <w:rPr>
                <w:rFonts w:ascii="Arial" w:cs="Arial" w:eastAsia="Arial" w:hAnsi="Arial"/>
                <w:sz w:val="20"/>
                <w:szCs w:val="20"/>
                <w:color w:val="231F20"/>
              </w:rPr>
              <w:t>$</w:t>
            </w:r>
          </w:p>
        </w:tc>
        <w:tc>
          <w:tcPr>
            <w:tcW w:w="1100" w:type="dxa"/>
            <w:vAlign w:val="bottom"/>
            <w:tcBorders>
              <w:bottom w:val="single" w:sz="8" w:color="231F20"/>
            </w:tcBorders>
          </w:tcPr>
          <w:p>
            <w:pPr>
              <w:jc w:val="right"/>
              <w:ind w:right="121"/>
              <w:spacing w:after="0" w:line="223" w:lineRule="exact"/>
              <w:rPr>
                <w:sz w:val="20"/>
                <w:szCs w:val="20"/>
                <w:color w:val="auto"/>
              </w:rPr>
            </w:pPr>
            <w:r>
              <w:rPr>
                <w:rFonts w:ascii="Arial" w:cs="Arial" w:eastAsia="Arial" w:hAnsi="Arial"/>
                <w:sz w:val="20"/>
                <w:szCs w:val="20"/>
                <w:color w:val="231F20"/>
              </w:rPr>
              <w:t>4,626.2</w:t>
            </w:r>
          </w:p>
        </w:tc>
        <w:tc>
          <w:tcPr>
            <w:tcW w:w="1220" w:type="dxa"/>
            <w:vAlign w:val="bottom"/>
            <w:tcBorders>
              <w:bottom w:val="single" w:sz="8" w:color="231F20"/>
              <w:right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(2.0)%</w:t>
            </w:r>
          </w:p>
        </w:tc>
        <w:tc>
          <w:tcPr>
            <w:tcW w:w="280" w:type="dxa"/>
            <w:vAlign w:val="bottom"/>
            <w:tcBorders>
              <w:bottom w:val="single" w:sz="8" w:color="231F20"/>
            </w:tcBorders>
          </w:tcPr>
          <w:p>
            <w:pPr>
              <w:jc w:val="right"/>
              <w:ind w:right="79"/>
              <w:spacing w:after="0" w:line="223" w:lineRule="exact"/>
              <w:rPr>
                <w:sz w:val="20"/>
                <w:szCs w:val="20"/>
                <w:color w:val="auto"/>
              </w:rPr>
            </w:pPr>
            <w:r>
              <w:rPr>
                <w:rFonts w:ascii="Arial" w:cs="Arial" w:eastAsia="Arial" w:hAnsi="Arial"/>
                <w:sz w:val="20"/>
                <w:szCs w:val="20"/>
                <w:color w:val="231F20"/>
                <w:w w:val="71"/>
              </w:rPr>
              <w:t>$</w:t>
            </w:r>
          </w:p>
        </w:tc>
        <w:tc>
          <w:tcPr>
            <w:tcW w:w="1100" w:type="dxa"/>
            <w:vAlign w:val="bottom"/>
            <w:tcBorders>
              <w:bottom w:val="single" w:sz="8" w:color="231F20"/>
            </w:tcBorders>
          </w:tcPr>
          <w:p>
            <w:pPr>
              <w:jc w:val="right"/>
              <w:ind w:right="161"/>
              <w:spacing w:after="0" w:line="223" w:lineRule="exact"/>
              <w:rPr>
                <w:sz w:val="20"/>
                <w:szCs w:val="20"/>
                <w:color w:val="auto"/>
              </w:rPr>
            </w:pPr>
            <w:r>
              <w:rPr>
                <w:rFonts w:ascii="Arial" w:cs="Arial" w:eastAsia="Arial" w:hAnsi="Arial"/>
                <w:sz w:val="20"/>
                <w:szCs w:val="20"/>
                <w:color w:val="231F20"/>
              </w:rPr>
              <w:t>4,723.0</w:t>
            </w:r>
          </w:p>
        </w:tc>
        <w:tc>
          <w:tcPr>
            <w:tcW w:w="1260" w:type="dxa"/>
            <w:vAlign w:val="bottom"/>
            <w:tcBorders>
              <w:bottom w:val="single" w:sz="8" w:color="231F20"/>
              <w:right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(1.6)%</w:t>
            </w:r>
          </w:p>
        </w:tc>
        <w:tc>
          <w:tcPr>
            <w:tcW w:w="280" w:type="dxa"/>
            <w:vAlign w:val="bottom"/>
            <w:tcBorders>
              <w:bottom w:val="single" w:sz="8" w:color="231F20"/>
            </w:tcBorders>
          </w:tcPr>
          <w:p>
            <w:pPr>
              <w:jc w:val="right"/>
              <w:ind w:right="79"/>
              <w:spacing w:after="0" w:line="223" w:lineRule="exact"/>
              <w:rPr>
                <w:sz w:val="20"/>
                <w:szCs w:val="20"/>
                <w:color w:val="auto"/>
              </w:rPr>
            </w:pPr>
            <w:r>
              <w:rPr>
                <w:rFonts w:ascii="Arial" w:cs="Arial" w:eastAsia="Arial" w:hAnsi="Arial"/>
                <w:sz w:val="20"/>
                <w:szCs w:val="20"/>
                <w:color w:val="231F20"/>
                <w:w w:val="71"/>
              </w:rPr>
              <w:t>$</w:t>
            </w:r>
          </w:p>
        </w:tc>
        <w:tc>
          <w:tcPr>
            <w:tcW w:w="960" w:type="dxa"/>
            <w:vAlign w:val="bottom"/>
            <w:tcBorders>
              <w:bottom w:val="single" w:sz="8" w:color="231F20"/>
            </w:tcBorders>
          </w:tcPr>
          <w:p>
            <w:pPr>
              <w:jc w:val="right"/>
              <w:ind w:right="1"/>
              <w:spacing w:after="0" w:line="223" w:lineRule="exact"/>
              <w:rPr>
                <w:sz w:val="20"/>
                <w:szCs w:val="20"/>
                <w:color w:val="auto"/>
              </w:rPr>
            </w:pPr>
            <w:r>
              <w:rPr>
                <w:rFonts w:ascii="Arial" w:cs="Arial" w:eastAsia="Arial" w:hAnsi="Arial"/>
                <w:sz w:val="20"/>
                <w:szCs w:val="20"/>
                <w:color w:val="231F20"/>
              </w:rPr>
              <w:t>4,801.1</w:t>
            </w:r>
          </w:p>
        </w:tc>
      </w:tr>
      <w:tr>
        <w:trPr>
          <w:trHeight w:val="212"/>
        </w:trPr>
        <w:tc>
          <w:tcPr>
            <w:tcW w:w="2800" w:type="dxa"/>
            <w:vAlign w:val="bottom"/>
          </w:tcPr>
          <w:p>
            <w:pPr>
              <w:spacing w:after="0" w:line="212" w:lineRule="exact"/>
              <w:rPr>
                <w:sz w:val="20"/>
                <w:szCs w:val="20"/>
                <w:color w:val="auto"/>
              </w:rPr>
            </w:pPr>
            <w:r>
              <w:rPr>
                <w:rFonts w:ascii="Arial" w:cs="Arial" w:eastAsia="Arial" w:hAnsi="Arial"/>
                <w:sz w:val="20"/>
                <w:szCs w:val="20"/>
                <w:b w:val="1"/>
                <w:bCs w:val="1"/>
                <w:color w:val="231F20"/>
              </w:rPr>
              <w:t>Operating income:</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Borders>
              <w:right w:val="single" w:sz="8" w:color="231F20"/>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3"/>
        </w:trPr>
        <w:tc>
          <w:tcPr>
            <w:tcW w:w="2800" w:type="dxa"/>
            <w:vAlign w:val="bottom"/>
          </w:tcPr>
          <w:p>
            <w:pPr>
              <w:spacing w:after="0"/>
              <w:rPr>
                <w:sz w:val="20"/>
                <w:szCs w:val="20"/>
                <w:color w:val="auto"/>
              </w:rPr>
            </w:pPr>
            <w:r>
              <w:rPr>
                <w:rFonts w:ascii="Arial" w:cs="Arial" w:eastAsia="Arial" w:hAnsi="Arial"/>
                <w:sz w:val="20"/>
                <w:szCs w:val="20"/>
                <w:color w:val="231F20"/>
              </w:rPr>
              <w:t xml:space="preserve">Water </w:t>
            </w:r>
            <w:r>
              <w:rPr>
                <w:rFonts w:ascii="Times New Roman" w:cs="Times New Roman" w:eastAsia="Times New Roman" w:hAnsi="Times New Roman"/>
                <w:sz w:val="20"/>
                <w:szCs w:val="20"/>
                <w:color w:val="231F20"/>
              </w:rPr>
              <w:t>..........................................</w:t>
            </w:r>
          </w:p>
        </w:tc>
        <w:tc>
          <w:tcPr>
            <w:tcW w:w="440" w:type="dxa"/>
            <w:vAlign w:val="bottom"/>
          </w:tcPr>
          <w:p>
            <w:pPr>
              <w:jc w:val="right"/>
              <w:ind w:right="119"/>
              <w:spacing w:after="0"/>
              <w:rPr>
                <w:sz w:val="20"/>
                <w:szCs w:val="20"/>
                <w:color w:val="auto"/>
              </w:rPr>
            </w:pPr>
            <w:r>
              <w:rPr>
                <w:rFonts w:ascii="Arial" w:cs="Arial" w:eastAsia="Arial" w:hAnsi="Arial"/>
                <w:sz w:val="20"/>
                <w:szCs w:val="20"/>
                <w:color w:val="231F20"/>
              </w:rPr>
              <w:t>$</w:t>
            </w:r>
          </w:p>
        </w:tc>
        <w:tc>
          <w:tcPr>
            <w:tcW w:w="1100" w:type="dxa"/>
            <w:vAlign w:val="bottom"/>
          </w:tcPr>
          <w:p>
            <w:pPr>
              <w:jc w:val="right"/>
              <w:ind w:right="121"/>
              <w:spacing w:after="0"/>
              <w:rPr>
                <w:sz w:val="20"/>
                <w:szCs w:val="20"/>
                <w:color w:val="auto"/>
              </w:rPr>
            </w:pPr>
            <w:r>
              <w:rPr>
                <w:rFonts w:ascii="Arial" w:cs="Arial" w:eastAsia="Arial" w:hAnsi="Arial"/>
                <w:sz w:val="20"/>
                <w:szCs w:val="20"/>
                <w:color w:val="231F20"/>
              </w:rPr>
              <w:t>574.3</w:t>
            </w:r>
          </w:p>
        </w:tc>
        <w:tc>
          <w:tcPr>
            <w:tcW w:w="1220" w:type="dxa"/>
            <w:vAlign w:val="bottom"/>
            <w:tcBorders>
              <w:right w:val="single" w:sz="8" w:color="231F20"/>
            </w:tcBorders>
          </w:tcPr>
          <w:p>
            <w:pPr>
              <w:jc w:val="right"/>
              <w:ind w:right="41"/>
              <w:spacing w:after="0"/>
              <w:rPr>
                <w:sz w:val="20"/>
                <w:szCs w:val="20"/>
                <w:color w:val="auto"/>
              </w:rPr>
            </w:pPr>
            <w:r>
              <w:rPr>
                <w:rFonts w:ascii="Arial" w:cs="Arial" w:eastAsia="Arial" w:hAnsi="Arial"/>
                <w:sz w:val="20"/>
                <w:szCs w:val="20"/>
                <w:color w:val="231F20"/>
              </w:rPr>
              <w:t>(6.6)%</w:t>
            </w:r>
          </w:p>
        </w:tc>
        <w:tc>
          <w:tcPr>
            <w:tcW w:w="280" w:type="dxa"/>
            <w:vAlign w:val="bottom"/>
          </w:tcPr>
          <w:p>
            <w:pPr>
              <w:jc w:val="right"/>
              <w:ind w:right="79"/>
              <w:spacing w:after="0"/>
              <w:rPr>
                <w:sz w:val="20"/>
                <w:szCs w:val="20"/>
                <w:color w:val="auto"/>
              </w:rPr>
            </w:pPr>
            <w:r>
              <w:rPr>
                <w:rFonts w:ascii="Arial" w:cs="Arial" w:eastAsia="Arial" w:hAnsi="Arial"/>
                <w:sz w:val="20"/>
                <w:szCs w:val="20"/>
                <w:color w:val="231F20"/>
                <w:w w:val="71"/>
              </w:rPr>
              <w:t>$</w:t>
            </w:r>
          </w:p>
        </w:tc>
        <w:tc>
          <w:tcPr>
            <w:tcW w:w="1100" w:type="dxa"/>
            <w:vAlign w:val="bottom"/>
          </w:tcPr>
          <w:p>
            <w:pPr>
              <w:jc w:val="right"/>
              <w:ind w:right="161"/>
              <w:spacing w:after="0"/>
              <w:rPr>
                <w:sz w:val="20"/>
                <w:szCs w:val="20"/>
                <w:color w:val="auto"/>
              </w:rPr>
            </w:pPr>
            <w:r>
              <w:rPr>
                <w:rFonts w:ascii="Arial" w:cs="Arial" w:eastAsia="Arial" w:hAnsi="Arial"/>
                <w:sz w:val="20"/>
                <w:szCs w:val="20"/>
                <w:color w:val="231F20"/>
              </w:rPr>
              <w:t>614.6</w:t>
            </w:r>
          </w:p>
        </w:tc>
        <w:tc>
          <w:tcPr>
            <w:tcW w:w="1260" w:type="dxa"/>
            <w:vAlign w:val="bottom"/>
            <w:tcBorders>
              <w:right w:val="single" w:sz="8" w:color="231F20"/>
            </w:tcBorders>
          </w:tcPr>
          <w:p>
            <w:pPr>
              <w:jc w:val="right"/>
              <w:ind w:right="41"/>
              <w:spacing w:after="0"/>
              <w:rPr>
                <w:sz w:val="20"/>
                <w:szCs w:val="20"/>
                <w:color w:val="auto"/>
              </w:rPr>
            </w:pPr>
            <w:r>
              <w:rPr>
                <w:rFonts w:ascii="Arial" w:cs="Arial" w:eastAsia="Arial" w:hAnsi="Arial"/>
                <w:sz w:val="20"/>
                <w:szCs w:val="20"/>
                <w:color w:val="231F20"/>
              </w:rPr>
              <w:t>(2.4)%</w:t>
            </w:r>
          </w:p>
        </w:tc>
        <w:tc>
          <w:tcPr>
            <w:tcW w:w="280" w:type="dxa"/>
            <w:vAlign w:val="bottom"/>
          </w:tcPr>
          <w:p>
            <w:pPr>
              <w:jc w:val="right"/>
              <w:ind w:right="79"/>
              <w:spacing w:after="0"/>
              <w:rPr>
                <w:sz w:val="20"/>
                <w:szCs w:val="20"/>
                <w:color w:val="auto"/>
              </w:rPr>
            </w:pPr>
            <w:r>
              <w:rPr>
                <w:rFonts w:ascii="Arial" w:cs="Arial" w:eastAsia="Arial" w:hAnsi="Arial"/>
                <w:sz w:val="20"/>
                <w:szCs w:val="20"/>
                <w:color w:val="231F20"/>
                <w:w w:val="71"/>
              </w:rPr>
              <w:t>$</w:t>
            </w:r>
          </w:p>
        </w:tc>
        <w:tc>
          <w:tcPr>
            <w:tcW w:w="960" w:type="dxa"/>
            <w:vAlign w:val="bottom"/>
          </w:tcPr>
          <w:p>
            <w:pPr>
              <w:jc w:val="right"/>
              <w:ind w:right="1"/>
              <w:spacing w:after="0"/>
              <w:rPr>
                <w:sz w:val="20"/>
                <w:szCs w:val="20"/>
                <w:color w:val="auto"/>
              </w:rPr>
            </w:pPr>
            <w:r>
              <w:rPr>
                <w:rFonts w:ascii="Arial" w:cs="Arial" w:eastAsia="Arial" w:hAnsi="Arial"/>
                <w:sz w:val="20"/>
                <w:szCs w:val="20"/>
                <w:color w:val="231F20"/>
              </w:rPr>
              <w:t>629.7</w:t>
            </w:r>
          </w:p>
        </w:tc>
      </w:tr>
      <w:tr>
        <w:trPr>
          <w:trHeight w:val="233"/>
        </w:trPr>
        <w:tc>
          <w:tcPr>
            <w:tcW w:w="2800" w:type="dxa"/>
            <w:vAlign w:val="bottom"/>
          </w:tcPr>
          <w:p>
            <w:pPr>
              <w:spacing w:after="0"/>
              <w:rPr>
                <w:sz w:val="20"/>
                <w:szCs w:val="20"/>
                <w:color w:val="auto"/>
              </w:rPr>
            </w:pPr>
            <w:r>
              <w:rPr>
                <w:rFonts w:ascii="Arial" w:cs="Arial" w:eastAsia="Arial" w:hAnsi="Arial"/>
                <w:sz w:val="20"/>
                <w:szCs w:val="20"/>
                <w:color w:val="231F20"/>
              </w:rPr>
              <w:t>Outdoors</w:t>
            </w:r>
            <w:r>
              <w:rPr>
                <w:rFonts w:ascii="Times New Roman" w:cs="Times New Roman" w:eastAsia="Times New Roman" w:hAnsi="Times New Roman"/>
                <w:sz w:val="20"/>
                <w:szCs w:val="20"/>
                <w:color w:val="231F20"/>
              </w:rPr>
              <w:t>.....................................</w:t>
            </w:r>
          </w:p>
        </w:tc>
        <w:tc>
          <w:tcPr>
            <w:tcW w:w="440" w:type="dxa"/>
            <w:vAlign w:val="bottom"/>
          </w:tcPr>
          <w:p>
            <w:pPr>
              <w:spacing w:after="0"/>
              <w:rPr>
                <w:sz w:val="20"/>
                <w:szCs w:val="20"/>
                <w:color w:val="auto"/>
              </w:rPr>
            </w:pPr>
          </w:p>
        </w:tc>
        <w:tc>
          <w:tcPr>
            <w:tcW w:w="1100" w:type="dxa"/>
            <w:vAlign w:val="bottom"/>
          </w:tcPr>
          <w:p>
            <w:pPr>
              <w:jc w:val="right"/>
              <w:ind w:right="121"/>
              <w:spacing w:after="0"/>
              <w:rPr>
                <w:sz w:val="20"/>
                <w:szCs w:val="20"/>
                <w:color w:val="auto"/>
              </w:rPr>
            </w:pPr>
            <w:r>
              <w:rPr>
                <w:rFonts w:ascii="Arial" w:cs="Arial" w:eastAsia="Arial" w:hAnsi="Arial"/>
                <w:sz w:val="20"/>
                <w:szCs w:val="20"/>
                <w:color w:val="231F20"/>
              </w:rPr>
              <w:t>133.5</w:t>
            </w:r>
          </w:p>
        </w:tc>
        <w:tc>
          <w:tcPr>
            <w:tcW w:w="1220" w:type="dxa"/>
            <w:vAlign w:val="bottom"/>
            <w:tcBorders>
              <w:right w:val="single" w:sz="8" w:color="231F20"/>
            </w:tcBorders>
          </w:tcPr>
          <w:p>
            <w:pPr>
              <w:jc w:val="right"/>
              <w:ind w:right="221"/>
              <w:spacing w:after="0"/>
              <w:rPr>
                <w:sz w:val="20"/>
                <w:szCs w:val="20"/>
                <w:color w:val="auto"/>
              </w:rPr>
            </w:pPr>
            <w:r>
              <w:rPr>
                <w:rFonts w:ascii="Arial" w:cs="Arial" w:eastAsia="Arial" w:hAnsi="Arial"/>
                <w:sz w:val="20"/>
                <w:szCs w:val="20"/>
                <w:color w:val="231F20"/>
              </w:rPr>
              <w:t>(31.3)</w:t>
            </w:r>
          </w:p>
        </w:tc>
        <w:tc>
          <w:tcPr>
            <w:tcW w:w="280" w:type="dxa"/>
            <w:vAlign w:val="bottom"/>
          </w:tcPr>
          <w:p>
            <w:pPr>
              <w:spacing w:after="0"/>
              <w:rPr>
                <w:sz w:val="20"/>
                <w:szCs w:val="20"/>
                <w:color w:val="auto"/>
              </w:rPr>
            </w:pPr>
          </w:p>
        </w:tc>
        <w:tc>
          <w:tcPr>
            <w:tcW w:w="1100" w:type="dxa"/>
            <w:vAlign w:val="bottom"/>
          </w:tcPr>
          <w:p>
            <w:pPr>
              <w:jc w:val="right"/>
              <w:ind w:right="161"/>
              <w:spacing w:after="0"/>
              <w:rPr>
                <w:sz w:val="20"/>
                <w:szCs w:val="20"/>
                <w:color w:val="auto"/>
              </w:rPr>
            </w:pPr>
            <w:r>
              <w:rPr>
                <w:rFonts w:ascii="Arial" w:cs="Arial" w:eastAsia="Arial" w:hAnsi="Arial"/>
                <w:sz w:val="20"/>
                <w:szCs w:val="20"/>
                <w:color w:val="231F20"/>
              </w:rPr>
              <w:t>194.2</w:t>
            </w:r>
          </w:p>
        </w:tc>
        <w:tc>
          <w:tcPr>
            <w:tcW w:w="1260" w:type="dxa"/>
            <w:vAlign w:val="bottom"/>
            <w:tcBorders>
              <w:right w:val="single" w:sz="8" w:color="231F20"/>
            </w:tcBorders>
          </w:tcPr>
          <w:p>
            <w:pPr>
              <w:jc w:val="right"/>
              <w:ind w:right="221"/>
              <w:spacing w:after="0"/>
              <w:rPr>
                <w:sz w:val="20"/>
                <w:szCs w:val="20"/>
                <w:color w:val="auto"/>
              </w:rPr>
            </w:pPr>
            <w:r>
              <w:rPr>
                <w:rFonts w:ascii="Arial" w:cs="Arial" w:eastAsia="Arial" w:hAnsi="Arial"/>
                <w:sz w:val="20"/>
                <w:szCs w:val="20"/>
                <w:color w:val="231F20"/>
              </w:rPr>
              <w:t>(5.4)</w:t>
            </w:r>
          </w:p>
        </w:tc>
        <w:tc>
          <w:tcPr>
            <w:tcW w:w="2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231F20"/>
              </w:rPr>
              <w:t>205.3</w:t>
            </w:r>
          </w:p>
        </w:tc>
      </w:tr>
      <w:tr>
        <w:trPr>
          <w:trHeight w:val="233"/>
        </w:trPr>
        <w:tc>
          <w:tcPr>
            <w:tcW w:w="2800" w:type="dxa"/>
            <w:vAlign w:val="bottom"/>
          </w:tcPr>
          <w:p>
            <w:pPr>
              <w:spacing w:after="0"/>
              <w:rPr>
                <w:sz w:val="20"/>
                <w:szCs w:val="20"/>
                <w:color w:val="auto"/>
              </w:rPr>
            </w:pPr>
            <w:r>
              <w:rPr>
                <w:rFonts w:ascii="Arial" w:cs="Arial" w:eastAsia="Arial" w:hAnsi="Arial"/>
                <w:sz w:val="20"/>
                <w:szCs w:val="20"/>
                <w:color w:val="231F20"/>
              </w:rPr>
              <w:t>Security</w:t>
            </w:r>
            <w:r>
              <w:rPr>
                <w:rFonts w:ascii="Times New Roman" w:cs="Times New Roman" w:eastAsia="Times New Roman" w:hAnsi="Times New Roman"/>
                <w:sz w:val="20"/>
                <w:szCs w:val="20"/>
                <w:color w:val="231F20"/>
              </w:rPr>
              <w:t>.......................................</w:t>
            </w:r>
          </w:p>
        </w:tc>
        <w:tc>
          <w:tcPr>
            <w:tcW w:w="440" w:type="dxa"/>
            <w:vAlign w:val="bottom"/>
          </w:tcPr>
          <w:p>
            <w:pPr>
              <w:spacing w:after="0"/>
              <w:rPr>
                <w:sz w:val="20"/>
                <w:szCs w:val="20"/>
                <w:color w:val="auto"/>
              </w:rPr>
            </w:pPr>
          </w:p>
        </w:tc>
        <w:tc>
          <w:tcPr>
            <w:tcW w:w="1100" w:type="dxa"/>
            <w:vAlign w:val="bottom"/>
          </w:tcPr>
          <w:p>
            <w:pPr>
              <w:jc w:val="right"/>
              <w:ind w:right="121"/>
              <w:spacing w:after="0"/>
              <w:rPr>
                <w:sz w:val="20"/>
                <w:szCs w:val="20"/>
                <w:color w:val="auto"/>
              </w:rPr>
            </w:pPr>
            <w:r>
              <w:rPr>
                <w:rFonts w:ascii="Arial" w:cs="Arial" w:eastAsia="Arial" w:hAnsi="Arial"/>
                <w:sz w:val="20"/>
                <w:szCs w:val="20"/>
                <w:color w:val="231F20"/>
              </w:rPr>
              <w:t>62.4</w:t>
            </w:r>
          </w:p>
        </w:tc>
        <w:tc>
          <w:tcPr>
            <w:tcW w:w="1220" w:type="dxa"/>
            <w:vAlign w:val="bottom"/>
            <w:tcBorders>
              <w:right w:val="single" w:sz="8" w:color="231F20"/>
            </w:tcBorders>
          </w:tcPr>
          <w:p>
            <w:pPr>
              <w:jc w:val="right"/>
              <w:ind w:right="221"/>
              <w:spacing w:after="0"/>
              <w:rPr>
                <w:sz w:val="20"/>
                <w:szCs w:val="20"/>
                <w:color w:val="auto"/>
              </w:rPr>
            </w:pPr>
            <w:r>
              <w:rPr>
                <w:rFonts w:ascii="Arial" w:cs="Arial" w:eastAsia="Arial" w:hAnsi="Arial"/>
                <w:sz w:val="20"/>
                <w:szCs w:val="20"/>
                <w:color w:val="231F20"/>
              </w:rPr>
              <w:t>(34.6)</w:t>
            </w:r>
          </w:p>
        </w:tc>
        <w:tc>
          <w:tcPr>
            <w:tcW w:w="280" w:type="dxa"/>
            <w:vAlign w:val="bottom"/>
          </w:tcPr>
          <w:p>
            <w:pPr>
              <w:spacing w:after="0"/>
              <w:rPr>
                <w:sz w:val="20"/>
                <w:szCs w:val="20"/>
                <w:color w:val="auto"/>
              </w:rPr>
            </w:pPr>
          </w:p>
        </w:tc>
        <w:tc>
          <w:tcPr>
            <w:tcW w:w="1100" w:type="dxa"/>
            <w:vAlign w:val="bottom"/>
          </w:tcPr>
          <w:p>
            <w:pPr>
              <w:jc w:val="right"/>
              <w:ind w:right="161"/>
              <w:spacing w:after="0"/>
              <w:rPr>
                <w:sz w:val="20"/>
                <w:szCs w:val="20"/>
                <w:color w:val="auto"/>
              </w:rPr>
            </w:pPr>
            <w:r>
              <w:rPr>
                <w:rFonts w:ascii="Arial" w:cs="Arial" w:eastAsia="Arial" w:hAnsi="Arial"/>
                <w:sz w:val="20"/>
                <w:szCs w:val="20"/>
                <w:color w:val="231F20"/>
              </w:rPr>
              <w:t>95.4</w:t>
            </w:r>
          </w:p>
        </w:tc>
        <w:tc>
          <w:tcPr>
            <w:tcW w:w="1260" w:type="dxa"/>
            <w:vAlign w:val="bottom"/>
            <w:tcBorders>
              <w:right w:val="single" w:sz="8" w:color="231F20"/>
            </w:tcBorders>
          </w:tcPr>
          <w:p>
            <w:pPr>
              <w:jc w:val="right"/>
              <w:ind w:right="301"/>
              <w:spacing w:after="0"/>
              <w:rPr>
                <w:sz w:val="20"/>
                <w:szCs w:val="20"/>
                <w:color w:val="auto"/>
              </w:rPr>
            </w:pPr>
            <w:r>
              <w:rPr>
                <w:rFonts w:ascii="Arial" w:cs="Arial" w:eastAsia="Arial" w:hAnsi="Arial"/>
                <w:sz w:val="20"/>
                <w:szCs w:val="20"/>
                <w:color w:val="231F20"/>
              </w:rPr>
              <w:t>10.2</w:t>
            </w:r>
          </w:p>
        </w:tc>
        <w:tc>
          <w:tcPr>
            <w:tcW w:w="2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231F20"/>
              </w:rPr>
              <w:t>86.6</w:t>
            </w:r>
          </w:p>
        </w:tc>
      </w:tr>
      <w:tr>
        <w:trPr>
          <w:trHeight w:val="253"/>
        </w:trPr>
        <w:tc>
          <w:tcPr>
            <w:tcW w:w="280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rPr>
              <w:t xml:space="preserve">Corporate </w:t>
            </w:r>
            <w:r>
              <w:rPr>
                <w:rFonts w:ascii="Times New Roman" w:cs="Times New Roman" w:eastAsia="Times New Roman" w:hAnsi="Times New Roman"/>
                <w:sz w:val="20"/>
                <w:szCs w:val="20"/>
                <w:color w:val="231F20"/>
              </w:rPr>
              <w:t>...................................</w:t>
            </w:r>
          </w:p>
        </w:tc>
        <w:tc>
          <w:tcPr>
            <w:tcW w:w="44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41"/>
              <w:spacing w:after="0"/>
              <w:rPr>
                <w:sz w:val="20"/>
                <w:szCs w:val="20"/>
                <w:color w:val="auto"/>
              </w:rPr>
            </w:pPr>
            <w:r>
              <w:rPr>
                <w:rFonts w:ascii="Arial" w:cs="Arial" w:eastAsia="Arial" w:hAnsi="Arial"/>
                <w:sz w:val="20"/>
                <w:szCs w:val="20"/>
                <w:color w:val="231F20"/>
              </w:rPr>
              <w:t>(155.3)</w:t>
            </w:r>
          </w:p>
        </w:tc>
        <w:tc>
          <w:tcPr>
            <w:tcW w:w="1220" w:type="dxa"/>
            <w:vAlign w:val="bottom"/>
            <w:tcBorders>
              <w:bottom w:val="single" w:sz="8" w:color="231F20"/>
              <w:right w:val="single" w:sz="8" w:color="231F20"/>
            </w:tcBorders>
          </w:tcPr>
          <w:p>
            <w:pPr>
              <w:jc w:val="right"/>
              <w:ind w:right="301"/>
              <w:spacing w:after="0"/>
              <w:rPr>
                <w:sz w:val="20"/>
                <w:szCs w:val="20"/>
                <w:color w:val="auto"/>
              </w:rPr>
            </w:pPr>
            <w:r>
              <w:rPr>
                <w:rFonts w:ascii="Arial" w:cs="Arial" w:eastAsia="Arial" w:hAnsi="Arial"/>
                <w:sz w:val="20"/>
                <w:szCs w:val="20"/>
                <w:color w:val="231F20"/>
              </w:rPr>
              <w:t>19.6</w:t>
            </w:r>
          </w:p>
        </w:tc>
        <w:tc>
          <w:tcPr>
            <w:tcW w:w="28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101"/>
              <w:spacing w:after="0"/>
              <w:rPr>
                <w:sz w:val="20"/>
                <w:szCs w:val="20"/>
                <w:color w:val="auto"/>
              </w:rPr>
            </w:pPr>
            <w:r>
              <w:rPr>
                <w:rFonts w:ascii="Arial" w:cs="Arial" w:eastAsia="Arial" w:hAnsi="Arial"/>
                <w:sz w:val="20"/>
                <w:szCs w:val="20"/>
                <w:color w:val="231F20"/>
              </w:rPr>
              <w:t>(129.9)</w:t>
            </w:r>
          </w:p>
        </w:tc>
        <w:tc>
          <w:tcPr>
            <w:tcW w:w="1260" w:type="dxa"/>
            <w:vAlign w:val="bottom"/>
            <w:tcBorders>
              <w:bottom w:val="single" w:sz="8" w:color="231F20"/>
              <w:right w:val="single" w:sz="8" w:color="231F20"/>
            </w:tcBorders>
          </w:tcPr>
          <w:p>
            <w:pPr>
              <w:jc w:val="right"/>
              <w:ind w:right="301"/>
              <w:spacing w:after="0"/>
              <w:rPr>
                <w:sz w:val="20"/>
                <w:szCs w:val="20"/>
                <w:color w:val="auto"/>
              </w:rPr>
            </w:pPr>
            <w:r>
              <w:rPr>
                <w:rFonts w:ascii="Arial" w:cs="Arial" w:eastAsia="Arial" w:hAnsi="Arial"/>
                <w:sz w:val="20"/>
                <w:szCs w:val="20"/>
                <w:color w:val="231F20"/>
              </w:rPr>
              <w:t>17.6</w:t>
            </w:r>
          </w:p>
        </w:tc>
        <w:tc>
          <w:tcPr>
            <w:tcW w:w="28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(110.5)</w:t>
            </w:r>
          </w:p>
        </w:tc>
      </w:tr>
      <w:tr>
        <w:trPr>
          <w:trHeight w:val="248"/>
        </w:trPr>
        <w:tc>
          <w:tcPr>
            <w:tcW w:w="2800" w:type="dxa"/>
            <w:vAlign w:val="bottom"/>
            <w:tcBorders>
              <w:bottom w:val="single" w:sz="8" w:color="231F20"/>
            </w:tcBorders>
          </w:tcPr>
          <w:p>
            <w:pPr>
              <w:ind w:left="280"/>
              <w:spacing w:after="0" w:line="223" w:lineRule="exact"/>
              <w:rPr>
                <w:sz w:val="20"/>
                <w:szCs w:val="20"/>
                <w:color w:val="auto"/>
              </w:rPr>
            </w:pPr>
            <w:r>
              <w:rPr>
                <w:rFonts w:ascii="Arial" w:cs="Arial" w:eastAsia="Arial" w:hAnsi="Arial"/>
                <w:sz w:val="20"/>
                <w:szCs w:val="20"/>
                <w:color w:val="231F20"/>
              </w:rPr>
              <w:t>Total operating income</w:t>
            </w:r>
            <w:r>
              <w:rPr>
                <w:rFonts w:ascii="Times New Roman" w:cs="Times New Roman" w:eastAsia="Times New Roman" w:hAnsi="Times New Roman"/>
                <w:sz w:val="20"/>
                <w:szCs w:val="20"/>
                <w:color w:val="231F20"/>
              </w:rPr>
              <w:t>.......</w:t>
            </w:r>
          </w:p>
        </w:tc>
        <w:tc>
          <w:tcPr>
            <w:tcW w:w="440" w:type="dxa"/>
            <w:vAlign w:val="bottom"/>
            <w:tcBorders>
              <w:bottom w:val="single" w:sz="8" w:color="231F20"/>
            </w:tcBorders>
          </w:tcPr>
          <w:p>
            <w:pPr>
              <w:jc w:val="right"/>
              <w:ind w:right="119"/>
              <w:spacing w:after="0" w:line="223" w:lineRule="exact"/>
              <w:rPr>
                <w:sz w:val="20"/>
                <w:szCs w:val="20"/>
                <w:color w:val="auto"/>
              </w:rPr>
            </w:pPr>
            <w:r>
              <w:rPr>
                <w:rFonts w:ascii="Arial" w:cs="Arial" w:eastAsia="Arial" w:hAnsi="Arial"/>
                <w:sz w:val="20"/>
                <w:szCs w:val="20"/>
                <w:color w:val="231F20"/>
              </w:rPr>
              <w:t>$</w:t>
            </w:r>
          </w:p>
        </w:tc>
        <w:tc>
          <w:tcPr>
            <w:tcW w:w="1100" w:type="dxa"/>
            <w:vAlign w:val="bottom"/>
            <w:tcBorders>
              <w:bottom w:val="single" w:sz="8" w:color="231F20"/>
            </w:tcBorders>
          </w:tcPr>
          <w:p>
            <w:pPr>
              <w:jc w:val="right"/>
              <w:ind w:right="121"/>
              <w:spacing w:after="0" w:line="223" w:lineRule="exact"/>
              <w:rPr>
                <w:sz w:val="20"/>
                <w:szCs w:val="20"/>
                <w:color w:val="auto"/>
              </w:rPr>
            </w:pPr>
            <w:r>
              <w:rPr>
                <w:rFonts w:ascii="Arial" w:cs="Arial" w:eastAsia="Arial" w:hAnsi="Arial"/>
                <w:sz w:val="20"/>
                <w:szCs w:val="20"/>
                <w:color w:val="231F20"/>
              </w:rPr>
              <w:t>614.9</w:t>
            </w:r>
          </w:p>
        </w:tc>
        <w:tc>
          <w:tcPr>
            <w:tcW w:w="1220" w:type="dxa"/>
            <w:vAlign w:val="bottom"/>
            <w:tcBorders>
              <w:bottom w:val="single" w:sz="8" w:color="231F20"/>
              <w:right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(20.6)%</w:t>
            </w:r>
          </w:p>
        </w:tc>
        <w:tc>
          <w:tcPr>
            <w:tcW w:w="280" w:type="dxa"/>
            <w:vAlign w:val="bottom"/>
            <w:tcBorders>
              <w:bottom w:val="single" w:sz="8" w:color="231F20"/>
            </w:tcBorders>
          </w:tcPr>
          <w:p>
            <w:pPr>
              <w:jc w:val="right"/>
              <w:ind w:right="79"/>
              <w:spacing w:after="0" w:line="223" w:lineRule="exact"/>
              <w:rPr>
                <w:sz w:val="20"/>
                <w:szCs w:val="20"/>
                <w:color w:val="auto"/>
              </w:rPr>
            </w:pPr>
            <w:r>
              <w:rPr>
                <w:rFonts w:ascii="Arial" w:cs="Arial" w:eastAsia="Arial" w:hAnsi="Arial"/>
                <w:sz w:val="20"/>
                <w:szCs w:val="20"/>
                <w:color w:val="231F20"/>
                <w:w w:val="71"/>
              </w:rPr>
              <w:t>$</w:t>
            </w:r>
          </w:p>
        </w:tc>
        <w:tc>
          <w:tcPr>
            <w:tcW w:w="1100" w:type="dxa"/>
            <w:vAlign w:val="bottom"/>
            <w:tcBorders>
              <w:bottom w:val="single" w:sz="8" w:color="231F20"/>
            </w:tcBorders>
          </w:tcPr>
          <w:p>
            <w:pPr>
              <w:jc w:val="right"/>
              <w:ind w:right="161"/>
              <w:spacing w:after="0" w:line="223" w:lineRule="exact"/>
              <w:rPr>
                <w:sz w:val="20"/>
                <w:szCs w:val="20"/>
                <w:color w:val="auto"/>
              </w:rPr>
            </w:pPr>
            <w:r>
              <w:rPr>
                <w:rFonts w:ascii="Arial" w:cs="Arial" w:eastAsia="Arial" w:hAnsi="Arial"/>
                <w:sz w:val="20"/>
                <w:szCs w:val="20"/>
                <w:color w:val="231F20"/>
              </w:rPr>
              <w:t>774.3</w:t>
            </w:r>
          </w:p>
        </w:tc>
        <w:tc>
          <w:tcPr>
            <w:tcW w:w="1260" w:type="dxa"/>
            <w:vAlign w:val="bottom"/>
            <w:tcBorders>
              <w:bottom w:val="single" w:sz="8" w:color="231F20"/>
              <w:right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(4.5)%</w:t>
            </w:r>
          </w:p>
        </w:tc>
        <w:tc>
          <w:tcPr>
            <w:tcW w:w="280" w:type="dxa"/>
            <w:vAlign w:val="bottom"/>
            <w:tcBorders>
              <w:bottom w:val="single" w:sz="8" w:color="231F20"/>
            </w:tcBorders>
          </w:tcPr>
          <w:p>
            <w:pPr>
              <w:jc w:val="right"/>
              <w:ind w:right="79"/>
              <w:spacing w:after="0" w:line="223" w:lineRule="exact"/>
              <w:rPr>
                <w:sz w:val="20"/>
                <w:szCs w:val="20"/>
                <w:color w:val="auto"/>
              </w:rPr>
            </w:pPr>
            <w:r>
              <w:rPr>
                <w:rFonts w:ascii="Arial" w:cs="Arial" w:eastAsia="Arial" w:hAnsi="Arial"/>
                <w:sz w:val="20"/>
                <w:szCs w:val="20"/>
                <w:color w:val="231F20"/>
                <w:w w:val="71"/>
              </w:rPr>
              <w:t>$</w:t>
            </w:r>
          </w:p>
        </w:tc>
        <w:tc>
          <w:tcPr>
            <w:tcW w:w="960" w:type="dxa"/>
            <w:vAlign w:val="bottom"/>
            <w:tcBorders>
              <w:bottom w:val="single" w:sz="8" w:color="231F20"/>
            </w:tcBorders>
          </w:tcPr>
          <w:p>
            <w:pPr>
              <w:jc w:val="right"/>
              <w:ind w:right="1"/>
              <w:spacing w:after="0" w:line="223" w:lineRule="exact"/>
              <w:rPr>
                <w:sz w:val="20"/>
                <w:szCs w:val="20"/>
                <w:color w:val="auto"/>
              </w:rPr>
            </w:pPr>
            <w:r>
              <w:rPr>
                <w:rFonts w:ascii="Arial" w:cs="Arial" w:eastAsia="Arial" w:hAnsi="Arial"/>
                <w:sz w:val="20"/>
                <w:szCs w:val="20"/>
                <w:color w:val="231F20"/>
              </w:rPr>
              <w:t>811.1</w:t>
            </w:r>
          </w:p>
        </w:tc>
      </w:tr>
    </w:tbl>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231F20"/>
        </w:rPr>
        <w:t>Certain items had a significant impact on our results in 2023, 2022 and 2021. These included restructuring and other charges, asset impairment charges and the impact of changes in foreign currency exchange rates.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231F20"/>
        </w:rPr>
        <w:t>In 2023, financial results included:</w:t>
      </w:r>
    </w:p>
    <w:p>
      <w:pPr>
        <w:spacing w:after="0" w:line="94" w:lineRule="exact"/>
        <w:rPr>
          <w:sz w:val="20"/>
          <w:szCs w:val="20"/>
          <w:color w:val="auto"/>
        </w:rPr>
      </w:pPr>
    </w:p>
    <w:p>
      <w:pPr>
        <w:ind w:left="380" w:right="80" w:hanging="374"/>
        <w:spacing w:after="0" w:line="265" w:lineRule="auto"/>
        <w:tabs>
          <w:tab w:leader="none" w:pos="380" w:val="left"/>
        </w:tabs>
        <w:numPr>
          <w:ilvl w:val="0"/>
          <w:numId w:val="12"/>
        </w:numPr>
        <w:rPr>
          <w:rFonts w:ascii="Arial" w:cs="Arial" w:eastAsia="Arial" w:hAnsi="Arial"/>
          <w:sz w:val="20"/>
          <w:szCs w:val="20"/>
          <w:color w:val="231F20"/>
        </w:rPr>
      </w:pPr>
      <w:r>
        <w:rPr>
          <w:rFonts w:ascii="Arial" w:cs="Arial" w:eastAsia="Arial" w:hAnsi="Arial"/>
          <w:sz w:val="20"/>
          <w:szCs w:val="20"/>
          <w:color w:val="231F20"/>
        </w:rPr>
        <w:t>restructuring and other charges of $54.2 million before tax ($41.3 million after tax), largely related to costs associated with the planned closure of a manufacturing facility within our Security segment and headcount actions across all segments;</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25</w:t>
      </w:r>
    </w:p>
    <w:p>
      <w:pPr>
        <w:sectPr>
          <w:pgSz w:w="12240" w:h="15840" w:orient="portrait"/>
          <w:cols w:equalWidth="0" w:num="1">
            <w:col w:w="9460"/>
          </w:cols>
          <w:pgMar w:left="1380" w:top="1346" w:right="1400" w:bottom="95" w:gutter="0" w:footer="0" w:header="0"/>
          <w:type w:val="continuous"/>
        </w:sectPr>
      </w:pPr>
    </w:p>
    <w:bookmarkStart w:id="33" w:name="page34"/>
    <w:bookmarkEnd w:id="33"/>
    <w:p>
      <w:pPr>
        <w:ind w:left="380" w:hanging="374"/>
        <w:spacing w:after="0" w:line="287" w:lineRule="auto"/>
        <w:tabs>
          <w:tab w:leader="none" w:pos="380" w:val="left"/>
        </w:tabs>
        <w:numPr>
          <w:ilvl w:val="0"/>
          <w:numId w:val="13"/>
        </w:numPr>
        <w:rPr>
          <w:rFonts w:ascii="Arial" w:cs="Arial" w:eastAsia="Arial" w:hAnsi="Arial"/>
          <w:sz w:val="20"/>
          <w:szCs w:val="20"/>
          <w:color w:val="231F20"/>
        </w:rPr>
      </w:pPr>
      <w:r>
        <w:rPr>
          <w:rFonts w:ascii="Arial" w:cs="Arial" w:eastAsia="Arial" w:hAnsi="Arial"/>
          <w:sz w:val="20"/>
          <w:szCs w:val="20"/>
          <w:color w:val="231F20"/>
        </w:rPr>
        <w:t>asset impairment charges of $33.5 million related to the impairment of two indefinite-lived tradenames within our Outdoors segment, which were primarily the result of a decline in forecasted sales;</w:t>
      </w:r>
    </w:p>
    <w:p>
      <w:pPr>
        <w:spacing w:after="0" w:line="9" w:lineRule="exact"/>
        <w:rPr>
          <w:rFonts w:ascii="Arial" w:cs="Arial" w:eastAsia="Arial" w:hAnsi="Arial"/>
          <w:sz w:val="20"/>
          <w:szCs w:val="20"/>
          <w:color w:val="231F20"/>
        </w:rPr>
      </w:pPr>
    </w:p>
    <w:p>
      <w:pPr>
        <w:ind w:left="380" w:right="320" w:hanging="374"/>
        <w:spacing w:after="0" w:line="257" w:lineRule="auto"/>
        <w:tabs>
          <w:tab w:leader="none" w:pos="380" w:val="left"/>
        </w:tabs>
        <w:numPr>
          <w:ilvl w:val="0"/>
          <w:numId w:val="13"/>
        </w:numPr>
        <w:rPr>
          <w:rFonts w:ascii="Arial" w:cs="Arial" w:eastAsia="Arial" w:hAnsi="Arial"/>
          <w:sz w:val="20"/>
          <w:szCs w:val="20"/>
          <w:color w:val="231F20"/>
        </w:rPr>
      </w:pPr>
      <w:r>
        <w:rPr>
          <w:rFonts w:ascii="Arial" w:cs="Arial" w:eastAsia="Arial" w:hAnsi="Arial"/>
          <w:sz w:val="20"/>
          <w:szCs w:val="20"/>
          <w:color w:val="231F20"/>
        </w:rPr>
        <w:t>the impact of foreign exchange primarily due to movement in the Canadian dollar, Mexican peso, British pound and Chinese yuan, which had an unfavorable impact compared to 2022 of approximately $24 million on net sales and of approximately $7.9 million on both operating income and net income; and</w:t>
      </w:r>
    </w:p>
    <w:p>
      <w:pPr>
        <w:spacing w:after="0" w:line="39" w:lineRule="exact"/>
        <w:rPr>
          <w:rFonts w:ascii="Arial" w:cs="Arial" w:eastAsia="Arial" w:hAnsi="Arial"/>
          <w:sz w:val="20"/>
          <w:szCs w:val="20"/>
          <w:color w:val="231F20"/>
        </w:rPr>
      </w:pPr>
    </w:p>
    <w:p>
      <w:pPr>
        <w:ind w:left="380" w:hanging="374"/>
        <w:spacing w:after="0"/>
        <w:tabs>
          <w:tab w:leader="none" w:pos="380" w:val="left"/>
        </w:tabs>
        <w:numPr>
          <w:ilvl w:val="0"/>
          <w:numId w:val="13"/>
        </w:numPr>
        <w:rPr>
          <w:rFonts w:ascii="Arial" w:cs="Arial" w:eastAsia="Arial" w:hAnsi="Arial"/>
          <w:sz w:val="20"/>
          <w:szCs w:val="20"/>
          <w:color w:val="231F20"/>
        </w:rPr>
      </w:pPr>
      <w:r>
        <w:rPr>
          <w:rFonts w:ascii="Arial" w:cs="Arial" w:eastAsia="Arial" w:hAnsi="Arial"/>
          <w:sz w:val="20"/>
          <w:szCs w:val="20"/>
          <w:color w:val="231F20"/>
        </w:rPr>
        <w:t>Transaction expenses related to the acquisition of the ASSA Businesses of $19.7 million.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231F20"/>
        </w:rPr>
        <w:t>In 2022, financial results included:</w:t>
      </w:r>
    </w:p>
    <w:p>
      <w:pPr>
        <w:spacing w:after="0" w:line="97" w:lineRule="exact"/>
        <w:rPr>
          <w:sz w:val="20"/>
          <w:szCs w:val="20"/>
          <w:color w:val="auto"/>
        </w:rPr>
      </w:pPr>
    </w:p>
    <w:p>
      <w:pPr>
        <w:ind w:left="380" w:right="160" w:hanging="374"/>
        <w:spacing w:after="0" w:line="257" w:lineRule="auto"/>
        <w:tabs>
          <w:tab w:leader="none" w:pos="38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restructuring and other charges of $26.8 million before tax ($19.6 million after tax), largely related to severance, asset impairment and other costs associated with plant closures and headcount actions across all segments, net of a gain on the sale of a previously closed manufacturing facility within our Outdoors segment of approximately $6 million; and</w:t>
      </w:r>
    </w:p>
    <w:p>
      <w:pPr>
        <w:spacing w:after="0" w:line="40" w:lineRule="exact"/>
        <w:rPr>
          <w:rFonts w:ascii="Arial" w:cs="Arial" w:eastAsia="Arial" w:hAnsi="Arial"/>
          <w:sz w:val="20"/>
          <w:szCs w:val="20"/>
          <w:color w:val="231F20"/>
        </w:rPr>
      </w:pPr>
    </w:p>
    <w:p>
      <w:pPr>
        <w:ind w:left="380" w:right="360" w:hanging="374"/>
        <w:spacing w:after="0" w:line="257" w:lineRule="auto"/>
        <w:tabs>
          <w:tab w:leader="none" w:pos="380" w:val="left"/>
        </w:tabs>
        <w:numPr>
          <w:ilvl w:val="0"/>
          <w:numId w:val="14"/>
        </w:numPr>
        <w:rPr>
          <w:rFonts w:ascii="Arial" w:cs="Arial" w:eastAsia="Arial" w:hAnsi="Arial"/>
          <w:sz w:val="20"/>
          <w:szCs w:val="20"/>
          <w:color w:val="231F20"/>
        </w:rPr>
      </w:pPr>
      <w:r>
        <w:rPr>
          <w:rFonts w:ascii="Arial" w:cs="Arial" w:eastAsia="Arial" w:hAnsi="Arial"/>
          <w:sz w:val="20"/>
          <w:szCs w:val="20"/>
          <w:color w:val="231F20"/>
        </w:rPr>
        <w:t>the impact of foreign exchange primarily due to movement in the Canadian dollar, Mexican peso, British pound and Chinese yuan, which had an unfavorable impact compared to 2021 of approximately $41 million on net sales and of approximately $12 million on both operating income and net income.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231F20"/>
        </w:rPr>
        <w:t>In 2021, financial results included:</w:t>
      </w:r>
    </w:p>
    <w:p>
      <w:pPr>
        <w:spacing w:after="0" w:line="97" w:lineRule="exact"/>
        <w:rPr>
          <w:sz w:val="20"/>
          <w:szCs w:val="20"/>
          <w:color w:val="auto"/>
        </w:rPr>
      </w:pPr>
    </w:p>
    <w:p>
      <w:pPr>
        <w:ind w:left="380" w:right="180" w:hanging="374"/>
        <w:spacing w:after="0" w:line="265" w:lineRule="auto"/>
        <w:tabs>
          <w:tab w:leader="none" w:pos="380" w:val="left"/>
        </w:tabs>
        <w:numPr>
          <w:ilvl w:val="0"/>
          <w:numId w:val="15"/>
        </w:numPr>
        <w:rPr>
          <w:rFonts w:ascii="Arial" w:cs="Arial" w:eastAsia="Arial" w:hAnsi="Arial"/>
          <w:sz w:val="20"/>
          <w:szCs w:val="20"/>
          <w:color w:val="231F20"/>
        </w:rPr>
      </w:pPr>
      <w:r>
        <w:rPr>
          <w:rFonts w:ascii="Arial" w:cs="Arial" w:eastAsia="Arial" w:hAnsi="Arial"/>
          <w:sz w:val="20"/>
          <w:szCs w:val="20"/>
          <w:color w:val="231F20"/>
        </w:rPr>
        <w:t>restructuring and other charges of $12.8 million before tax ($10.0 million after tax), largely related to severance costs associated with the relocation of manufacturing facilities within the Outdoors segment.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231F20"/>
        </w:rPr>
        <w:t>2023 Compared to 2022</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Total Fortune Brands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Net sales</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231F20"/>
        </w:rPr>
        <w:t>Net sales decreased by $96.8 million, or 2.0%, due to lower sales unit volume in the U.S. and lower sales in our international markets ($41.2 million) as well as unfavorable foreign exchange of approximately $24 million. These factors were partially offset by the benefit from the acquisitions of the ASSA Businesses in June 2023 and Aqualisa in July 2022 (approximately $247 million combined sales benefit in 2023) and favorable channel mix.</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Cost of products sold</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231F20"/>
        </w:rPr>
        <w:t>Cost of products sold decreased by $75.3 million, or 2.7%, due to lower sales volumes and productivity improvements in all of our segments. These factors were partially offset by the impact from the acquisitions of the ASSA Businesses in June 2023, including amortization of the inventory fair value adjustment ($12.4 million) and Aqualisa in July 2022, manufacturing inefficiencies related to lower sales unit volume across all of our businesses, costs associated with the planned closure of a manufacturing facility within our Security segment and the absence of the $6.2 million gain on sale of a previously closed manufacturing facility in our Outdoors segment in 2022.</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Selling, general and administrative expenses</w:t>
      </w:r>
    </w:p>
    <w:p>
      <w:pPr>
        <w:spacing w:after="0" w:line="177"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231F20"/>
        </w:rPr>
        <w:t>Selling, general and administrative expenses increased by $90.5 million, or 8.4%, due to the impact from the acquisition of the ASSA Businesses, including transaction related expenses of $19.7 million, and higher headcount-related costs across our segments. These factors were partially offset by savings associated with our 2022 corporate reorganization and restructuring activities and lower advertising and marketing costs.</w:t>
      </w:r>
    </w:p>
    <w:p>
      <w:pPr>
        <w:sectPr>
          <w:pgSz w:w="12240" w:h="15840" w:orient="portrait"/>
          <w:cols w:equalWidth="0" w:num="1">
            <w:col w:w="9460"/>
          </w:cols>
          <w:pgMar w:left="1380" w:top="1359"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26</w:t>
      </w:r>
    </w:p>
    <w:p>
      <w:pPr>
        <w:sectPr>
          <w:pgSz w:w="12240" w:h="15840" w:orient="portrait"/>
          <w:cols w:equalWidth="0" w:num="1">
            <w:col w:w="9460"/>
          </w:cols>
          <w:pgMar w:left="1380" w:top="1359" w:right="1400" w:bottom="95"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i w:val="1"/>
          <w:iCs w:val="1"/>
          <w:color w:val="231F20"/>
        </w:rPr>
        <w:t>Amortization of intangible assets</w:t>
      </w:r>
    </w:p>
    <w:p>
      <w:pPr>
        <w:spacing w:after="0" w:line="204"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color w:val="231F20"/>
        </w:rPr>
        <w:t>Amortization of intangible assets increased by $13.8 million, primarily due to the acquisition of the ASSA Businesses in June 2023 and Aqualisa in July 2022.</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Asset impairment charges</w:t>
      </w:r>
    </w:p>
    <w:p>
      <w:pPr>
        <w:spacing w:after="0" w:line="227" w:lineRule="exact"/>
        <w:rPr>
          <w:sz w:val="20"/>
          <w:szCs w:val="20"/>
          <w:color w:val="auto"/>
        </w:rPr>
      </w:pPr>
    </w:p>
    <w:p>
      <w:pPr>
        <w:ind w:right="320"/>
        <w:spacing w:after="0" w:line="287" w:lineRule="auto"/>
        <w:rPr>
          <w:sz w:val="20"/>
          <w:szCs w:val="20"/>
          <w:color w:val="auto"/>
        </w:rPr>
      </w:pPr>
      <w:r>
        <w:rPr>
          <w:rFonts w:ascii="Arial" w:cs="Arial" w:eastAsia="Arial" w:hAnsi="Arial"/>
          <w:sz w:val="20"/>
          <w:szCs w:val="20"/>
          <w:color w:val="231F20"/>
        </w:rPr>
        <w:t>Asset impairment charges of $33.5 million in 2023 related to two indefinite-lived tradenames within our Outdoors business.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Restructuring charges</w:t>
      </w:r>
    </w:p>
    <w:p>
      <w:pPr>
        <w:spacing w:after="0" w:line="177"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231F20"/>
        </w:rPr>
        <w:t>Restructuring charges of $32.5 million in 2023 are largely related to costs associated with the planned closure of a manufacturing facility within our Security segment and headcount actions across all segments. Restructuring charges of $32.4 million in 2022 were largely related to severance costs associated with the relocation of manufacturing facilities in the Outdoors segment and headcount actions across all segments.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Operating income</w:t>
      </w:r>
    </w:p>
    <w:p>
      <w:pPr>
        <w:spacing w:after="0" w:line="167"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231F20"/>
        </w:rPr>
        <w:t>Operating income decreased by $159.4 million, or 20.6%, primarily due to lower sales unit volume in the U.S., lower international sales ($41.2 million decrease), manufacturing inefficiencies related to lower sales unit volume, amortization of the inventory fair-value adjustment related to the acquisition of the ASSA Businesses ($12.4 million), higher restructuring and other costs associated with the planned closure of a manufacturing facility in our Security segment, higher headcount-related costs, as well as unfavorable foreign exchange of approximately $7.9 million. These factors were partially offset by the benefit from the acquisition of the ASSA Businesses, productivity improvements, savings associated with our 2022 corporate reorganization and restructuring activities and lower advertising and marketing costs.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Interest expense</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20"/>
          <w:szCs w:val="20"/>
          <w:color w:val="231F20"/>
        </w:rPr>
        <w:t>Interest expense decreased by $2.7 million, or 2.3%, due to lower interest expense incurred on floating rate debt, partially offset higher interest expense on fixed rate debt.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Other (income) expense, net</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20"/>
          <w:szCs w:val="20"/>
          <w:color w:val="231F20"/>
        </w:rPr>
        <w:t>Other (income) expense, net, was income of $19.5 million in 2023, compared to income of $12.0 million in 2022. The increase in other income, net is primarily due to an increase in interest income ($8.4 million increase) and foreign currency transaction income, partially offset by a decrease in defined benefit plan income.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Income taxes</w:t>
      </w:r>
    </w:p>
    <w:p>
      <w:pPr>
        <w:spacing w:after="0" w:line="177" w:lineRule="exact"/>
        <w:rPr>
          <w:sz w:val="20"/>
          <w:szCs w:val="20"/>
          <w:color w:val="auto"/>
        </w:rPr>
      </w:pPr>
    </w:p>
    <w:p>
      <w:pPr>
        <w:ind w:right="20"/>
        <w:spacing w:after="0" w:line="265" w:lineRule="auto"/>
        <w:rPr>
          <w:sz w:val="20"/>
          <w:szCs w:val="20"/>
          <w:color w:val="auto"/>
        </w:rPr>
      </w:pPr>
      <w:r>
        <w:rPr>
          <w:rFonts w:ascii="Arial" w:cs="Arial" w:eastAsia="Arial" w:hAnsi="Arial"/>
          <w:sz w:val="20"/>
          <w:szCs w:val="20"/>
          <w:color w:val="231F20"/>
        </w:rPr>
        <w:t>The 2023 effective income tax rate was unfavorably impacted by state and local income taxes and foreign income taxed at higher rates. This expense was offset by favorable benefits for the release of uncertain tax positions of statute of limitations lapses and federal tax credits.</w:t>
      </w:r>
    </w:p>
    <w:p>
      <w:pPr>
        <w:spacing w:after="0" w:line="118"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231F20"/>
        </w:rPr>
        <w:t>The 2022 effective income tax rate was unfavorably impacted by state and local income taxes, foreign income taxed at higher rates, as well as non-deductible executive compensation. This expense was offset by favorable benefits for the release of certain uncertain tax positions, primarily related to audit closures and statute of limitations lapses, share-based compensation, and a valuation allowance decrease.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Income from continuing operations, net of tax</w:t>
      </w:r>
    </w:p>
    <w:p>
      <w:pPr>
        <w:spacing w:after="0" w:line="177" w:lineRule="exact"/>
        <w:rPr>
          <w:sz w:val="20"/>
          <w:szCs w:val="20"/>
          <w:color w:val="auto"/>
        </w:rPr>
      </w:pPr>
    </w:p>
    <w:p>
      <w:pPr>
        <w:ind w:right="260"/>
        <w:spacing w:after="0" w:line="265" w:lineRule="auto"/>
        <w:rPr>
          <w:sz w:val="20"/>
          <w:szCs w:val="20"/>
          <w:color w:val="auto"/>
        </w:rPr>
      </w:pPr>
      <w:r>
        <w:rPr>
          <w:rFonts w:ascii="Arial" w:cs="Arial" w:eastAsia="Arial" w:hAnsi="Arial"/>
          <w:sz w:val="20"/>
          <w:szCs w:val="20"/>
          <w:color w:val="231F20"/>
        </w:rPr>
        <w:t>Income from continuing operations, net of income taxes, decreased by $134.4 million, or 24.9%, due to lower operating income, partly offset by lower income tax expense, lower interest expense and higher other income.</w:t>
      </w:r>
    </w:p>
    <w:p>
      <w:pPr>
        <w:sectPr>
          <w:pgSz w:w="12240" w:h="15840" w:orient="portrait"/>
          <w:cols w:equalWidth="0" w:num="1">
            <w:col w:w="9460"/>
          </w:cols>
          <w:pgMar w:left="1380" w:top="1354"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27</w:t>
      </w:r>
    </w:p>
    <w:p>
      <w:pPr>
        <w:sectPr>
          <w:pgSz w:w="12240" w:h="15840" w:orient="portrait"/>
          <w:cols w:equalWidth="0" w:num="1">
            <w:col w:w="9460"/>
          </w:cols>
          <w:pgMar w:left="1380" w:top="1354" w:right="1400" w:bottom="95"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i w:val="1"/>
          <w:iCs w:val="1"/>
          <w:color w:val="231F20"/>
        </w:rPr>
        <w:t>Income from discontinued operations, net of tax</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231F20"/>
        </w:rPr>
        <w:t>Income from discontinued operations, net of income taxes, for the year ended December 31, 2022 was $146.8 million and includes the results from operations of our former Cabinets segment. Refer to Note 5, Discontinued Operations, in the consolidated financial statements in Item 8 in this Annual Report on Form 10-K for additional details.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231F20"/>
        </w:rPr>
        <w:t>Results By Segment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Water</w:t>
      </w:r>
    </w:p>
    <w:p>
      <w:pPr>
        <w:spacing w:after="0" w:line="189"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231F20"/>
        </w:rPr>
        <w:t>Net sales decreased by $8.0 million, or 0.3%, due to lower organic sales unit volume in the U.S., lower international sales, higher customer sales incentives and unfavorable foreign exchange of approximately $24.4 million. These factors were partially offset by the benefit from the acquisition of the Emtek and Schaub Business in June 2023 and Aqualisa in July 2022 (approximately $166 million of combined sales benefit).</w:t>
      </w:r>
    </w:p>
    <w:p>
      <w:pPr>
        <w:spacing w:after="0" w:line="128" w:lineRule="exact"/>
        <w:rPr>
          <w:sz w:val="20"/>
          <w:szCs w:val="20"/>
          <w:color w:val="auto"/>
        </w:rPr>
      </w:pPr>
    </w:p>
    <w:p>
      <w:pPr>
        <w:ind w:right="360"/>
        <w:spacing w:after="0" w:line="251" w:lineRule="auto"/>
        <w:rPr>
          <w:sz w:val="20"/>
          <w:szCs w:val="20"/>
          <w:color w:val="auto"/>
        </w:rPr>
      </w:pPr>
      <w:r>
        <w:rPr>
          <w:rFonts w:ascii="Arial" w:cs="Arial" w:eastAsia="Arial" w:hAnsi="Arial"/>
          <w:sz w:val="20"/>
          <w:szCs w:val="20"/>
          <w:color w:val="231F20"/>
        </w:rPr>
        <w:t>Operating income decreased by $40.3 million, or 6.6%, due to lower net sales, costs associated with manufacturing inefficiencies related to the lower sales unit volume, the amortization of the Emtek and Schaub Business inventory fair value adjustment ($3.5 million) and unfavorable foreign exchange of approximately $5.8 million. These factors were partially offset by the benefit from the acquisition of the Emtek and Schaub Business and Aqualisa, productivity improvements and lower advertising and marketing costs.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Outdoors</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231F20"/>
        </w:rPr>
        <w:t>Net sales decreased by $176.3 million, or 11.6%, due to lower sales unit volume of our doors and decking products. These were partially offset by the benefit from changes in product mix and lower customer sales incentives.</w:t>
      </w:r>
    </w:p>
    <w:p>
      <w:pPr>
        <w:spacing w:after="0" w:line="118"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231F20"/>
        </w:rPr>
        <w:t>Operating income decreased by $60.7 million, or 31.3%, due to asset impairment charges related to two of our indefinite-lived tradenames ($33.5 million), lower net sales, the impact of costs associated with manufacturing inefficiencies related to lower sales unit volume, the absence of the 2022 gain of $6.2 million on the sale of a previously closed manufacturing facility and higher employee-related costs. These factors were partially offset by productivity improvements and cost savings resulting from the rationalization of certain of our production facilities during the second half of 2022.</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Security</w:t>
      </w:r>
    </w:p>
    <w:p>
      <w:pPr>
        <w:spacing w:after="0" w:line="189" w:lineRule="exact"/>
        <w:rPr>
          <w:sz w:val="20"/>
          <w:szCs w:val="20"/>
          <w:color w:val="auto"/>
        </w:rPr>
      </w:pPr>
    </w:p>
    <w:p>
      <w:pPr>
        <w:ind w:right="20"/>
        <w:spacing w:after="0" w:line="265" w:lineRule="auto"/>
        <w:rPr>
          <w:sz w:val="20"/>
          <w:szCs w:val="20"/>
          <w:color w:val="auto"/>
        </w:rPr>
      </w:pPr>
      <w:r>
        <w:rPr>
          <w:rFonts w:ascii="Arial" w:cs="Arial" w:eastAsia="Arial" w:hAnsi="Arial"/>
          <w:sz w:val="20"/>
          <w:szCs w:val="20"/>
          <w:color w:val="231F20"/>
        </w:rPr>
        <w:t>Net sales increased by $87.5 million, or 13.8%, due to the benefit from the acquisition of the Yale and August Business (approximately $81 million) and price increases to help mitigate the impact of cumulative commodity cost increases. These benefits were partially offset by lower sales unit volume.</w:t>
      </w:r>
    </w:p>
    <w:p>
      <w:pPr>
        <w:spacing w:after="0" w:line="118"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color w:val="231F20"/>
        </w:rPr>
        <w:t>Operating income decreased by $33.0 million, or 34.6%, due to restructuring costs and other charges associated with the planned closure of a manufacturing facility and the amortization of the Yale and August Business inventory fair value adjustment ($8.9 million), partially offset by higher net sales and manufacturing productivity improvements.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Corporate</w:t>
      </w:r>
    </w:p>
    <w:p>
      <w:pPr>
        <w:spacing w:after="0" w:line="189" w:lineRule="exact"/>
        <w:rPr>
          <w:sz w:val="20"/>
          <w:szCs w:val="20"/>
          <w:color w:val="auto"/>
        </w:rPr>
      </w:pPr>
    </w:p>
    <w:p>
      <w:pPr>
        <w:ind w:right="320"/>
        <w:spacing w:after="0" w:line="287" w:lineRule="auto"/>
        <w:rPr>
          <w:sz w:val="20"/>
          <w:szCs w:val="20"/>
          <w:color w:val="auto"/>
        </w:rPr>
      </w:pPr>
      <w:r>
        <w:rPr>
          <w:rFonts w:ascii="Arial" w:cs="Arial" w:eastAsia="Arial" w:hAnsi="Arial"/>
          <w:sz w:val="20"/>
          <w:szCs w:val="20"/>
          <w:color w:val="231F20"/>
        </w:rPr>
        <w:t>Corporate expenses increased by $25.4 million, or 19.6%, due to costs related to the acquisition of the ASSA Businesses in June 2023 and higher headcount-related costs.</w:t>
      </w:r>
    </w:p>
    <w:p>
      <w:pPr>
        <w:sectPr>
          <w:pgSz w:w="12240" w:h="15840" w:orient="portrait"/>
          <w:cols w:equalWidth="0" w:num="1">
            <w:col w:w="9480"/>
          </w:cols>
          <w:pgMar w:left="1380" w:top="1354"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28</w:t>
      </w:r>
    </w:p>
    <w:p>
      <w:pPr>
        <w:sectPr>
          <w:pgSz w:w="12240" w:h="15840" w:orient="portrait"/>
          <w:cols w:equalWidth="0" w:num="1">
            <w:col w:w="9480"/>
          </w:cols>
          <w:pgMar w:left="1380" w:top="1354" w:right="1380" w:bottom="95"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b w:val="1"/>
          <w:bCs w:val="1"/>
          <w:u w:val="single" w:color="auto"/>
          <w:color w:val="231F20"/>
        </w:rPr>
        <w:t>2022 Compared to 2021</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Total Fortune Brands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Net sales</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20"/>
          <w:szCs w:val="20"/>
          <w:color w:val="231F20"/>
        </w:rPr>
        <w:t>Net sales decreased by $78.1 million, or 1.6%, due to slowing housing market activity in China, lower sales unit volume in our Water segment due to the impact of inventory reductions by our distribution channel partners, lower sales demand in the U.S. and Canada and higher sales incentives, as well as unfavorable foreign exchange of approximately $41 million. These factors were partially offset by price increases to help mitigate the impact of cumulative commodity and transportation cost increases in all our segments and the benefit from the Solar and Aqualisa acquisitions ($50.2 million combined).</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Cost of products sold</w:t>
      </w:r>
    </w:p>
    <w:p>
      <w:pPr>
        <w:spacing w:after="0" w:line="177"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231F20"/>
        </w:rPr>
        <w:t>Cost of products sold decreased by $50.5 million, or 1.8%, due to lower sales volume, productivity improvements, a gain on the sale of a previously closed manufacturing facility within our Outdoors segment and the absence of Larson's 2021 acquisition-related inventory fair value adjustment amortization of $3.3 million, which did not recur in 2022. These benefits are partially offset by the impact of raw material cost increases, the impact of acquisitions and labor cost increases, as well as an unfavorable inventory-related expense write-off in our Outdoors segment.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Selling, general and administrative expenses</w:t>
      </w:r>
    </w:p>
    <w:p>
      <w:pPr>
        <w:spacing w:after="0" w:line="177" w:lineRule="exact"/>
        <w:rPr>
          <w:sz w:val="20"/>
          <w:szCs w:val="20"/>
          <w:color w:val="auto"/>
        </w:rPr>
      </w:pPr>
    </w:p>
    <w:p>
      <w:pPr>
        <w:ind w:right="40"/>
        <w:spacing w:after="0" w:line="265" w:lineRule="auto"/>
        <w:rPr>
          <w:sz w:val="20"/>
          <w:szCs w:val="20"/>
          <w:color w:val="auto"/>
        </w:rPr>
      </w:pPr>
      <w:r>
        <w:rPr>
          <w:rFonts w:ascii="Arial" w:cs="Arial" w:eastAsia="Arial" w:hAnsi="Arial"/>
          <w:sz w:val="20"/>
          <w:szCs w:val="20"/>
          <w:color w:val="231F20"/>
        </w:rPr>
        <w:t>Selling, general and administrative expenses decreased by $15.8 million, or 1.4%, due to lower net sales and lower advertising, marketing and headcount related costs. These factors were partially offset by higher transportation costs and the impact of acquisitions.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Restructuring charges</w:t>
      </w:r>
    </w:p>
    <w:p>
      <w:pPr>
        <w:spacing w:after="0" w:line="177"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color w:val="231F20"/>
        </w:rPr>
        <w:t>Restructuring charges of $32.4 million in 2022 are largely related to severance, asset impairment and other costs associated with plant closures and headcount actions primarily in the Water and Outdoors segments. Restructuring charges of $9.3 million in 2021 were largely related to severance costs associated with the relocation of manufacturing facilities within our Outdoors and Security segments.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Operating income</w:t>
      </w:r>
    </w:p>
    <w:p>
      <w:pPr>
        <w:spacing w:after="0" w:line="165" w:lineRule="exact"/>
        <w:rPr>
          <w:sz w:val="20"/>
          <w:szCs w:val="20"/>
          <w:color w:val="auto"/>
        </w:rPr>
      </w:pPr>
    </w:p>
    <w:p>
      <w:pPr>
        <w:spacing w:after="0" w:line="239" w:lineRule="auto"/>
        <w:rPr>
          <w:sz w:val="20"/>
          <w:szCs w:val="20"/>
          <w:color w:val="auto"/>
        </w:rPr>
      </w:pPr>
      <w:r>
        <w:rPr>
          <w:rFonts w:ascii="Arial" w:cs="Arial" w:eastAsia="Arial" w:hAnsi="Arial"/>
          <w:sz w:val="20"/>
          <w:szCs w:val="20"/>
          <w:color w:val="231F20"/>
        </w:rPr>
        <w:t>Operating income decreased by $36.8 million, or 4.5%, primarily due to lower net sales, higher commodity costs, separation and other transaction costs related to the Separation ($83 million in 2022, of which $73 million is presented within discontinued operations), and higher transportation, restructuring, sales rebate and headcount related costs, as well as unfavorable foreign exchange of approximately $12 million. These factors were partially offset by the benefit from productivity improvements, favorable geographic channel mix in the Water segment and lower advertising and marketing costs.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Interest expense</w:t>
      </w:r>
    </w:p>
    <w:p>
      <w:pPr>
        <w:spacing w:after="0" w:line="167" w:lineRule="exact"/>
        <w:rPr>
          <w:sz w:val="20"/>
          <w:szCs w:val="20"/>
          <w:color w:val="auto"/>
        </w:rPr>
      </w:pPr>
    </w:p>
    <w:p>
      <w:pPr>
        <w:ind w:right="280"/>
        <w:spacing w:after="0" w:line="275" w:lineRule="auto"/>
        <w:rPr>
          <w:sz w:val="20"/>
          <w:szCs w:val="20"/>
          <w:color w:val="auto"/>
        </w:rPr>
      </w:pPr>
      <w:r>
        <w:rPr>
          <w:rFonts w:ascii="Arial" w:cs="Arial" w:eastAsia="Arial" w:hAnsi="Arial"/>
          <w:sz w:val="20"/>
          <w:szCs w:val="20"/>
          <w:color w:val="231F20"/>
        </w:rPr>
        <w:t>Interest expense increased by $34.9 million, or 41.4%, due to higher average interest rates and higher average borrowings.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Other (income) expense, net</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231F20"/>
        </w:rPr>
        <w:t>Other (income) expense, net, was income of $12 million in 2022, compared to expense of $0.4 million in 2021. The increase in other income, net is primarily due to the absence of a non-cash loss of $4.5 million related to the 2021 remeasurement of our investment in Flo immediately prior to consolidation, higher defined benefit income ($3.7 million increase), higher interest income and favorable foreign currency adjustments.</w:t>
      </w:r>
    </w:p>
    <w:p>
      <w:pPr>
        <w:sectPr>
          <w:pgSz w:w="12240" w:h="15840" w:orient="portrait"/>
          <w:cols w:equalWidth="0" w:num="1">
            <w:col w:w="9420"/>
          </w:cols>
          <w:pgMar w:left="1380" w:top="1342" w:right="144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29</w:t>
      </w:r>
    </w:p>
    <w:p>
      <w:pPr>
        <w:sectPr>
          <w:pgSz w:w="12240" w:h="15840" w:orient="portrait"/>
          <w:cols w:equalWidth="0" w:num="1">
            <w:col w:w="9420"/>
          </w:cols>
          <w:pgMar w:left="1380" w:top="1342" w:right="1440" w:bottom="95"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i w:val="1"/>
          <w:iCs w:val="1"/>
          <w:color w:val="231F20"/>
        </w:rPr>
        <w:t>Income taxes</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231F20"/>
        </w:rPr>
        <w:t>The 2022 effective income tax rate was unfavorably impacted by state and local income taxes, foreign income taxed at higher rates, as well as non-deductible executive compensation. This expense was offset by favorable benefits for the release of uncertain tax positions, primarily related to audit closures and statute of limitations lapses, share-based compensation and a valuation allowance decrease.</w:t>
      </w:r>
    </w:p>
    <w:p>
      <w:pPr>
        <w:spacing w:after="0" w:line="128"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231F20"/>
        </w:rPr>
        <w:t>The 2021 effective income tax rate was unfavorably impacted by state and local income taxes, foreign income taxed at higher rates, as well as non-deductible executive compensation. The 2021 expense was offset by favorable benefits for the release of uncertain tax positions, primarily related to statute of limitations lapses, and share-based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Income from continuing operations, net of tax</w:t>
      </w:r>
    </w:p>
    <w:p>
      <w:pPr>
        <w:spacing w:after="0" w:line="177" w:lineRule="exact"/>
        <w:rPr>
          <w:sz w:val="20"/>
          <w:szCs w:val="20"/>
          <w:color w:val="auto"/>
        </w:rPr>
      </w:pPr>
    </w:p>
    <w:p>
      <w:pPr>
        <w:ind w:right="80"/>
        <w:spacing w:after="0" w:line="265" w:lineRule="auto"/>
        <w:rPr>
          <w:sz w:val="20"/>
          <w:szCs w:val="20"/>
          <w:color w:val="auto"/>
        </w:rPr>
      </w:pPr>
      <w:r>
        <w:rPr>
          <w:rFonts w:ascii="Arial" w:cs="Arial" w:eastAsia="Arial" w:hAnsi="Arial"/>
          <w:sz w:val="20"/>
          <w:szCs w:val="20"/>
          <w:color w:val="231F20"/>
        </w:rPr>
        <w:t>Income from continuing operations, net of income taxes, decreased by $19.8 million, or 3.5%, due to lower net sales, lower operating income and higher interest expense, partly offset by higher other income and lower tax expense.</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Income from discontinued operations, net of tax</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231F20"/>
        </w:rPr>
        <w:t>Income from discontinued operations, net of income taxes, for the year ended December 31, 2022</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231F20"/>
        </w:rPr>
        <w:t>included eleven and a half months of results of our former Cabinets segment. Income decreased by $65.9</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231F20"/>
        </w:rPr>
        <w:t>million, or 31.0%, due to lower operating income including transaction costs related to the Separation</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231F20"/>
        </w:rPr>
        <w:t>($73.1 million) and impairments related to two indefinite-lived tradenames ($46.4 million), higher income</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231F20"/>
        </w:rPr>
        <w:t>tax expense and higher defined benefit costs. Refer to Note 5, Discontinued Operations, in the</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231F20"/>
        </w:rPr>
        <w:t>consolidated financial statements in Item 8 in this Annual Report on Form 10-K for additional details.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231F20"/>
        </w:rPr>
        <w:t>Results By Segment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Water</w:t>
      </w:r>
    </w:p>
    <w:p>
      <w:pPr>
        <w:spacing w:after="0" w:line="189"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231F20"/>
        </w:rPr>
        <w:t>Net sales decreased by $191.0 million, or 6.9%, due primarily to slowing housing market activity in China, lower sales unit volume driven by inventory reductions by our distribution channel partners, lower sales demand in the U.S. and Canada, and higher promotion and sales rebate costs, as well as unfavorable foreign exchange of approximately $30 million. These factors were partially offset by the benefit from price increases to help mitigate the impact of cumulative commodity and transportation cost increases, the benefit from the Aqualisa acquisition ($22 million) and sales increases in our U.S. e-commerce channel.</w:t>
      </w:r>
    </w:p>
    <w:p>
      <w:pPr>
        <w:spacing w:after="0" w:line="373"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231F20"/>
        </w:rPr>
        <w:t>Operating income decreased by $15.1 million, or 2.4%, due primarily to lower net sales, the impact of higher commodity, freight and restructuring costs and unfavorable foreign exchange of approximately $11 million. These factors were partially offset by lower employee-related costs, lower advertising and marketing costs, and favorable geographic channel mix.</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Outdoors</w:t>
      </w:r>
    </w:p>
    <w:p>
      <w:pPr>
        <w:spacing w:after="0" w:line="189"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231F20"/>
        </w:rPr>
        <w:t>Net sales increased by $100.9 million, or 7.1%, due primarily to price increases to help mitigate the impact of cumulative commodity and transportation cost increases and the benefit from the Solar acquisition ($28.5 million). These benefits were partially offset by lower sales demand for our exterior doors and decking products and lower sales unit volume due to the impact of inventory reductions by our distribution channel partners.</w:t>
      </w:r>
    </w:p>
    <w:p>
      <w:pPr>
        <w:spacing w:after="0" w:line="128" w:lineRule="exact"/>
        <w:rPr>
          <w:sz w:val="20"/>
          <w:szCs w:val="20"/>
          <w:color w:val="auto"/>
        </w:rPr>
      </w:pPr>
    </w:p>
    <w:p>
      <w:pPr>
        <w:jc w:val="both"/>
        <w:ind w:right="200"/>
        <w:spacing w:after="0" w:line="265" w:lineRule="auto"/>
        <w:rPr>
          <w:sz w:val="20"/>
          <w:szCs w:val="20"/>
          <w:color w:val="auto"/>
        </w:rPr>
      </w:pPr>
      <w:r>
        <w:rPr>
          <w:rFonts w:ascii="Arial" w:cs="Arial" w:eastAsia="Arial" w:hAnsi="Arial"/>
          <w:sz w:val="20"/>
          <w:szCs w:val="20"/>
          <w:color w:val="231F20"/>
        </w:rPr>
        <w:t>Operating income decreased by $11.1 million, or 5.4%, due primarily to commodity cost inflation, higher employee related and freight costs, and higher restructuring charges. These factors were partially offset by higher net sales and productivity improvements.</w:t>
      </w:r>
    </w:p>
    <w:p>
      <w:pPr>
        <w:sectPr>
          <w:pgSz w:w="12240" w:h="15840" w:orient="portrait"/>
          <w:cols w:equalWidth="0" w:num="1">
            <w:col w:w="9460"/>
          </w:cols>
          <w:pgMar w:left="1380" w:top="1354"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30</w:t>
      </w:r>
    </w:p>
    <w:p>
      <w:pPr>
        <w:sectPr>
          <w:pgSz w:w="12240" w:h="15840" w:orient="portrait"/>
          <w:cols w:equalWidth="0" w:num="1">
            <w:col w:w="9460"/>
          </w:cols>
          <w:pgMar w:left="1380" w:top="1354" w:right="1400" w:bottom="95"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color w:val="231F20"/>
        </w:rPr>
        <w:t>Security</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20"/>
          <w:szCs w:val="20"/>
          <w:color w:val="231F20"/>
        </w:rPr>
        <w:t>Net sales increased by $12.0 million, or 1.9%, due primarily to price increases to help mitigate the impact of cumulative commodity and transportation cost increases, partially offset by lower sales unit volume due to the impact of inventory reductions by our distribution channel partners, as well as unfavorable foreign exchange of approximately $11 million.</w:t>
      </w:r>
    </w:p>
    <w:p>
      <w:pPr>
        <w:spacing w:after="0" w:line="128" w:lineRule="exact"/>
        <w:rPr>
          <w:sz w:val="20"/>
          <w:szCs w:val="20"/>
          <w:color w:val="auto"/>
        </w:rPr>
      </w:pPr>
    </w:p>
    <w:p>
      <w:pPr>
        <w:jc w:val="both"/>
        <w:ind w:right="160"/>
        <w:spacing w:after="0" w:line="265" w:lineRule="auto"/>
        <w:rPr>
          <w:sz w:val="20"/>
          <w:szCs w:val="20"/>
          <w:color w:val="auto"/>
        </w:rPr>
      </w:pPr>
      <w:r>
        <w:rPr>
          <w:rFonts w:ascii="Arial" w:cs="Arial" w:eastAsia="Arial" w:hAnsi="Arial"/>
          <w:sz w:val="20"/>
          <w:szCs w:val="20"/>
          <w:color w:val="231F20"/>
        </w:rPr>
        <w:t>Operating income increased by $8.8 million, or 10.2%, due primarily to higher net sales and productivity improvements. These benefits were partially offset by commodity cost inflation, higher employee related and freight costs.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Corporate</w:t>
      </w:r>
    </w:p>
    <w:p>
      <w:pPr>
        <w:spacing w:after="0" w:line="189" w:lineRule="exact"/>
        <w:rPr>
          <w:sz w:val="20"/>
          <w:szCs w:val="20"/>
          <w:color w:val="auto"/>
        </w:rPr>
      </w:pPr>
    </w:p>
    <w:p>
      <w:pPr>
        <w:ind w:right="220"/>
        <w:spacing w:after="0" w:line="287" w:lineRule="auto"/>
        <w:rPr>
          <w:sz w:val="20"/>
          <w:szCs w:val="20"/>
          <w:color w:val="auto"/>
        </w:rPr>
      </w:pPr>
      <w:r>
        <w:rPr>
          <w:rFonts w:ascii="Arial" w:cs="Arial" w:eastAsia="Arial" w:hAnsi="Arial"/>
          <w:sz w:val="20"/>
          <w:szCs w:val="20"/>
          <w:color w:val="231F20"/>
        </w:rPr>
        <w:t>Corporate expenses increased by $19.4 million, or 17.3%, due to higher consulting costs relating to our digital transformation initiatives.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Liquidity and Capital Resources</w:t>
      </w:r>
    </w:p>
    <w:p>
      <w:pPr>
        <w:spacing w:after="0" w:line="189"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231F20"/>
        </w:rPr>
        <w:t>Our principal sources of liquidity are cash on hand, cash flows from operating activities, cash borrowed under our credit facility and cash from debt issuances in the capital markets. On December 14, 2022, in connection with the completion of the Separation, we also received a one-time cash payment, in the form of a dividend, from MasterBrand in the amount of $940.0 million. Our operating income is generated by our subsidiary businesses. We believe our operating cash flows, including funds available under the credit facility and access to capital markets, provide sufficient liquidity to support the Company’s working capital requirements, capital expenditures, other contractual commitments and service of indebtedness, as well as to finance acquisitions, repurchase shares of our common stock and pay dividends to stockholders, as the Board of Directors deems appropriate, both for the 12-month period following the 2023 fiscal year, and in the long-term.</w:t>
      </w:r>
    </w:p>
    <w:p>
      <w:pPr>
        <w:spacing w:after="0" w:line="141"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231F20"/>
        </w:rPr>
        <w:t>Our cash flows from operations, borrowing availability and overall liquidity are subject to certain risks and uncertainties, including those described in the section entitled “Item 1A. Risk Factors.” In addition, we cannot predict whether or when we may enter into acquisitions, joint ventures or dispositions, repurchase shares of our common stock under our share repurchase program or pay dividends, or what impact any such transactions could have on our results of operations, cash flows or financial condition, whether as a result of the issuance of debt or equity securities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Long-Term Debt</w:t>
      </w:r>
    </w:p>
    <w:p>
      <w:pPr>
        <w:spacing w:after="0" w:line="227" w:lineRule="exact"/>
        <w:rPr>
          <w:sz w:val="20"/>
          <w:szCs w:val="20"/>
          <w:color w:val="auto"/>
        </w:rPr>
      </w:pPr>
    </w:p>
    <w:p>
      <w:pPr>
        <w:ind w:right="920"/>
        <w:spacing w:after="0" w:line="287" w:lineRule="auto"/>
        <w:rPr>
          <w:sz w:val="20"/>
          <w:szCs w:val="20"/>
          <w:color w:val="auto"/>
        </w:rPr>
      </w:pPr>
      <w:r>
        <w:rPr>
          <w:rFonts w:ascii="Arial" w:cs="Arial" w:eastAsia="Arial" w:hAnsi="Arial"/>
          <w:sz w:val="20"/>
          <w:szCs w:val="20"/>
          <w:color w:val="231F20"/>
        </w:rPr>
        <w:t>In September 2023, we repaid all $600 million in aggregate principal of our 2023 4.000% senior unsecured notes at their maturity date in September 2023 using cash on hand.</w:t>
      </w:r>
    </w:p>
    <w:p>
      <w:pPr>
        <w:spacing w:after="0" w:line="148"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231F20"/>
        </w:rPr>
        <w:t>In June 2023, the Company issued $600 million in aggregate principal 5.875% senior unsecured notes maturing in 2033 in a registered public offering. The Company used the net proceeds from the notes offering to redeem its 2023 4.000% senior unsecured notes that matured in September 2023 and for general corporate purposes.</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231F20"/>
        </w:rPr>
        <w:t>In March 2022, the Company issued $900 million in aggregate principal amount of senior unsecured notes in a registered public offering consisting of $450 million of 4.00% senior unsecured notes maturing in 2032 and $450 million of 4.50% senior unsecured notes maturing in 2052 (together, the “2022 Notes”). The Company used the net proceeds from the 2022 Notes offering to redeem a portion of the outstanding balance on the 2021 Term Loan (as defined below).</w:t>
      </w:r>
    </w:p>
    <w:p>
      <w:pPr>
        <w:sectPr>
          <w:pgSz w:w="12240" w:h="15840" w:orient="portrait"/>
          <w:cols w:equalWidth="0" w:num="1">
            <w:col w:w="9440"/>
          </w:cols>
          <w:pgMar w:left="1380" w:top="1342"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31</w:t>
      </w:r>
    </w:p>
    <w:p>
      <w:pPr>
        <w:sectPr>
          <w:pgSz w:w="12240" w:h="15840" w:orient="portrait"/>
          <w:cols w:equalWidth="0" w:num="1">
            <w:col w:w="9440"/>
          </w:cols>
          <w:pgMar w:left="1380" w:top="1342" w:right="1420" w:bottom="95" w:gutter="0" w:footer="0" w:header="0"/>
          <w:type w:val="continuous"/>
        </w:sectPr>
      </w:pPr>
    </w:p>
    <w:bookmarkStart w:id="39" w:name="page40"/>
    <w:bookmarkEnd w:id="39"/>
    <w:p>
      <w:pPr>
        <w:spacing w:after="0" w:line="231" w:lineRule="auto"/>
        <w:rPr>
          <w:sz w:val="20"/>
          <w:szCs w:val="20"/>
          <w:color w:val="auto"/>
        </w:rPr>
      </w:pPr>
      <w:r>
        <w:rPr>
          <w:rFonts w:ascii="Arial" w:cs="Arial" w:eastAsia="Arial" w:hAnsi="Arial"/>
          <w:sz w:val="20"/>
          <w:szCs w:val="20"/>
          <w:color w:val="231F20"/>
        </w:rPr>
        <w:t>At December 30, 2023, the Company had aggregate outstanding notes in the principal amount of $2.7 billion, with varying maturities (the “Notes”). The Notes are unsecured senior obligations of the Company. The following table provides a summary of the Company’s outstanding Notes, including the carrying value of the Notes, net of underwriting commissions, price discounts and debt issuance costs as of December 30, 2023 and December 31, 2022:</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5"/>
                <w:szCs w:val="15"/>
                <w:i w:val="1"/>
                <w:iCs w:val="1"/>
                <w:color w:val="231F20"/>
              </w:rPr>
              <w:t>(in millions)</w:t>
            </w:r>
          </w:p>
        </w:tc>
        <w:tc>
          <w:tcPr>
            <w:tcW w:w="820" w:type="dxa"/>
            <w:vAlign w:val="bottom"/>
            <w:vMerge w:val="restart"/>
          </w:tcPr>
          <w:p>
            <w:pPr>
              <w:jc w:val="right"/>
              <w:ind w:right="64"/>
              <w:spacing w:after="0"/>
              <w:rPr>
                <w:sz w:val="20"/>
                <w:szCs w:val="20"/>
                <w:color w:val="auto"/>
              </w:rPr>
            </w:pPr>
            <w:r>
              <w:rPr>
                <w:rFonts w:ascii="Arial" w:cs="Arial" w:eastAsia="Arial" w:hAnsi="Arial"/>
                <w:sz w:val="16"/>
                <w:szCs w:val="16"/>
                <w:color w:val="231F20"/>
              </w:rPr>
              <w:t>Principal</w:t>
            </w: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2240" w:type="dxa"/>
            <w:vAlign w:val="bottom"/>
            <w:tcBorders>
              <w:bottom w:val="single" w:sz="8" w:color="231F20"/>
            </w:tcBorders>
            <w:gridSpan w:val="5"/>
          </w:tcPr>
          <w:p>
            <w:pPr>
              <w:ind w:left="300"/>
              <w:spacing w:after="0"/>
              <w:rPr>
                <w:sz w:val="20"/>
                <w:szCs w:val="20"/>
                <w:color w:val="auto"/>
              </w:rPr>
            </w:pPr>
            <w:r>
              <w:rPr>
                <w:rFonts w:ascii="Arial" w:cs="Arial" w:eastAsia="Arial" w:hAnsi="Arial"/>
                <w:sz w:val="16"/>
                <w:szCs w:val="16"/>
                <w:color w:val="231F20"/>
              </w:rPr>
              <w:t>Net Carrying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vMerge w:val="restart"/>
          </w:tcPr>
          <w:p>
            <w:pPr>
              <w:ind w:left="580"/>
              <w:spacing w:after="0"/>
              <w:rPr>
                <w:sz w:val="20"/>
                <w:szCs w:val="20"/>
                <w:color w:val="auto"/>
              </w:rPr>
            </w:pPr>
            <w:r>
              <w:rPr>
                <w:rFonts w:ascii="Arial" w:cs="Arial" w:eastAsia="Arial" w:hAnsi="Arial"/>
                <w:sz w:val="16"/>
                <w:szCs w:val="16"/>
                <w:color w:val="231F20"/>
              </w:rPr>
              <w:t>Coupon Rate</w:t>
            </w: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231F20"/>
                <w:w w:val="99"/>
              </w:rPr>
              <w:t>Issuance Date</w:t>
            </w:r>
          </w:p>
        </w:tc>
        <w:tc>
          <w:tcPr>
            <w:tcW w:w="10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color w:val="231F20"/>
              </w:rPr>
              <w:t>Maturity Date</w:t>
            </w:r>
          </w:p>
        </w:tc>
        <w:tc>
          <w:tcPr>
            <w:tcW w:w="100" w:type="dxa"/>
            <w:vAlign w:val="bottom"/>
          </w:tcPr>
          <w:p>
            <w:pPr>
              <w:spacing w:after="0"/>
              <w:rPr>
                <w:sz w:val="14"/>
                <w:szCs w:val="14"/>
                <w:color w:val="auto"/>
              </w:rPr>
            </w:pPr>
          </w:p>
        </w:tc>
        <w:tc>
          <w:tcPr>
            <w:tcW w:w="1160" w:type="dxa"/>
            <w:vAlign w:val="bottom"/>
            <w:gridSpan w:val="2"/>
          </w:tcPr>
          <w:p>
            <w:pPr>
              <w:jc w:val="right"/>
              <w:spacing w:after="0" w:line="161" w:lineRule="exact"/>
              <w:rPr>
                <w:sz w:val="20"/>
                <w:szCs w:val="20"/>
                <w:color w:val="auto"/>
              </w:rPr>
            </w:pPr>
            <w:r>
              <w:rPr>
                <w:rFonts w:ascii="Arial" w:cs="Arial" w:eastAsia="Arial" w:hAnsi="Arial"/>
                <w:sz w:val="16"/>
                <w:szCs w:val="16"/>
                <w:color w:val="231F20"/>
              </w:rPr>
              <w:t>December 30,</w:t>
            </w:r>
          </w:p>
        </w:tc>
        <w:tc>
          <w:tcPr>
            <w:tcW w:w="180" w:type="dxa"/>
            <w:vAlign w:val="bottom"/>
          </w:tcPr>
          <w:p>
            <w:pPr>
              <w:spacing w:after="0"/>
              <w:rPr>
                <w:sz w:val="14"/>
                <w:szCs w:val="14"/>
                <w:color w:val="auto"/>
              </w:rPr>
            </w:pPr>
          </w:p>
        </w:tc>
        <w:tc>
          <w:tcPr>
            <w:tcW w:w="1160" w:type="dxa"/>
            <w:vAlign w:val="bottom"/>
            <w:gridSpan w:val="3"/>
          </w:tcPr>
          <w:p>
            <w:pPr>
              <w:ind w:left="60"/>
              <w:spacing w:after="0" w:line="161" w:lineRule="exact"/>
              <w:rPr>
                <w:sz w:val="20"/>
                <w:szCs w:val="20"/>
                <w:color w:val="auto"/>
              </w:rPr>
            </w:pPr>
            <w:r>
              <w:rPr>
                <w:rFonts w:ascii="Arial" w:cs="Arial" w:eastAsia="Arial" w:hAnsi="Arial"/>
                <w:sz w:val="16"/>
                <w:szCs w:val="16"/>
                <w:color w:val="231F20"/>
              </w:rPr>
              <w:t>December 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820" w:type="dxa"/>
            <w:vAlign w:val="bottom"/>
            <w:vMerge w:val="restart"/>
          </w:tcPr>
          <w:p>
            <w:pPr>
              <w:jc w:val="right"/>
              <w:ind w:right="104"/>
              <w:spacing w:after="0"/>
              <w:rPr>
                <w:sz w:val="20"/>
                <w:szCs w:val="20"/>
                <w:color w:val="auto"/>
              </w:rPr>
            </w:pPr>
            <w:r>
              <w:rPr>
                <w:rFonts w:ascii="Arial" w:cs="Arial" w:eastAsia="Arial" w:hAnsi="Arial"/>
                <w:sz w:val="16"/>
                <w:szCs w:val="16"/>
                <w:color w:val="231F20"/>
              </w:rPr>
              <w:t>Amount</w:t>
            </w:r>
          </w:p>
        </w:tc>
        <w:tc>
          <w:tcPr>
            <w:tcW w:w="1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303"/>
              <w:spacing w:after="0"/>
              <w:rPr>
                <w:sz w:val="20"/>
                <w:szCs w:val="20"/>
                <w:color w:val="auto"/>
              </w:rPr>
            </w:pPr>
            <w:r>
              <w:rPr>
                <w:rFonts w:ascii="Arial" w:cs="Arial" w:eastAsia="Arial" w:hAnsi="Arial"/>
                <w:sz w:val="16"/>
                <w:szCs w:val="16"/>
                <w:color w:val="231F20"/>
              </w:rPr>
              <w:t>2023</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281"/>
              <w:spacing w:after="0"/>
              <w:rPr>
                <w:sz w:val="20"/>
                <w:szCs w:val="20"/>
                <w:color w:val="auto"/>
              </w:rPr>
            </w:pPr>
            <w:r>
              <w:rPr>
                <w:rFonts w:ascii="Arial" w:cs="Arial" w:eastAsia="Arial" w:hAnsi="Arial"/>
                <w:sz w:val="16"/>
                <w:szCs w:val="16"/>
                <w:color w:val="231F20"/>
              </w:rPr>
              <w:t>2022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280" w:type="dxa"/>
            <w:vAlign w:val="bottom"/>
            <w:tcBorders>
              <w:bottom w:val="single" w:sz="8" w:color="231F20"/>
            </w:tcBorders>
          </w:tcPr>
          <w:p>
            <w:pPr>
              <w:spacing w:after="0"/>
              <w:rPr>
                <w:sz w:val="6"/>
                <w:szCs w:val="6"/>
                <w:color w:val="auto"/>
              </w:rPr>
            </w:pPr>
          </w:p>
        </w:tc>
        <w:tc>
          <w:tcPr>
            <w:tcW w:w="820" w:type="dxa"/>
            <w:vAlign w:val="bottom"/>
            <w:tcBorders>
              <w:bottom w:val="single" w:sz="8" w:color="231F20"/>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1700" w:type="dxa"/>
            <w:vAlign w:val="bottom"/>
            <w:tcBorders>
              <w:bottom w:val="single" w:sz="8" w:color="231F20"/>
            </w:tcBorders>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tcBorders>
              <w:bottom w:val="single" w:sz="8" w:color="231F20"/>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Borders>
              <w:bottom w:val="single" w:sz="8" w:color="231F20"/>
            </w:tcBorders>
          </w:tcPr>
          <w:p>
            <w:pPr>
              <w:spacing w:after="0"/>
              <w:rPr>
                <w:sz w:val="6"/>
                <w:szCs w:val="6"/>
                <w:color w:val="auto"/>
              </w:rPr>
            </w:pPr>
          </w:p>
        </w:tc>
        <w:tc>
          <w:tcPr>
            <w:tcW w:w="880" w:type="dxa"/>
            <w:vAlign w:val="bottom"/>
            <w:tcBorders>
              <w:bottom w:val="single" w:sz="8" w:color="231F20"/>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2" w:lineRule="exact"/>
              <w:rPr>
                <w:sz w:val="20"/>
                <w:szCs w:val="20"/>
                <w:color w:val="auto"/>
              </w:rPr>
            </w:pPr>
            <w:r>
              <w:rPr>
                <w:rFonts w:ascii="Arial" w:cs="Arial" w:eastAsia="Arial" w:hAnsi="Arial"/>
                <w:sz w:val="20"/>
                <w:szCs w:val="20"/>
                <w:color w:val="231F20"/>
              </w:rPr>
              <w:t>4.000%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820" w:type="dxa"/>
            <w:vAlign w:val="bottom"/>
          </w:tcPr>
          <w:p>
            <w:pPr>
              <w:jc w:val="right"/>
              <w:spacing w:after="0" w:line="203" w:lineRule="exact"/>
              <w:rPr>
                <w:sz w:val="20"/>
                <w:szCs w:val="20"/>
                <w:color w:val="auto"/>
              </w:rPr>
            </w:pPr>
            <w:r>
              <w:rPr>
                <w:rFonts w:ascii="Arial" w:cs="Arial" w:eastAsia="Arial" w:hAnsi="Arial"/>
                <w:sz w:val="20"/>
                <w:szCs w:val="20"/>
                <w:color w:val="231F20"/>
              </w:rPr>
              <w:t>500.0</w:t>
            </w:r>
          </w:p>
        </w:tc>
        <w:tc>
          <w:tcPr>
            <w:tcW w:w="180" w:type="dxa"/>
            <w:vAlign w:val="bottom"/>
          </w:tcPr>
          <w:p>
            <w:pPr>
              <w:spacing w:after="0"/>
              <w:rPr>
                <w:sz w:val="17"/>
                <w:szCs w:val="17"/>
                <w:color w:val="auto"/>
              </w:rPr>
            </w:pPr>
          </w:p>
        </w:tc>
        <w:tc>
          <w:tcPr>
            <w:tcW w:w="1700" w:type="dxa"/>
            <w:vAlign w:val="bottom"/>
          </w:tcPr>
          <w:p>
            <w:pPr>
              <w:jc w:val="center"/>
              <w:spacing w:after="0" w:line="203" w:lineRule="exact"/>
              <w:rPr>
                <w:sz w:val="20"/>
                <w:szCs w:val="20"/>
                <w:color w:val="auto"/>
              </w:rPr>
            </w:pPr>
            <w:r>
              <w:rPr>
                <w:rFonts w:ascii="Arial" w:cs="Arial" w:eastAsia="Arial" w:hAnsi="Arial"/>
                <w:sz w:val="20"/>
                <w:szCs w:val="20"/>
                <w:color w:val="231F20"/>
              </w:rPr>
              <w:t>June 2015</w:t>
            </w:r>
          </w:p>
        </w:tc>
        <w:tc>
          <w:tcPr>
            <w:tcW w:w="100" w:type="dxa"/>
            <w:vAlign w:val="bottom"/>
          </w:tcPr>
          <w:p>
            <w:pPr>
              <w:spacing w:after="0"/>
              <w:rPr>
                <w:sz w:val="17"/>
                <w:szCs w:val="17"/>
                <w:color w:val="auto"/>
              </w:rPr>
            </w:pPr>
          </w:p>
        </w:tc>
        <w:tc>
          <w:tcPr>
            <w:tcW w:w="1660" w:type="dxa"/>
            <w:vAlign w:val="bottom"/>
          </w:tcPr>
          <w:p>
            <w:pPr>
              <w:jc w:val="center"/>
              <w:spacing w:after="0" w:line="203" w:lineRule="exact"/>
              <w:rPr>
                <w:sz w:val="20"/>
                <w:szCs w:val="20"/>
                <w:color w:val="auto"/>
              </w:rPr>
            </w:pPr>
            <w:r>
              <w:rPr>
                <w:rFonts w:ascii="Arial" w:cs="Arial" w:eastAsia="Arial" w:hAnsi="Arial"/>
                <w:sz w:val="20"/>
                <w:szCs w:val="20"/>
                <w:color w:val="231F20"/>
              </w:rPr>
              <w:t>June 2025</w:t>
            </w:r>
          </w:p>
        </w:tc>
        <w:tc>
          <w:tcPr>
            <w:tcW w:w="100" w:type="dxa"/>
            <w:vAlign w:val="bottom"/>
          </w:tcPr>
          <w:p>
            <w:pPr>
              <w:spacing w:after="0"/>
              <w:rPr>
                <w:sz w:val="17"/>
                <w:szCs w:val="17"/>
                <w:color w:val="auto"/>
              </w:rPr>
            </w:pPr>
          </w:p>
        </w:tc>
        <w:tc>
          <w:tcPr>
            <w:tcW w:w="260" w:type="dxa"/>
            <w:vAlign w:val="bottom"/>
          </w:tcPr>
          <w:p>
            <w:pPr>
              <w:jc w:val="right"/>
              <w:ind w:right="46"/>
              <w:spacing w:after="0" w:line="203" w:lineRule="exact"/>
              <w:rPr>
                <w:sz w:val="20"/>
                <w:szCs w:val="20"/>
                <w:color w:val="auto"/>
              </w:rPr>
            </w:pPr>
            <w:r>
              <w:rPr>
                <w:rFonts w:ascii="Arial" w:cs="Arial" w:eastAsia="Arial" w:hAnsi="Arial"/>
                <w:sz w:val="20"/>
                <w:szCs w:val="20"/>
                <w:color w:val="231F20"/>
                <w:w w:val="89"/>
              </w:rPr>
              <w:t>$</w:t>
            </w:r>
          </w:p>
        </w:tc>
        <w:tc>
          <w:tcPr>
            <w:tcW w:w="900" w:type="dxa"/>
            <w:vAlign w:val="bottom"/>
          </w:tcPr>
          <w:p>
            <w:pPr>
              <w:jc w:val="right"/>
              <w:spacing w:after="0" w:line="203" w:lineRule="exact"/>
              <w:rPr>
                <w:sz w:val="20"/>
                <w:szCs w:val="20"/>
                <w:color w:val="auto"/>
              </w:rPr>
            </w:pPr>
            <w:r>
              <w:rPr>
                <w:rFonts w:ascii="Arial" w:cs="Arial" w:eastAsia="Arial" w:hAnsi="Arial"/>
                <w:sz w:val="20"/>
                <w:szCs w:val="20"/>
                <w:color w:val="231F20"/>
              </w:rPr>
              <w:t>498.9</w:t>
            </w:r>
          </w:p>
        </w:tc>
        <w:tc>
          <w:tcPr>
            <w:tcW w:w="180" w:type="dxa"/>
            <w:vAlign w:val="bottom"/>
          </w:tcPr>
          <w:p>
            <w:pPr>
              <w:spacing w:after="0"/>
              <w:rPr>
                <w:sz w:val="17"/>
                <w:szCs w:val="17"/>
                <w:color w:val="auto"/>
              </w:rPr>
            </w:pPr>
          </w:p>
        </w:tc>
        <w:tc>
          <w:tcPr>
            <w:tcW w:w="260" w:type="dxa"/>
            <w:vAlign w:val="bottom"/>
          </w:tcPr>
          <w:p>
            <w:pPr>
              <w:jc w:val="right"/>
              <w:ind w:right="46"/>
              <w:spacing w:after="0" w:line="203" w:lineRule="exact"/>
              <w:rPr>
                <w:sz w:val="20"/>
                <w:szCs w:val="20"/>
                <w:color w:val="auto"/>
              </w:rPr>
            </w:pPr>
            <w:r>
              <w:rPr>
                <w:rFonts w:ascii="Arial" w:cs="Arial" w:eastAsia="Arial" w:hAnsi="Arial"/>
                <w:sz w:val="20"/>
                <w:szCs w:val="20"/>
                <w:color w:val="231F20"/>
                <w:w w:val="89"/>
              </w:rPr>
              <w:t>$</w:t>
            </w:r>
          </w:p>
        </w:tc>
        <w:tc>
          <w:tcPr>
            <w:tcW w:w="880" w:type="dxa"/>
            <w:vAlign w:val="bottom"/>
          </w:tcPr>
          <w:p>
            <w:pPr>
              <w:jc w:val="right"/>
              <w:spacing w:after="0" w:line="203" w:lineRule="exact"/>
              <w:rPr>
                <w:sz w:val="20"/>
                <w:szCs w:val="20"/>
                <w:color w:val="auto"/>
              </w:rPr>
            </w:pPr>
            <w:r>
              <w:rPr>
                <w:rFonts w:ascii="Arial" w:cs="Arial" w:eastAsia="Arial" w:hAnsi="Arial"/>
                <w:sz w:val="20"/>
                <w:szCs w:val="20"/>
                <w:color w:val="231F20"/>
              </w:rPr>
              <w:t>498.1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20"/>
                <w:szCs w:val="20"/>
                <w:color w:val="231F20"/>
              </w:rPr>
              <w:t>4.000%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600.0</w:t>
            </w:r>
          </w:p>
        </w:tc>
        <w:tc>
          <w:tcPr>
            <w:tcW w:w="1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231F20"/>
              </w:rPr>
              <w:t>September 2018</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231F20"/>
              </w:rPr>
              <w:t>September 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599.2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20"/>
                <w:szCs w:val="20"/>
                <w:color w:val="231F20"/>
              </w:rPr>
              <w:t>3.250%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700.0</w:t>
            </w:r>
          </w:p>
        </w:tc>
        <w:tc>
          <w:tcPr>
            <w:tcW w:w="1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231F20"/>
              </w:rPr>
              <w:t>September 2019</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231F20"/>
              </w:rPr>
              <w:t>September 2029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695.7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695.0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20"/>
                <w:szCs w:val="20"/>
                <w:color w:val="231F20"/>
              </w:rPr>
              <w:t>4.000%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450.0</w:t>
            </w:r>
          </w:p>
        </w:tc>
        <w:tc>
          <w:tcPr>
            <w:tcW w:w="1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231F20"/>
              </w:rPr>
              <w:t>March 2022</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231F20"/>
              </w:rPr>
              <w:t>March 2032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446.2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445.8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20"/>
                <w:szCs w:val="20"/>
                <w:color w:val="231F20"/>
              </w:rPr>
              <w:t>4.500%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450.0</w:t>
            </w:r>
          </w:p>
        </w:tc>
        <w:tc>
          <w:tcPr>
            <w:tcW w:w="1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231F20"/>
              </w:rPr>
              <w:t>March 2022</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231F20"/>
              </w:rPr>
              <w:t>March 2052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435.9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231F20"/>
              </w:rPr>
              <w:t>435.4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300" w:type="dxa"/>
            <w:vAlign w:val="bottom"/>
            <w:gridSpan w:val="2"/>
          </w:tcPr>
          <w:p>
            <w:pPr>
              <w:spacing w:after="0"/>
              <w:rPr>
                <w:sz w:val="20"/>
                <w:szCs w:val="20"/>
                <w:color w:val="auto"/>
              </w:rPr>
            </w:pPr>
            <w:r>
              <w:rPr>
                <w:rFonts w:ascii="Arial" w:cs="Arial" w:eastAsia="Arial" w:hAnsi="Arial"/>
                <w:sz w:val="20"/>
                <w:szCs w:val="20"/>
                <w:color w:val="231F20"/>
              </w:rPr>
              <w:t>5.875%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820" w:type="dxa"/>
            <w:vAlign w:val="bottom"/>
          </w:tcPr>
          <w:p>
            <w:pPr>
              <w:jc w:val="right"/>
              <w:spacing w:after="0"/>
              <w:rPr>
                <w:sz w:val="20"/>
                <w:szCs w:val="20"/>
                <w:color w:val="auto"/>
              </w:rPr>
            </w:pPr>
            <w:r>
              <w:rPr>
                <w:rFonts w:ascii="Arial" w:cs="Arial" w:eastAsia="Arial" w:hAnsi="Arial"/>
                <w:sz w:val="20"/>
                <w:szCs w:val="20"/>
                <w:color w:val="231F20"/>
              </w:rPr>
              <w:t>600.0</w:t>
            </w:r>
          </w:p>
        </w:tc>
        <w:tc>
          <w:tcPr>
            <w:tcW w:w="18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231F20"/>
              </w:rPr>
              <w:t>June 2023</w:t>
            </w:r>
          </w:p>
        </w:tc>
        <w:tc>
          <w:tcPr>
            <w:tcW w:w="10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20"/>
                <w:szCs w:val="20"/>
                <w:color w:val="231F20"/>
              </w:rPr>
              <w:t>June 2033</w:t>
            </w:r>
          </w:p>
        </w:tc>
        <w:tc>
          <w:tcPr>
            <w:tcW w:w="10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593.4</w:t>
            </w:r>
          </w:p>
        </w:tc>
        <w:tc>
          <w:tcPr>
            <w:tcW w:w="18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80" w:type="dxa"/>
            <w:vAlign w:val="bottom"/>
          </w:tcPr>
          <w:p>
            <w:pPr>
              <w:ind w:left="260"/>
              <w:spacing w:after="0"/>
              <w:rPr>
                <w:sz w:val="20"/>
                <w:szCs w:val="20"/>
                <w:color w:val="auto"/>
              </w:rPr>
            </w:pPr>
            <w:r>
              <w:rPr>
                <w:rFonts w:ascii="Arial" w:cs="Arial" w:eastAsia="Arial" w:hAnsi="Arial"/>
                <w:sz w:val="20"/>
                <w:szCs w:val="20"/>
                <w:color w:val="231F20"/>
              </w:rPr>
              <w:t>Total Senior Notes</w:t>
            </w:r>
            <w:r>
              <w:rPr>
                <w:rFonts w:ascii="Times New Roman" w:cs="Times New Roman" w:eastAsia="Times New Roman" w:hAnsi="Times New Roman"/>
                <w:sz w:val="20"/>
                <w:szCs w:val="20"/>
                <w:color w:val="231F20"/>
              </w:rPr>
              <w:t>....</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46"/>
              <w:spacing w:after="0"/>
              <w:rPr>
                <w:sz w:val="20"/>
                <w:szCs w:val="20"/>
                <w:color w:val="auto"/>
              </w:rPr>
            </w:pPr>
            <w:r>
              <w:rPr>
                <w:rFonts w:ascii="Arial" w:cs="Arial" w:eastAsia="Arial" w:hAnsi="Arial"/>
                <w:sz w:val="20"/>
                <w:szCs w:val="20"/>
                <w:color w:val="231F20"/>
                <w:w w:val="89"/>
              </w:rPr>
              <w:t>$</w:t>
            </w:r>
          </w:p>
        </w:tc>
        <w:tc>
          <w:tcPr>
            <w:tcW w:w="900" w:type="dxa"/>
            <w:vAlign w:val="bottom"/>
          </w:tcPr>
          <w:p>
            <w:pPr>
              <w:jc w:val="right"/>
              <w:spacing w:after="0"/>
              <w:rPr>
                <w:sz w:val="20"/>
                <w:szCs w:val="20"/>
                <w:color w:val="auto"/>
              </w:rPr>
            </w:pPr>
            <w:r>
              <w:rPr>
                <w:rFonts w:ascii="Arial" w:cs="Arial" w:eastAsia="Arial" w:hAnsi="Arial"/>
                <w:sz w:val="20"/>
                <w:szCs w:val="20"/>
                <w:color w:val="231F20"/>
              </w:rPr>
              <w:t>2,670.1</w:t>
            </w:r>
          </w:p>
        </w:tc>
        <w:tc>
          <w:tcPr>
            <w:tcW w:w="180" w:type="dxa"/>
            <w:vAlign w:val="bottom"/>
          </w:tcPr>
          <w:p>
            <w:pPr>
              <w:spacing w:after="0"/>
              <w:rPr>
                <w:sz w:val="22"/>
                <w:szCs w:val="22"/>
                <w:color w:val="auto"/>
              </w:rPr>
            </w:pPr>
          </w:p>
        </w:tc>
        <w:tc>
          <w:tcPr>
            <w:tcW w:w="260" w:type="dxa"/>
            <w:vAlign w:val="bottom"/>
          </w:tcPr>
          <w:p>
            <w:pPr>
              <w:jc w:val="right"/>
              <w:ind w:right="46"/>
              <w:spacing w:after="0"/>
              <w:rPr>
                <w:sz w:val="20"/>
                <w:szCs w:val="20"/>
                <w:color w:val="auto"/>
              </w:rPr>
            </w:pPr>
            <w:r>
              <w:rPr>
                <w:rFonts w:ascii="Arial" w:cs="Arial" w:eastAsia="Arial" w:hAnsi="Arial"/>
                <w:sz w:val="20"/>
                <w:szCs w:val="20"/>
                <w:color w:val="231F20"/>
                <w:w w:val="89"/>
              </w:rPr>
              <w:t>$</w:t>
            </w:r>
          </w:p>
        </w:tc>
        <w:tc>
          <w:tcPr>
            <w:tcW w:w="880" w:type="dxa"/>
            <w:vAlign w:val="bottom"/>
          </w:tcPr>
          <w:p>
            <w:pPr>
              <w:jc w:val="right"/>
              <w:spacing w:after="0"/>
              <w:rPr>
                <w:sz w:val="20"/>
                <w:szCs w:val="20"/>
                <w:color w:val="auto"/>
              </w:rPr>
            </w:pPr>
            <w:r>
              <w:rPr>
                <w:rFonts w:ascii="Arial" w:cs="Arial" w:eastAsia="Arial" w:hAnsi="Arial"/>
                <w:sz w:val="20"/>
                <w:szCs w:val="20"/>
                <w:color w:val="231F20"/>
              </w:rPr>
              <w:t>2,673.5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Credit Facilities</w:t>
      </w:r>
    </w:p>
    <w:p>
      <w:pPr>
        <w:spacing w:after="0" w:line="17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231F20"/>
        </w:rPr>
        <w:t>In August 2022, the Company entered into a third amended and restated $1.25 billion revolving credit facility (the “2022 Revolving Credit Agreement”), and borrowings thereunder will be used for general corporate purposes. The maturity date of the facility is August 2027. Interest rates under the 2022 Revolving Credit Agreement are variable based on the Secured Overnight Financing Rate (“SOFR”) at the time of the borrowing and the Company’s long-term credit rating and can range from SOFR + 1.02% to SOFR + 1.525%. Under the 2022 Revolving Credit Agreement, the Company is required to maintain a minimum ratio of consolidated EBITDA to consolidated interest expense of 3.0 to 1.0. Consolidated EBITDA is defined as consolidated net income before interest expense, income taxes, depreciation, amortization of intangible assets, losses from asset impairments, and certain other adjustments. In addition, the Company's ratio of consolidated debt minus certain cash and cash equivalents to consolidated EBITDA generally may not exceed 3.5 to 1.0. There were no outstanding borrowings under this facility as of December 30, 2023 or December 31, 2022. As of December 30, 2023, we were in compliance with all covenants under this facility.</w:t>
      </w:r>
    </w:p>
    <w:p>
      <w:pPr>
        <w:spacing w:after="0" w:line="142" w:lineRule="exact"/>
        <w:rPr>
          <w:sz w:val="20"/>
          <w:szCs w:val="20"/>
          <w:color w:val="auto"/>
        </w:rPr>
      </w:pPr>
    </w:p>
    <w:p>
      <w:pPr>
        <w:spacing w:after="0" w:line="246" w:lineRule="auto"/>
        <w:rPr>
          <w:sz w:val="20"/>
          <w:szCs w:val="20"/>
          <w:color w:val="auto"/>
        </w:rPr>
      </w:pPr>
      <w:r>
        <w:rPr>
          <w:rFonts w:ascii="Arial" w:cs="Arial" w:eastAsia="Arial" w:hAnsi="Arial"/>
          <w:sz w:val="20"/>
          <w:szCs w:val="20"/>
          <w:color w:val="231F20"/>
        </w:rPr>
        <w:t>In November 2021, the Company entered into a 364-day, $400 million term loan credit agreement (the “2021 Term Loan”), for general corporate purposes, set to mature in November 2022. On March 1, 2022, the Company entered into a First Amendment and Incremental Agreement to the 2021 Term Loan (the “First Amendment”). The First Amendment provided for an increase in the principal amount from $400 million to $600 million as well as the transition from LIBOR to SOFR interest rates. As a result, interest rates under the 2021 Term Loan were variable based on SOFR at the time of the borrowing and the Company’s long-term credit rating and could range from SOFR + 0.725% to SOFR + 1.350%. On March 18, 2022, the Company entered into a Second Amendment and Incremental Agreement to the 2021 Term Loan (the “Second Amendment”), increasing the principal amount from $600 million to $1.1 billion. All other terms and conditions remained the same under the First Amendment and Second Amendment. The outstanding $1.1 billion under the 2021 Term Loan was repaid on March 25, 2022 with proceeds from the 2022 Notes offering (as described above) and other existing sources of liquidity.</w:t>
      </w:r>
    </w:p>
    <w:p>
      <w:pPr>
        <w:spacing w:after="0" w:line="145"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231F20"/>
        </w:rPr>
        <w:t>We currently have uncommitted bank lines of credit in China, which provide for unsecured borrowings for working capital of up to $30.5 million in aggregate as of December 30, 2023 and $20.5 million in aggregate as of December 31, 2022, of which there were no outstanding balances as of December 30, 2023 and December 31, 2022. The weighted-average interest rates on these borrowings were zero in 2023 and 2022.</w:t>
      </w:r>
    </w:p>
    <w:p>
      <w:pPr>
        <w:sectPr>
          <w:pgSz w:w="12240" w:h="15840" w:orient="portrait"/>
          <w:cols w:equalWidth="0" w:num="1">
            <w:col w:w="9440"/>
          </w:cols>
          <w:pgMar w:left="1380" w:top="1327"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32</w:t>
      </w:r>
    </w:p>
    <w:p>
      <w:pPr>
        <w:sectPr>
          <w:pgSz w:w="12240" w:h="15840" w:orient="portrait"/>
          <w:cols w:equalWidth="0" w:num="1">
            <w:col w:w="9440"/>
          </w:cols>
          <w:pgMar w:left="1380" w:top="1327" w:right="1420" w:bottom="95"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i w:val="1"/>
          <w:iCs w:val="1"/>
          <w:color w:val="231F20"/>
        </w:rPr>
        <w:t>Commercial Paper</w:t>
      </w:r>
    </w:p>
    <w:p>
      <w:pPr>
        <w:spacing w:after="0" w:line="163"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231F20"/>
        </w:rPr>
        <w:t>The Company operates a commercial paper program (the “Commercial Paper Program”) pursuant to which the Company may issue unsecured commercial paper notes. The Company’s 2022 Revolving Credit Agreement is the liquidity backstop for the repayment of any notes issued under the Commercial Paper Program, and as such, borrowings under the Commercial Paper Program are included in Long-term debt in the condensed consolidated balance sheets. Amounts available under the Commercial Paper Program may be borrowed, repaid and re-borrowed, with the aggregate principal amount outstanding at any time, including borrowings under the 2022 Revolving Credit Agreement, not to exceed $1.25 billion. The Company expects to use any issuances under the Commercial Paper Program for general corporate purposes. There were no outstanding borrowings under our Commercial Paper facility as of December 30, 2023 or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231F20"/>
        </w:rPr>
        <w:t>Components of our long-term debt were as follows: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0" w:type="dxa"/>
            <w:vAlign w:val="bottom"/>
            <w:tcBorders>
              <w:bottom w:val="single" w:sz="8" w:color="231F20"/>
            </w:tcBorders>
          </w:tcPr>
          <w:p>
            <w:pPr>
              <w:spacing w:after="0"/>
              <w:rPr>
                <w:sz w:val="15"/>
                <w:szCs w:val="15"/>
                <w:color w:val="auto"/>
              </w:rPr>
            </w:pPr>
          </w:p>
        </w:tc>
        <w:tc>
          <w:tcPr>
            <w:tcW w:w="6140" w:type="dxa"/>
            <w:vAlign w:val="bottom"/>
            <w:tcBorders>
              <w:top w:val="single" w:sz="8" w:color="231F20"/>
              <w:bottom w:val="single" w:sz="8" w:color="231F20"/>
            </w:tcBorders>
          </w:tcPr>
          <w:p>
            <w:pPr>
              <w:spacing w:after="0" w:line="175"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520" w:type="dxa"/>
            <w:vAlign w:val="bottom"/>
            <w:tcBorders>
              <w:top w:val="single" w:sz="8" w:color="231F20"/>
              <w:bottom w:val="single" w:sz="8" w:color="231F20"/>
            </w:tcBorders>
          </w:tcPr>
          <w:p>
            <w:pPr>
              <w:spacing w:after="0"/>
              <w:rPr>
                <w:sz w:val="15"/>
                <w:szCs w:val="15"/>
                <w:color w:val="auto"/>
              </w:rPr>
            </w:pPr>
          </w:p>
        </w:tc>
        <w:tc>
          <w:tcPr>
            <w:tcW w:w="1120" w:type="dxa"/>
            <w:vAlign w:val="bottom"/>
            <w:tcBorders>
              <w:top w:val="single" w:sz="8" w:color="231F20"/>
              <w:bottom w:val="single" w:sz="8" w:color="231F20"/>
              <w:right w:val="single" w:sz="8" w:color="231F20"/>
            </w:tcBorders>
          </w:tcPr>
          <w:p>
            <w:pPr>
              <w:jc w:val="right"/>
              <w:ind w:right="25"/>
              <w:spacing w:after="0"/>
              <w:rPr>
                <w:sz w:val="20"/>
                <w:szCs w:val="20"/>
                <w:color w:val="auto"/>
              </w:rPr>
            </w:pPr>
            <w:r>
              <w:rPr>
                <w:rFonts w:ascii="Arial" w:cs="Arial" w:eastAsia="Arial" w:hAnsi="Arial"/>
                <w:sz w:val="15"/>
                <w:szCs w:val="15"/>
                <w:i w:val="1"/>
                <w:iCs w:val="1"/>
                <w:color w:val="231F20"/>
              </w:rPr>
              <w:t>2023</w:t>
            </w:r>
          </w:p>
        </w:tc>
        <w:tc>
          <w:tcPr>
            <w:tcW w:w="520" w:type="dxa"/>
            <w:vAlign w:val="bottom"/>
            <w:tcBorders>
              <w:top w:val="single" w:sz="8" w:color="231F20"/>
              <w:bottom w:val="single" w:sz="8" w:color="231F20"/>
            </w:tcBorders>
          </w:tcPr>
          <w:p>
            <w:pPr>
              <w:spacing w:after="0"/>
              <w:rPr>
                <w:sz w:val="15"/>
                <w:szCs w:val="15"/>
                <w:color w:val="auto"/>
              </w:rPr>
            </w:pPr>
          </w:p>
        </w:tc>
        <w:tc>
          <w:tcPr>
            <w:tcW w:w="1120" w:type="dxa"/>
            <w:vAlign w:val="bottom"/>
            <w:tcBorders>
              <w:top w:val="single" w:sz="8" w:color="231F20"/>
              <w:bottom w:val="single" w:sz="8" w:color="231F20"/>
            </w:tcBorders>
          </w:tcPr>
          <w:p>
            <w:pPr>
              <w:jc w:val="right"/>
              <w:ind w:right="5"/>
              <w:spacing w:after="0"/>
              <w:rPr>
                <w:sz w:val="20"/>
                <w:szCs w:val="20"/>
                <w:color w:val="auto"/>
              </w:rPr>
            </w:pPr>
            <w:r>
              <w:rPr>
                <w:rFonts w:ascii="Arial" w:cs="Arial" w:eastAsia="Arial" w:hAnsi="Arial"/>
                <w:sz w:val="15"/>
                <w:szCs w:val="15"/>
                <w:color w:val="231F20"/>
              </w:rPr>
              <w:t>2022</w:t>
            </w:r>
          </w:p>
        </w:tc>
      </w:tr>
      <w:tr>
        <w:trPr>
          <w:trHeight w:val="178"/>
        </w:trPr>
        <w:tc>
          <w:tcPr>
            <w:tcW w:w="6160" w:type="dxa"/>
            <w:vAlign w:val="bottom"/>
            <w:gridSpan w:val="2"/>
          </w:tcPr>
          <w:p>
            <w:pPr>
              <w:spacing w:after="0" w:line="177" w:lineRule="exact"/>
              <w:rPr>
                <w:sz w:val="20"/>
                <w:szCs w:val="20"/>
                <w:color w:val="auto"/>
              </w:rPr>
            </w:pPr>
            <w:r>
              <w:rPr>
                <w:rFonts w:ascii="Arial" w:cs="Arial" w:eastAsia="Arial" w:hAnsi="Arial"/>
                <w:sz w:val="20"/>
                <w:szCs w:val="20"/>
                <w:color w:val="231F20"/>
              </w:rPr>
              <w:t>Notes (due 2025 to 2052)</w:t>
            </w:r>
            <w:r>
              <w:rPr>
                <w:rFonts w:ascii="Times New Roman" w:cs="Times New Roman" w:eastAsia="Times New Roman" w:hAnsi="Times New Roman"/>
                <w:sz w:val="20"/>
                <w:szCs w:val="20"/>
                <w:color w:val="231F20"/>
              </w:rPr>
              <w:t>...........................................................................</w:t>
            </w:r>
          </w:p>
        </w:tc>
        <w:tc>
          <w:tcPr>
            <w:tcW w:w="520" w:type="dxa"/>
            <w:vAlign w:val="bottom"/>
          </w:tcPr>
          <w:p>
            <w:pPr>
              <w:jc w:val="right"/>
              <w:ind w:right="219"/>
              <w:spacing w:after="0" w:line="178" w:lineRule="exact"/>
              <w:rPr>
                <w:sz w:val="20"/>
                <w:szCs w:val="20"/>
                <w:color w:val="auto"/>
              </w:rPr>
            </w:pPr>
            <w:r>
              <w:rPr>
                <w:rFonts w:ascii="Arial" w:cs="Arial" w:eastAsia="Arial" w:hAnsi="Arial"/>
                <w:sz w:val="20"/>
                <w:szCs w:val="20"/>
                <w:color w:val="231F20"/>
              </w:rPr>
              <w:t>$</w:t>
            </w:r>
          </w:p>
        </w:tc>
        <w:tc>
          <w:tcPr>
            <w:tcW w:w="1120" w:type="dxa"/>
            <w:vAlign w:val="bottom"/>
            <w:tcBorders>
              <w:right w:val="single" w:sz="8" w:color="231F20"/>
            </w:tcBorders>
          </w:tcPr>
          <w:p>
            <w:pPr>
              <w:jc w:val="right"/>
              <w:ind w:right="25"/>
              <w:spacing w:after="0" w:line="178" w:lineRule="exact"/>
              <w:rPr>
                <w:sz w:val="20"/>
                <w:szCs w:val="20"/>
                <w:color w:val="auto"/>
              </w:rPr>
            </w:pPr>
            <w:r>
              <w:rPr>
                <w:rFonts w:ascii="Arial" w:cs="Arial" w:eastAsia="Arial" w:hAnsi="Arial"/>
                <w:sz w:val="20"/>
                <w:szCs w:val="20"/>
                <w:color w:val="231F20"/>
              </w:rPr>
              <w:t>2,670.1</w:t>
            </w:r>
          </w:p>
        </w:tc>
        <w:tc>
          <w:tcPr>
            <w:tcW w:w="520" w:type="dxa"/>
            <w:vAlign w:val="bottom"/>
          </w:tcPr>
          <w:p>
            <w:pPr>
              <w:jc w:val="right"/>
              <w:ind w:right="239"/>
              <w:spacing w:after="0" w:line="178" w:lineRule="exact"/>
              <w:rPr>
                <w:sz w:val="20"/>
                <w:szCs w:val="20"/>
                <w:color w:val="auto"/>
              </w:rPr>
            </w:pPr>
            <w:r>
              <w:rPr>
                <w:rFonts w:ascii="Arial" w:cs="Arial" w:eastAsia="Arial" w:hAnsi="Arial"/>
                <w:sz w:val="20"/>
                <w:szCs w:val="20"/>
                <w:color w:val="231F20"/>
              </w:rPr>
              <w:t>$</w:t>
            </w:r>
          </w:p>
        </w:tc>
        <w:tc>
          <w:tcPr>
            <w:tcW w:w="1120" w:type="dxa"/>
            <w:vAlign w:val="bottom"/>
          </w:tcPr>
          <w:p>
            <w:pPr>
              <w:jc w:val="right"/>
              <w:ind w:right="5"/>
              <w:spacing w:after="0" w:line="178" w:lineRule="exact"/>
              <w:rPr>
                <w:sz w:val="20"/>
                <w:szCs w:val="20"/>
                <w:color w:val="auto"/>
              </w:rPr>
            </w:pPr>
            <w:r>
              <w:rPr>
                <w:rFonts w:ascii="Arial" w:cs="Arial" w:eastAsia="Arial" w:hAnsi="Arial"/>
                <w:sz w:val="20"/>
                <w:szCs w:val="20"/>
                <w:color w:val="231F20"/>
              </w:rPr>
              <w:t>2,673.5</w:t>
            </w:r>
          </w:p>
        </w:tc>
      </w:tr>
      <w:tr>
        <w:trPr>
          <w:trHeight w:val="251"/>
        </w:trPr>
        <w:tc>
          <w:tcPr>
            <w:tcW w:w="6160" w:type="dxa"/>
            <w:vAlign w:val="bottom"/>
            <w:tcBorders>
              <w:bottom w:val="single" w:sz="8" w:color="231F20"/>
            </w:tcBorders>
            <w:gridSpan w:val="2"/>
          </w:tcPr>
          <w:p>
            <w:pPr>
              <w:spacing w:after="0"/>
              <w:rPr>
                <w:sz w:val="20"/>
                <w:szCs w:val="20"/>
                <w:color w:val="auto"/>
              </w:rPr>
            </w:pPr>
            <w:r>
              <w:rPr>
                <w:rFonts w:ascii="Arial" w:cs="Arial" w:eastAsia="Arial" w:hAnsi="Arial"/>
                <w:sz w:val="20"/>
                <w:szCs w:val="20"/>
                <w:color w:val="231F20"/>
              </w:rPr>
              <w:t xml:space="preserve">Less: current portion </w:t>
            </w:r>
            <w:r>
              <w:rPr>
                <w:rFonts w:ascii="Times New Roman" w:cs="Times New Roman" w:eastAsia="Times New Roman" w:hAnsi="Times New Roman"/>
                <w:sz w:val="20"/>
                <w:szCs w:val="20"/>
                <w:color w:val="231F20"/>
              </w:rPr>
              <w:t>...................................................................................</w:t>
            </w:r>
          </w:p>
        </w:tc>
        <w:tc>
          <w:tcPr>
            <w:tcW w:w="5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right w:val="single" w:sz="8" w:color="231F20"/>
            </w:tcBorders>
          </w:tcPr>
          <w:p>
            <w:pPr>
              <w:jc w:val="right"/>
              <w:ind w:right="25"/>
              <w:spacing w:after="0"/>
              <w:rPr>
                <w:sz w:val="20"/>
                <w:szCs w:val="20"/>
                <w:color w:val="auto"/>
              </w:rPr>
            </w:pPr>
            <w:r>
              <w:rPr>
                <w:rFonts w:ascii="Arial" w:cs="Arial" w:eastAsia="Arial" w:hAnsi="Arial"/>
                <w:sz w:val="20"/>
                <w:szCs w:val="20"/>
                <w:color w:val="231F20"/>
              </w:rPr>
              <w:t>—</w:t>
            </w:r>
          </w:p>
        </w:tc>
        <w:tc>
          <w:tcPr>
            <w:tcW w:w="52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tcPr>
          <w:p>
            <w:pPr>
              <w:jc w:val="right"/>
              <w:ind w:right="5"/>
              <w:spacing w:after="0"/>
              <w:rPr>
                <w:sz w:val="20"/>
                <w:szCs w:val="20"/>
                <w:color w:val="auto"/>
              </w:rPr>
            </w:pPr>
            <w:r>
              <w:rPr>
                <w:rFonts w:ascii="Arial" w:cs="Arial" w:eastAsia="Arial" w:hAnsi="Arial"/>
                <w:sz w:val="20"/>
                <w:szCs w:val="20"/>
                <w:color w:val="231F20"/>
              </w:rPr>
              <w:t>599.2</w:t>
            </w:r>
          </w:p>
        </w:tc>
      </w:tr>
      <w:tr>
        <w:trPr>
          <w:trHeight w:val="209"/>
        </w:trPr>
        <w:tc>
          <w:tcPr>
            <w:tcW w:w="6160" w:type="dxa"/>
            <w:vAlign w:val="bottom"/>
            <w:gridSpan w:val="2"/>
          </w:tcPr>
          <w:p>
            <w:pPr>
              <w:spacing w:after="0" w:line="209" w:lineRule="exact"/>
              <w:rPr>
                <w:sz w:val="20"/>
                <w:szCs w:val="20"/>
                <w:color w:val="auto"/>
              </w:rPr>
            </w:pPr>
            <w:r>
              <w:rPr>
                <w:rFonts w:ascii="Arial" w:cs="Arial" w:eastAsia="Arial" w:hAnsi="Arial"/>
                <w:sz w:val="20"/>
                <w:szCs w:val="20"/>
                <w:color w:val="231F20"/>
              </w:rPr>
              <w:t xml:space="preserve">Total long-term debt </w:t>
            </w:r>
            <w:r>
              <w:rPr>
                <w:rFonts w:ascii="Times New Roman" w:cs="Times New Roman" w:eastAsia="Times New Roman" w:hAnsi="Times New Roman"/>
                <w:sz w:val="20"/>
                <w:szCs w:val="20"/>
                <w:color w:val="231F20"/>
              </w:rPr>
              <w:t>....................................................................................</w:t>
            </w:r>
          </w:p>
        </w:tc>
        <w:tc>
          <w:tcPr>
            <w:tcW w:w="520" w:type="dxa"/>
            <w:vAlign w:val="bottom"/>
          </w:tcPr>
          <w:p>
            <w:pPr>
              <w:jc w:val="right"/>
              <w:ind w:right="219"/>
              <w:spacing w:after="0" w:line="209" w:lineRule="exact"/>
              <w:rPr>
                <w:sz w:val="20"/>
                <w:szCs w:val="20"/>
                <w:color w:val="auto"/>
              </w:rPr>
            </w:pPr>
            <w:r>
              <w:rPr>
                <w:rFonts w:ascii="Arial" w:cs="Arial" w:eastAsia="Arial" w:hAnsi="Arial"/>
                <w:sz w:val="20"/>
                <w:szCs w:val="20"/>
                <w:color w:val="231F20"/>
              </w:rPr>
              <w:t>$</w:t>
            </w:r>
          </w:p>
        </w:tc>
        <w:tc>
          <w:tcPr>
            <w:tcW w:w="1120" w:type="dxa"/>
            <w:vAlign w:val="bottom"/>
            <w:tcBorders>
              <w:right w:val="single" w:sz="8" w:color="231F20"/>
            </w:tcBorders>
          </w:tcPr>
          <w:p>
            <w:pPr>
              <w:jc w:val="right"/>
              <w:ind w:right="25"/>
              <w:spacing w:after="0" w:line="209" w:lineRule="exact"/>
              <w:rPr>
                <w:sz w:val="20"/>
                <w:szCs w:val="20"/>
                <w:color w:val="auto"/>
              </w:rPr>
            </w:pPr>
            <w:r>
              <w:rPr>
                <w:rFonts w:ascii="Arial" w:cs="Arial" w:eastAsia="Arial" w:hAnsi="Arial"/>
                <w:sz w:val="20"/>
                <w:szCs w:val="20"/>
                <w:color w:val="231F20"/>
              </w:rPr>
              <w:t>2,670.1</w:t>
            </w:r>
          </w:p>
        </w:tc>
        <w:tc>
          <w:tcPr>
            <w:tcW w:w="520" w:type="dxa"/>
            <w:vAlign w:val="bottom"/>
          </w:tcPr>
          <w:p>
            <w:pPr>
              <w:jc w:val="right"/>
              <w:ind w:right="239"/>
              <w:spacing w:after="0" w:line="209" w:lineRule="exact"/>
              <w:rPr>
                <w:sz w:val="20"/>
                <w:szCs w:val="20"/>
                <w:color w:val="auto"/>
              </w:rPr>
            </w:pPr>
            <w:r>
              <w:rPr>
                <w:rFonts w:ascii="Arial" w:cs="Arial" w:eastAsia="Arial" w:hAnsi="Arial"/>
                <w:sz w:val="20"/>
                <w:szCs w:val="20"/>
                <w:color w:val="231F20"/>
              </w:rPr>
              <w:t>$</w:t>
            </w:r>
          </w:p>
        </w:tc>
        <w:tc>
          <w:tcPr>
            <w:tcW w:w="1120" w:type="dxa"/>
            <w:vAlign w:val="bottom"/>
          </w:tcPr>
          <w:p>
            <w:pPr>
              <w:jc w:val="right"/>
              <w:ind w:right="5"/>
              <w:spacing w:after="0" w:line="209" w:lineRule="exact"/>
              <w:rPr>
                <w:sz w:val="20"/>
                <w:szCs w:val="20"/>
                <w:color w:val="auto"/>
              </w:rPr>
            </w:pPr>
            <w:r>
              <w:rPr>
                <w:rFonts w:ascii="Arial" w:cs="Arial" w:eastAsia="Arial" w:hAnsi="Arial"/>
                <w:sz w:val="20"/>
                <w:szCs w:val="20"/>
                <w:color w:val="231F20"/>
              </w:rPr>
              <w:t>2,074.3</w:t>
            </w:r>
          </w:p>
        </w:tc>
      </w:tr>
      <w:tr>
        <w:trPr>
          <w:trHeight w:val="46"/>
        </w:trPr>
        <w:tc>
          <w:tcPr>
            <w:tcW w:w="20" w:type="dxa"/>
            <w:vAlign w:val="bottom"/>
          </w:tcPr>
          <w:p>
            <w:pPr>
              <w:spacing w:after="0"/>
              <w:rPr>
                <w:sz w:val="3"/>
                <w:szCs w:val="3"/>
                <w:color w:val="auto"/>
              </w:rPr>
            </w:pPr>
          </w:p>
        </w:tc>
        <w:tc>
          <w:tcPr>
            <w:tcW w:w="6140" w:type="dxa"/>
            <w:vAlign w:val="bottom"/>
            <w:shd w:val="clear" w:color="auto" w:fill="231F20"/>
          </w:tcPr>
          <w:p>
            <w:pPr>
              <w:spacing w:after="0"/>
              <w:rPr>
                <w:sz w:val="3"/>
                <w:szCs w:val="3"/>
                <w:color w:val="auto"/>
              </w:rPr>
            </w:pPr>
          </w:p>
        </w:tc>
        <w:tc>
          <w:tcPr>
            <w:tcW w:w="520" w:type="dxa"/>
            <w:vAlign w:val="bottom"/>
            <w:shd w:val="clear" w:color="auto" w:fill="231F20"/>
          </w:tcPr>
          <w:p>
            <w:pPr>
              <w:spacing w:after="0"/>
              <w:rPr>
                <w:sz w:val="3"/>
                <w:szCs w:val="3"/>
                <w:color w:val="auto"/>
              </w:rPr>
            </w:pPr>
          </w:p>
        </w:tc>
        <w:tc>
          <w:tcPr>
            <w:tcW w:w="1120" w:type="dxa"/>
            <w:vAlign w:val="bottom"/>
            <w:tcBorders>
              <w:right w:val="single" w:sz="8" w:color="231F20"/>
            </w:tcBorders>
            <w:shd w:val="clear" w:color="auto" w:fill="231F20"/>
          </w:tcPr>
          <w:p>
            <w:pPr>
              <w:spacing w:after="0"/>
              <w:rPr>
                <w:sz w:val="3"/>
                <w:szCs w:val="3"/>
                <w:color w:val="auto"/>
              </w:rPr>
            </w:pPr>
          </w:p>
        </w:tc>
        <w:tc>
          <w:tcPr>
            <w:tcW w:w="520" w:type="dxa"/>
            <w:vAlign w:val="bottom"/>
            <w:shd w:val="clear" w:color="auto" w:fill="231F20"/>
          </w:tcPr>
          <w:p>
            <w:pPr>
              <w:spacing w:after="0"/>
              <w:rPr>
                <w:sz w:val="3"/>
                <w:szCs w:val="3"/>
                <w:color w:val="auto"/>
              </w:rPr>
            </w:pPr>
          </w:p>
        </w:tc>
        <w:tc>
          <w:tcPr>
            <w:tcW w:w="1120" w:type="dxa"/>
            <w:vAlign w:val="bottom"/>
            <w:shd w:val="clear" w:color="auto" w:fill="231F20"/>
          </w:tcPr>
          <w:p>
            <w:pPr>
              <w:spacing w:after="0"/>
              <w:rPr>
                <w:sz w:val="3"/>
                <w:szCs w:val="3"/>
                <w:color w:val="auto"/>
              </w:rPr>
            </w:pPr>
          </w:p>
        </w:tc>
      </w:tr>
    </w:tbl>
    <w:p>
      <w:pPr>
        <w:spacing w:after="0" w:line="152" w:lineRule="exact"/>
        <w:rPr>
          <w:sz w:val="20"/>
          <w:szCs w:val="20"/>
          <w:color w:val="auto"/>
        </w:rPr>
      </w:pPr>
    </w:p>
    <w:p>
      <w:pPr>
        <w:jc w:val="both"/>
        <w:ind w:right="40"/>
        <w:spacing w:after="0" w:line="243" w:lineRule="auto"/>
        <w:rPr>
          <w:sz w:val="20"/>
          <w:szCs w:val="20"/>
          <w:color w:val="auto"/>
        </w:rPr>
      </w:pPr>
      <w:r>
        <w:rPr>
          <w:rFonts w:ascii="Arial" w:cs="Arial" w:eastAsia="Arial" w:hAnsi="Arial"/>
          <w:sz w:val="20"/>
          <w:szCs w:val="20"/>
          <w:color w:val="231F20"/>
        </w:rPr>
        <w:t>In our debt agreements, there are normal and customary events of default which would permit the lenders to accelerate the debt if not cured, in certain cases within applicable grace periods, such as failure to pay principal or interest when due or a change in control of the Company. There were no events of default as of December 30, 2023.</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Cash and Seasonality</w:t>
      </w:r>
    </w:p>
    <w:p>
      <w:pPr>
        <w:spacing w:after="0" w:line="163"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231F20"/>
        </w:rPr>
        <w:t>In 2023, we invested approximately $215 million in incremental capacity to support long-term growth potential and new products inclusive of cost reduction and productivity initiatives. We expect capital spending in 2024 to be in the range of $175 million to $225 million. On December 30, 2023, we had cash and cash equivalents of $366.4 million, of which $306.1 million was held at non-U.S. subsidiaries. We manage our global cash requirements considering (i) available funds among the subsidiaries through which we conduct business, (ii) the geographic location of our liquidity needs, and (iii) the cost to access international cash balances. The repatriation of non-U.S. cash balances from certain subsidiaries could have adverse tax consequences as we may be required to pay and record tax expense on those funds that are repatriated.</w:t>
      </w:r>
    </w:p>
    <w:p>
      <w:pPr>
        <w:spacing w:after="0" w:line="136" w:lineRule="exact"/>
        <w:rPr>
          <w:sz w:val="20"/>
          <w:szCs w:val="20"/>
          <w:color w:val="auto"/>
        </w:rPr>
      </w:pPr>
    </w:p>
    <w:p>
      <w:pPr>
        <w:ind w:right="220"/>
        <w:spacing w:after="0" w:line="238" w:lineRule="auto"/>
        <w:rPr>
          <w:sz w:val="20"/>
          <w:szCs w:val="20"/>
          <w:color w:val="auto"/>
        </w:rPr>
      </w:pPr>
      <w:r>
        <w:rPr>
          <w:rFonts w:ascii="Arial" w:cs="Arial" w:eastAsia="Arial" w:hAnsi="Arial"/>
          <w:sz w:val="20"/>
          <w:szCs w:val="20"/>
          <w:color w:val="231F20"/>
        </w:rPr>
        <w:t>Our operating cash flows are significantly impacted by the seasonality of our business. We typically generate most of our operating cash flow in the third and fourth quarters of each year and we typically use operating cash in the first quarter of the year. We believe that our current cash position, cash flow generated from operations, and amounts available under our revolving credit facility should be sufficient for our operating requirements and enable us to fund our capital expenditures, share repurchases dividend payments, and required long-term debt payments.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Share Repurchases</w:t>
      </w:r>
    </w:p>
    <w:p>
      <w:pPr>
        <w:spacing w:after="0" w:line="163"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231F20"/>
        </w:rPr>
        <w:t>In 2023, we repurchased 2.5 million shares of our outstanding common stock under the Company’s share repurchase program for $150.0 million. As of December 30, 2023, the Company’s total remaining share repurchase authorization under the program was approximately $434.6 million. The share repurchase program does not obligate the Company to repurchase any specific dollar amount or number of shares and may be suspended or discontinued at any time.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Dividends</w:t>
      </w:r>
    </w:p>
    <w:p>
      <w:pPr>
        <w:spacing w:after="0" w:line="163" w:lineRule="exact"/>
        <w:rPr>
          <w:sz w:val="20"/>
          <w:szCs w:val="20"/>
          <w:color w:val="auto"/>
        </w:rPr>
      </w:pPr>
    </w:p>
    <w:p>
      <w:pPr>
        <w:spacing w:after="0" w:line="236" w:lineRule="auto"/>
        <w:rPr>
          <w:sz w:val="20"/>
          <w:szCs w:val="20"/>
          <w:color w:val="auto"/>
        </w:rPr>
      </w:pPr>
      <w:r>
        <w:rPr>
          <w:rFonts w:ascii="Arial" w:cs="Arial" w:eastAsia="Arial" w:hAnsi="Arial"/>
          <w:sz w:val="20"/>
          <w:szCs w:val="20"/>
          <w:color w:val="231F20"/>
        </w:rPr>
        <w:t>In 2023, we paid dividends in the amount of $116.8 million to the Company’s stockholders. Our Board of Directors will continue to evaluate dividend payment opportunities on a quarterly basis. There can be no assurance as to when and if future dividends will be paid, and at what level, because the payment of dividends is dependent on our financial condition, results of operations, cash flows, capital requirements and other factors deemed relevant by our Board of Directors. Our subsidiaries are not limited by long-term debt or other agreements in their abilities to pay cash dividends or to make other distributions with respect to their capital stock or other payments to the Company.</w:t>
      </w:r>
    </w:p>
    <w:p>
      <w:pPr>
        <w:sectPr>
          <w:pgSz w:w="12240" w:h="15840" w:orient="portrait"/>
          <w:cols w:equalWidth="0" w:num="1">
            <w:col w:w="9480"/>
          </w:cols>
          <w:pgMar w:left="1380" w:top="1343" w:right="1380" w:bottom="95"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33</w:t>
      </w:r>
    </w:p>
    <w:p>
      <w:pPr>
        <w:sectPr>
          <w:pgSz w:w="12240" w:h="15840" w:orient="portrait"/>
          <w:cols w:equalWidth="0" w:num="1">
            <w:col w:w="9480"/>
          </w:cols>
          <w:pgMar w:left="1380" w:top="1343" w:right="1380" w:bottom="95"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i w:val="1"/>
          <w:iCs w:val="1"/>
          <w:color w:val="231F20"/>
        </w:rPr>
        <w:t>Acquisitions</w:t>
      </w:r>
    </w:p>
    <w:p>
      <w:pPr>
        <w:spacing w:after="0" w:line="172" w:lineRule="exact"/>
        <w:rPr>
          <w:sz w:val="20"/>
          <w:szCs w:val="20"/>
          <w:color w:val="auto"/>
        </w:rPr>
      </w:pPr>
    </w:p>
    <w:p>
      <w:pPr>
        <w:ind w:right="500"/>
        <w:spacing w:after="0" w:line="287" w:lineRule="auto"/>
        <w:rPr>
          <w:sz w:val="20"/>
          <w:szCs w:val="20"/>
          <w:color w:val="auto"/>
        </w:rPr>
      </w:pPr>
      <w:r>
        <w:rPr>
          <w:rFonts w:ascii="Arial" w:cs="Arial" w:eastAsia="Arial" w:hAnsi="Arial"/>
          <w:sz w:val="20"/>
          <w:szCs w:val="20"/>
          <w:color w:val="231F20"/>
        </w:rPr>
        <w:t>We periodically review our portfolio of brands and evaluate potential strategic transactions and other capital initiatives to increase stockholder value.</w:t>
      </w:r>
    </w:p>
    <w:p>
      <w:pPr>
        <w:spacing w:after="0" w:line="148" w:lineRule="exact"/>
        <w:rPr>
          <w:sz w:val="20"/>
          <w:szCs w:val="20"/>
          <w:color w:val="auto"/>
        </w:rPr>
      </w:pPr>
    </w:p>
    <w:p>
      <w:pPr>
        <w:spacing w:after="0" w:line="247" w:lineRule="auto"/>
        <w:rPr>
          <w:sz w:val="20"/>
          <w:szCs w:val="20"/>
          <w:color w:val="auto"/>
        </w:rPr>
      </w:pPr>
      <w:r>
        <w:rPr>
          <w:rFonts w:ascii="Arial" w:cs="Arial" w:eastAsia="Arial" w:hAnsi="Arial"/>
          <w:sz w:val="20"/>
          <w:szCs w:val="20"/>
          <w:color w:val="231F20"/>
        </w:rPr>
        <w:t>In June 2023, we acquired the ASSA Businesses from ASSA. The Company completed the acquisition for a total purchase price of approximately $809.3 million, subject to post-closing adjustments, net of cash acquired of $16.3 million. We financed the transaction with cash on hand. As of the date of this filing, legal title to international operations in Vietnam has not yet transferred, but we expect a deferred closing, which will include a payment of approximately $23.5 million (which amount is already included in the overall purchase price but for which the cash payment has not yet been made), shortly following receipt of local regulatory approval. In preparation for the deferred closing, $23.5 million is classified as restricted cash within Other current assets and the corresponding payable is included within Other current liabilities. The results of the Emtek and Schaub Business are reported as part of the Water segment and the results of the Yale and August Business are reported as part of the Security segment.</w:t>
      </w:r>
    </w:p>
    <w:p>
      <w:pPr>
        <w:spacing w:after="0" w:line="141" w:lineRule="exact"/>
        <w:rPr>
          <w:sz w:val="20"/>
          <w:szCs w:val="20"/>
          <w:color w:val="auto"/>
        </w:rPr>
      </w:pPr>
    </w:p>
    <w:p>
      <w:pPr>
        <w:jc w:val="both"/>
        <w:ind w:right="480"/>
        <w:spacing w:after="0" w:line="265" w:lineRule="auto"/>
        <w:rPr>
          <w:sz w:val="20"/>
          <w:szCs w:val="20"/>
          <w:color w:val="auto"/>
        </w:rPr>
      </w:pPr>
      <w:r>
        <w:rPr>
          <w:rFonts w:ascii="Arial" w:cs="Arial" w:eastAsia="Arial" w:hAnsi="Arial"/>
          <w:sz w:val="20"/>
          <w:szCs w:val="20"/>
          <w:color w:val="231F20"/>
        </w:rPr>
        <w:t>In July 2022, we acquired 100% of the outstanding equity of Aqualisa for a purchase price of $156.0 million, net of cash acquired of $4.8 million. The results of Aqualisa are reported as part of the Water segment. We financed the transaction with borrowings under our existing credit facility.</w:t>
      </w:r>
    </w:p>
    <w:p>
      <w:pPr>
        <w:spacing w:after="0" w:line="118" w:lineRule="exact"/>
        <w:rPr>
          <w:sz w:val="20"/>
          <w:szCs w:val="20"/>
          <w:color w:val="auto"/>
        </w:rPr>
      </w:pPr>
    </w:p>
    <w:p>
      <w:pPr>
        <w:ind w:right="360"/>
        <w:spacing w:after="0" w:line="257" w:lineRule="auto"/>
        <w:rPr>
          <w:sz w:val="20"/>
          <w:szCs w:val="20"/>
          <w:color w:val="auto"/>
        </w:rPr>
      </w:pPr>
      <w:r>
        <w:rPr>
          <w:rFonts w:ascii="Arial" w:cs="Arial" w:eastAsia="Arial" w:hAnsi="Arial"/>
          <w:sz w:val="20"/>
          <w:szCs w:val="20"/>
          <w:color w:val="231F20"/>
        </w:rPr>
        <w:t>In January 2022, we acquired 100% of the outstanding equity of Solar for a purchase price of $61.6 million, net of cash acquired of $4.8 million. We financed the transaction using cash on hand and borrowings under our revolving credit facility. The results of Solar are reported as part of the Outdoors segment.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Cash Flows</w:t>
      </w:r>
    </w:p>
    <w:p>
      <w:pPr>
        <w:spacing w:after="0" w:line="189" w:lineRule="exact"/>
        <w:rPr>
          <w:sz w:val="20"/>
          <w:szCs w:val="20"/>
          <w:color w:val="auto"/>
        </w:rPr>
      </w:pPr>
    </w:p>
    <w:p>
      <w:pPr>
        <w:ind w:right="300"/>
        <w:spacing w:after="0" w:line="265" w:lineRule="auto"/>
        <w:rPr>
          <w:sz w:val="20"/>
          <w:szCs w:val="20"/>
          <w:color w:val="auto"/>
        </w:rPr>
      </w:pPr>
      <w:r>
        <w:rPr>
          <w:rFonts w:ascii="Arial" w:cs="Arial" w:eastAsia="Arial" w:hAnsi="Arial"/>
          <w:sz w:val="20"/>
          <w:szCs w:val="20"/>
          <w:color w:val="231F20"/>
        </w:rPr>
        <w:t>Below is a summary of cash flows for 2023, 2022, and 2021, including continuing and discontinued operations. See Note 5, Discontinued Operations, in the consolidated financial statements in Item 8 for additional information on cash flows from discontinued operations.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620" w:type="dxa"/>
            <w:vAlign w:val="bottom"/>
            <w:tcBorders>
              <w:top w:val="single" w:sz="8" w:color="231F20"/>
              <w:bottom w:val="single" w:sz="8" w:color="231F20"/>
            </w:tcBorders>
          </w:tcPr>
          <w:p>
            <w:pPr>
              <w:jc w:val="right"/>
              <w:spacing w:after="0" w:line="184" w:lineRule="exact"/>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15"/>
                <w:szCs w:val="15"/>
                <w:i w:val="1"/>
                <w:iCs w:val="1"/>
                <w:color w:val="231F20"/>
              </w:rPr>
              <w:t>(Inmillions)</w:t>
            </w:r>
          </w:p>
        </w:tc>
        <w:tc>
          <w:tcPr>
            <w:tcW w:w="300" w:type="dxa"/>
            <w:vAlign w:val="bottom"/>
            <w:tcBorders>
              <w:top w:val="single" w:sz="8" w:color="231F20"/>
              <w:bottom w:val="single" w:sz="8" w:color="231F20"/>
            </w:tcBorders>
          </w:tcPr>
          <w:p>
            <w:pPr>
              <w:spacing w:after="0"/>
              <w:rPr>
                <w:sz w:val="16"/>
                <w:szCs w:val="16"/>
                <w:color w:val="auto"/>
              </w:rPr>
            </w:pPr>
          </w:p>
        </w:tc>
        <w:tc>
          <w:tcPr>
            <w:tcW w:w="1060" w:type="dxa"/>
            <w:vAlign w:val="bottom"/>
            <w:tcBorders>
              <w:top w:val="single" w:sz="8" w:color="231F20"/>
              <w:bottom w:val="single" w:sz="8" w:color="231F20"/>
              <w:right w:val="single" w:sz="8" w:color="231F20"/>
            </w:tcBorders>
          </w:tcPr>
          <w:p>
            <w:pPr>
              <w:jc w:val="right"/>
              <w:ind w:right="103"/>
              <w:spacing w:after="0"/>
              <w:rPr>
                <w:sz w:val="20"/>
                <w:szCs w:val="20"/>
                <w:color w:val="auto"/>
              </w:rPr>
            </w:pPr>
            <w:r>
              <w:rPr>
                <w:rFonts w:ascii="Arial" w:cs="Arial" w:eastAsia="Arial" w:hAnsi="Arial"/>
                <w:sz w:val="15"/>
                <w:szCs w:val="15"/>
                <w:i w:val="1"/>
                <w:iCs w:val="1"/>
                <w:color w:val="231F20"/>
              </w:rPr>
              <w:t>2023</w:t>
            </w:r>
          </w:p>
        </w:tc>
        <w:tc>
          <w:tcPr>
            <w:tcW w:w="340" w:type="dxa"/>
            <w:vAlign w:val="bottom"/>
            <w:tcBorders>
              <w:top w:val="single" w:sz="8" w:color="231F20"/>
              <w:bottom w:val="single" w:sz="8" w:color="231F20"/>
            </w:tcBorders>
          </w:tcPr>
          <w:p>
            <w:pPr>
              <w:spacing w:after="0"/>
              <w:rPr>
                <w:sz w:val="16"/>
                <w:szCs w:val="16"/>
                <w:color w:val="auto"/>
              </w:rPr>
            </w:pPr>
          </w:p>
        </w:tc>
        <w:tc>
          <w:tcPr>
            <w:tcW w:w="960" w:type="dxa"/>
            <w:vAlign w:val="bottom"/>
            <w:tcBorders>
              <w:top w:val="single" w:sz="8" w:color="231F20"/>
              <w:bottom w:val="single" w:sz="8" w:color="231F20"/>
            </w:tcBorders>
          </w:tcPr>
          <w:p>
            <w:pPr>
              <w:jc w:val="right"/>
              <w:ind w:right="123"/>
              <w:spacing w:after="0"/>
              <w:rPr>
                <w:sz w:val="20"/>
                <w:szCs w:val="20"/>
                <w:color w:val="auto"/>
              </w:rPr>
            </w:pPr>
            <w:r>
              <w:rPr>
                <w:rFonts w:ascii="Arial" w:cs="Arial" w:eastAsia="Arial" w:hAnsi="Arial"/>
                <w:sz w:val="15"/>
                <w:szCs w:val="15"/>
                <w:color w:val="231F20"/>
              </w:rPr>
              <w:t>2022</w:t>
            </w:r>
          </w:p>
        </w:tc>
        <w:tc>
          <w:tcPr>
            <w:tcW w:w="100" w:type="dxa"/>
            <w:vAlign w:val="bottom"/>
            <w:tcBorders>
              <w:bottom w:val="single" w:sz="8" w:color="231F20"/>
            </w:tcBorders>
          </w:tcPr>
          <w:p>
            <w:pPr>
              <w:spacing w:after="0"/>
              <w:rPr>
                <w:sz w:val="16"/>
                <w:szCs w:val="16"/>
                <w:color w:val="auto"/>
              </w:rPr>
            </w:pPr>
          </w:p>
        </w:tc>
        <w:tc>
          <w:tcPr>
            <w:tcW w:w="240" w:type="dxa"/>
            <w:vAlign w:val="bottom"/>
            <w:tcBorders>
              <w:top w:val="single" w:sz="8" w:color="231F20"/>
              <w:bottom w:val="single" w:sz="8" w:color="231F20"/>
            </w:tcBorders>
          </w:tcPr>
          <w:p>
            <w:pPr>
              <w:spacing w:after="0"/>
              <w:rPr>
                <w:sz w:val="16"/>
                <w:szCs w:val="16"/>
                <w:color w:val="auto"/>
              </w:rPr>
            </w:pPr>
          </w:p>
        </w:tc>
        <w:tc>
          <w:tcPr>
            <w:tcW w:w="820" w:type="dxa"/>
            <w:vAlign w:val="bottom"/>
            <w:tcBorders>
              <w:top w:val="single" w:sz="8" w:color="231F20"/>
              <w:bottom w:val="single" w:sz="8" w:color="231F20"/>
            </w:tcBorders>
          </w:tcPr>
          <w:p>
            <w:pPr>
              <w:jc w:val="right"/>
              <w:ind w:right="3"/>
              <w:spacing w:after="0"/>
              <w:rPr>
                <w:sz w:val="20"/>
                <w:szCs w:val="20"/>
                <w:color w:val="auto"/>
              </w:rPr>
            </w:pPr>
            <w:r>
              <w:rPr>
                <w:rFonts w:ascii="Arial" w:cs="Arial" w:eastAsia="Arial" w:hAnsi="Arial"/>
                <w:sz w:val="15"/>
                <w:szCs w:val="15"/>
                <w:color w:val="231F20"/>
              </w:rPr>
              <w:t>2021</w:t>
            </w:r>
          </w:p>
        </w:tc>
      </w:tr>
      <w:tr>
        <w:trPr>
          <w:trHeight w:val="202"/>
        </w:trPr>
        <w:tc>
          <w:tcPr>
            <w:tcW w:w="5620" w:type="dxa"/>
            <w:vAlign w:val="bottom"/>
          </w:tcPr>
          <w:p>
            <w:pPr>
              <w:jc w:val="right"/>
              <w:spacing w:after="0" w:line="202" w:lineRule="exact"/>
              <w:rPr>
                <w:sz w:val="20"/>
                <w:szCs w:val="20"/>
                <w:color w:val="auto"/>
              </w:rPr>
            </w:pPr>
            <w:r>
              <w:rPr>
                <w:rFonts w:ascii="Arial" w:cs="Arial" w:eastAsia="Arial" w:hAnsi="Arial"/>
                <w:sz w:val="20"/>
                <w:szCs w:val="20"/>
                <w:color w:val="231F20"/>
              </w:rPr>
              <w:t xml:space="preserve">Net cash provided by operating activities </w:t>
            </w:r>
            <w:r>
              <w:rPr>
                <w:rFonts w:ascii="Times New Roman" w:cs="Times New Roman" w:eastAsia="Times New Roman" w:hAnsi="Times New Roman"/>
                <w:sz w:val="20"/>
                <w:szCs w:val="20"/>
                <w:color w:val="231F20"/>
              </w:rPr>
              <w:t>......................................</w:t>
            </w:r>
          </w:p>
        </w:tc>
        <w:tc>
          <w:tcPr>
            <w:tcW w:w="300" w:type="dxa"/>
            <w:vAlign w:val="bottom"/>
          </w:tcPr>
          <w:p>
            <w:pPr>
              <w:jc w:val="right"/>
              <w:ind w:right="39"/>
              <w:spacing w:after="0" w:line="203" w:lineRule="exact"/>
              <w:rPr>
                <w:sz w:val="20"/>
                <w:szCs w:val="20"/>
                <w:color w:val="auto"/>
              </w:rPr>
            </w:pPr>
            <w:r>
              <w:rPr>
                <w:rFonts w:ascii="Arial" w:cs="Arial" w:eastAsia="Arial" w:hAnsi="Arial"/>
                <w:sz w:val="20"/>
                <w:szCs w:val="20"/>
                <w:color w:val="231F20"/>
              </w:rPr>
              <w:t>$</w:t>
            </w:r>
          </w:p>
        </w:tc>
        <w:tc>
          <w:tcPr>
            <w:tcW w:w="1060" w:type="dxa"/>
            <w:vAlign w:val="bottom"/>
            <w:tcBorders>
              <w:right w:val="single" w:sz="8" w:color="231F20"/>
            </w:tcBorders>
          </w:tcPr>
          <w:p>
            <w:pPr>
              <w:jc w:val="right"/>
              <w:ind w:right="103"/>
              <w:spacing w:after="0" w:line="203" w:lineRule="exact"/>
              <w:rPr>
                <w:sz w:val="20"/>
                <w:szCs w:val="20"/>
                <w:color w:val="auto"/>
              </w:rPr>
            </w:pPr>
            <w:r>
              <w:rPr>
                <w:rFonts w:ascii="Arial" w:cs="Arial" w:eastAsia="Arial" w:hAnsi="Arial"/>
                <w:sz w:val="20"/>
                <w:szCs w:val="20"/>
                <w:color w:val="231F20"/>
              </w:rPr>
              <w:t>1,055.8</w:t>
            </w:r>
          </w:p>
        </w:tc>
        <w:tc>
          <w:tcPr>
            <w:tcW w:w="340" w:type="dxa"/>
            <w:vAlign w:val="bottom"/>
          </w:tcPr>
          <w:p>
            <w:pPr>
              <w:jc w:val="right"/>
              <w:ind w:right="39"/>
              <w:spacing w:after="0" w:line="203" w:lineRule="exact"/>
              <w:rPr>
                <w:sz w:val="20"/>
                <w:szCs w:val="20"/>
                <w:color w:val="auto"/>
              </w:rPr>
            </w:pPr>
            <w:r>
              <w:rPr>
                <w:rFonts w:ascii="Arial" w:cs="Arial" w:eastAsia="Arial" w:hAnsi="Arial"/>
                <w:sz w:val="20"/>
                <w:szCs w:val="20"/>
                <w:color w:val="231F20"/>
              </w:rPr>
              <w:t>$</w:t>
            </w:r>
          </w:p>
        </w:tc>
        <w:tc>
          <w:tcPr>
            <w:tcW w:w="960" w:type="dxa"/>
            <w:vAlign w:val="bottom"/>
          </w:tcPr>
          <w:p>
            <w:pPr>
              <w:jc w:val="right"/>
              <w:ind w:right="123"/>
              <w:spacing w:after="0" w:line="203" w:lineRule="exact"/>
              <w:rPr>
                <w:sz w:val="20"/>
                <w:szCs w:val="20"/>
                <w:color w:val="auto"/>
              </w:rPr>
            </w:pPr>
            <w:r>
              <w:rPr>
                <w:rFonts w:ascii="Arial" w:cs="Arial" w:eastAsia="Arial" w:hAnsi="Arial"/>
                <w:sz w:val="20"/>
                <w:szCs w:val="20"/>
                <w:color w:val="231F20"/>
              </w:rPr>
              <w:t>566.3</w:t>
            </w:r>
          </w:p>
        </w:tc>
        <w:tc>
          <w:tcPr>
            <w:tcW w:w="340" w:type="dxa"/>
            <w:vAlign w:val="bottom"/>
            <w:gridSpan w:val="2"/>
          </w:tcPr>
          <w:p>
            <w:pPr>
              <w:jc w:val="right"/>
              <w:ind w:right="140"/>
              <w:spacing w:after="0" w:line="203" w:lineRule="exact"/>
              <w:rPr>
                <w:sz w:val="20"/>
                <w:szCs w:val="20"/>
                <w:color w:val="auto"/>
              </w:rPr>
            </w:pPr>
            <w:r>
              <w:rPr>
                <w:rFonts w:ascii="Arial" w:cs="Arial" w:eastAsia="Arial" w:hAnsi="Arial"/>
                <w:sz w:val="20"/>
                <w:szCs w:val="20"/>
                <w:color w:val="231F20"/>
              </w:rPr>
              <w:t>$</w:t>
            </w:r>
          </w:p>
        </w:tc>
        <w:tc>
          <w:tcPr>
            <w:tcW w:w="820" w:type="dxa"/>
            <w:vAlign w:val="bottom"/>
          </w:tcPr>
          <w:p>
            <w:pPr>
              <w:jc w:val="right"/>
              <w:ind w:right="3"/>
              <w:spacing w:after="0" w:line="203" w:lineRule="exact"/>
              <w:rPr>
                <w:sz w:val="20"/>
                <w:szCs w:val="20"/>
                <w:color w:val="auto"/>
              </w:rPr>
            </w:pPr>
            <w:r>
              <w:rPr>
                <w:rFonts w:ascii="Arial" w:cs="Arial" w:eastAsia="Arial" w:hAnsi="Arial"/>
                <w:sz w:val="20"/>
                <w:szCs w:val="20"/>
                <w:color w:val="231F20"/>
              </w:rPr>
              <w:t>688.7</w:t>
            </w:r>
          </w:p>
        </w:tc>
      </w:tr>
      <w:tr>
        <w:trPr>
          <w:trHeight w:val="233"/>
        </w:trPr>
        <w:tc>
          <w:tcPr>
            <w:tcW w:w="5620" w:type="dxa"/>
            <w:vAlign w:val="bottom"/>
          </w:tcPr>
          <w:p>
            <w:pPr>
              <w:jc w:val="right"/>
              <w:spacing w:after="0"/>
              <w:rPr>
                <w:sz w:val="20"/>
                <w:szCs w:val="20"/>
                <w:color w:val="auto"/>
              </w:rPr>
            </w:pPr>
            <w:r>
              <w:rPr>
                <w:rFonts w:ascii="Arial" w:cs="Arial" w:eastAsia="Arial" w:hAnsi="Arial"/>
                <w:sz w:val="20"/>
                <w:szCs w:val="20"/>
                <w:color w:val="231F20"/>
              </w:rPr>
              <w:t>Net cash used in investing activities</w:t>
            </w: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1060" w:type="dxa"/>
            <w:vAlign w:val="bottom"/>
            <w:tcBorders>
              <w:right w:val="single" w:sz="8" w:color="231F20"/>
            </w:tcBorders>
          </w:tcPr>
          <w:p>
            <w:pPr>
              <w:jc w:val="right"/>
              <w:ind w:right="23"/>
              <w:spacing w:after="0"/>
              <w:rPr>
                <w:sz w:val="20"/>
                <w:szCs w:val="20"/>
                <w:color w:val="auto"/>
              </w:rPr>
            </w:pPr>
            <w:r>
              <w:rPr>
                <w:rFonts w:ascii="Arial" w:cs="Arial" w:eastAsia="Arial" w:hAnsi="Arial"/>
                <w:sz w:val="20"/>
                <w:szCs w:val="20"/>
                <w:color w:val="231F20"/>
              </w:rPr>
              <w:t>(1,037.8)</w:t>
            </w:r>
          </w:p>
        </w:tc>
        <w:tc>
          <w:tcPr>
            <w:tcW w:w="340" w:type="dxa"/>
            <w:vAlign w:val="bottom"/>
          </w:tcPr>
          <w:p>
            <w:pPr>
              <w:spacing w:after="0"/>
              <w:rPr>
                <w:sz w:val="20"/>
                <w:szCs w:val="20"/>
                <w:color w:val="auto"/>
              </w:rPr>
            </w:pPr>
          </w:p>
        </w:tc>
        <w:tc>
          <w:tcPr>
            <w:tcW w:w="960" w:type="dxa"/>
            <w:vAlign w:val="bottom"/>
          </w:tcPr>
          <w:p>
            <w:pPr>
              <w:jc w:val="right"/>
              <w:ind w:right="63"/>
              <w:spacing w:after="0"/>
              <w:rPr>
                <w:sz w:val="20"/>
                <w:szCs w:val="20"/>
                <w:color w:val="auto"/>
              </w:rPr>
            </w:pPr>
            <w:r>
              <w:rPr>
                <w:rFonts w:ascii="Arial" w:cs="Arial" w:eastAsia="Arial" w:hAnsi="Arial"/>
                <w:sz w:val="20"/>
                <w:szCs w:val="20"/>
                <w:color w:val="231F20"/>
              </w:rPr>
              <w:t>(455.5)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(207.1)</w:t>
            </w:r>
          </w:p>
        </w:tc>
      </w:tr>
      <w:tr>
        <w:trPr>
          <w:trHeight w:val="233"/>
        </w:trPr>
        <w:tc>
          <w:tcPr>
            <w:tcW w:w="5620" w:type="dxa"/>
            <w:vAlign w:val="bottom"/>
          </w:tcPr>
          <w:p>
            <w:pPr>
              <w:jc w:val="right"/>
              <w:spacing w:after="0"/>
              <w:rPr>
                <w:sz w:val="20"/>
                <w:szCs w:val="20"/>
                <w:color w:val="auto"/>
              </w:rPr>
            </w:pPr>
            <w:r>
              <w:rPr>
                <w:rFonts w:ascii="Arial" w:cs="Arial" w:eastAsia="Arial" w:hAnsi="Arial"/>
                <w:sz w:val="20"/>
                <w:szCs w:val="20"/>
                <w:color w:val="231F20"/>
              </w:rPr>
              <w:t xml:space="preserve">Net cash provided by (used in) financing activities </w:t>
            </w: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1060" w:type="dxa"/>
            <w:vAlign w:val="bottom"/>
            <w:tcBorders>
              <w:right w:val="single" w:sz="8" w:color="231F20"/>
            </w:tcBorders>
          </w:tcPr>
          <w:p>
            <w:pPr>
              <w:jc w:val="right"/>
              <w:ind w:right="23"/>
              <w:spacing w:after="0"/>
              <w:rPr>
                <w:sz w:val="20"/>
                <w:szCs w:val="20"/>
                <w:color w:val="auto"/>
              </w:rPr>
            </w:pPr>
            <w:r>
              <w:rPr>
                <w:rFonts w:ascii="Arial" w:cs="Arial" w:eastAsia="Arial" w:hAnsi="Arial"/>
                <w:sz w:val="20"/>
                <w:szCs w:val="20"/>
                <w:color w:val="231F20"/>
              </w:rPr>
              <w:t>(271.3)</w:t>
            </w:r>
          </w:p>
        </w:tc>
        <w:tc>
          <w:tcPr>
            <w:tcW w:w="340" w:type="dxa"/>
            <w:vAlign w:val="bottom"/>
          </w:tcPr>
          <w:p>
            <w:pPr>
              <w:spacing w:after="0"/>
              <w:rPr>
                <w:sz w:val="20"/>
                <w:szCs w:val="20"/>
                <w:color w:val="auto"/>
              </w:rPr>
            </w:pPr>
          </w:p>
        </w:tc>
        <w:tc>
          <w:tcPr>
            <w:tcW w:w="960" w:type="dxa"/>
            <w:vAlign w:val="bottom"/>
          </w:tcPr>
          <w:p>
            <w:pPr>
              <w:jc w:val="right"/>
              <w:ind w:right="123"/>
              <w:spacing w:after="0"/>
              <w:rPr>
                <w:sz w:val="20"/>
                <w:szCs w:val="20"/>
                <w:color w:val="auto"/>
              </w:rPr>
            </w:pPr>
            <w:r>
              <w:rPr>
                <w:rFonts w:ascii="Arial" w:cs="Arial" w:eastAsia="Arial" w:hAnsi="Arial"/>
                <w:sz w:val="20"/>
                <w:szCs w:val="20"/>
                <w:color w:val="231F20"/>
              </w:rPr>
              <w:t>72.5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(428.6)</w:t>
            </w:r>
          </w:p>
        </w:tc>
      </w:tr>
      <w:tr>
        <w:trPr>
          <w:trHeight w:val="253"/>
        </w:trPr>
        <w:tc>
          <w:tcPr>
            <w:tcW w:w="56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Effect of foreign exchange rate changes on cash </w:t>
            </w:r>
            <w:r>
              <w:rPr>
                <w:rFonts w:ascii="Times New Roman" w:cs="Times New Roman" w:eastAsia="Times New Roman" w:hAnsi="Times New Roman"/>
                <w:sz w:val="20"/>
                <w:szCs w:val="20"/>
                <w:color w:val="231F20"/>
              </w:rPr>
              <w:t>........................</w:t>
            </w:r>
          </w:p>
        </w:tc>
        <w:tc>
          <w:tcPr>
            <w:tcW w:w="3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right w:val="single" w:sz="8" w:color="231F20"/>
            </w:tcBorders>
          </w:tcPr>
          <w:p>
            <w:pPr>
              <w:jc w:val="right"/>
              <w:ind w:right="103"/>
              <w:spacing w:after="0"/>
              <w:rPr>
                <w:sz w:val="20"/>
                <w:szCs w:val="20"/>
                <w:color w:val="auto"/>
              </w:rPr>
            </w:pPr>
            <w:r>
              <w:rPr>
                <w:rFonts w:ascii="Arial" w:cs="Arial" w:eastAsia="Arial" w:hAnsi="Arial"/>
                <w:sz w:val="20"/>
                <w:szCs w:val="20"/>
                <w:color w:val="231F20"/>
              </w:rPr>
              <w:t>0.5</w:t>
            </w:r>
          </w:p>
        </w:tc>
        <w:tc>
          <w:tcPr>
            <w:tcW w:w="3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ind w:right="63"/>
              <w:spacing w:after="0"/>
              <w:rPr>
                <w:sz w:val="20"/>
                <w:szCs w:val="20"/>
                <w:color w:val="auto"/>
              </w:rPr>
            </w:pPr>
            <w:r>
              <w:rPr>
                <w:rFonts w:ascii="Arial" w:cs="Arial" w:eastAsia="Arial" w:hAnsi="Arial"/>
                <w:sz w:val="20"/>
                <w:szCs w:val="20"/>
                <w:color w:val="231F20"/>
              </w:rPr>
              <w:t>(11.1)</w:t>
            </w:r>
          </w:p>
        </w:tc>
        <w:tc>
          <w:tcPr>
            <w:tcW w:w="100" w:type="dxa"/>
            <w:vAlign w:val="bottom"/>
            <w:tcBorders>
              <w:bottom w:val="single" w:sz="8" w:color="231F20"/>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(1.9)</w:t>
            </w:r>
          </w:p>
        </w:tc>
      </w:tr>
      <w:tr>
        <w:trPr>
          <w:trHeight w:val="248"/>
        </w:trPr>
        <w:tc>
          <w:tcPr>
            <w:tcW w:w="56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Net increase in cash, cash equivalents and restricted cash </w:t>
            </w:r>
            <w:r>
              <w:rPr>
                <w:rFonts w:ascii="Times New Roman" w:cs="Times New Roman" w:eastAsia="Times New Roman" w:hAnsi="Times New Roman"/>
                <w:sz w:val="20"/>
                <w:szCs w:val="20"/>
                <w:color w:val="231F20"/>
              </w:rPr>
              <w:t>.</w:t>
            </w:r>
          </w:p>
        </w:tc>
        <w:tc>
          <w:tcPr>
            <w:tcW w:w="300" w:type="dxa"/>
            <w:vAlign w:val="bottom"/>
            <w:tcBorders>
              <w:bottom w:val="single" w:sz="8" w:color="231F20"/>
            </w:tcBorders>
          </w:tcPr>
          <w:p>
            <w:pPr>
              <w:jc w:val="right"/>
              <w:ind w:right="39"/>
              <w:spacing w:after="0" w:line="223" w:lineRule="exact"/>
              <w:rPr>
                <w:sz w:val="20"/>
                <w:szCs w:val="20"/>
                <w:color w:val="auto"/>
              </w:rPr>
            </w:pPr>
            <w:r>
              <w:rPr>
                <w:rFonts w:ascii="Arial" w:cs="Arial" w:eastAsia="Arial" w:hAnsi="Arial"/>
                <w:sz w:val="20"/>
                <w:szCs w:val="20"/>
                <w:color w:val="231F20"/>
              </w:rPr>
              <w:t>$</w:t>
            </w:r>
          </w:p>
        </w:tc>
        <w:tc>
          <w:tcPr>
            <w:tcW w:w="1060" w:type="dxa"/>
            <w:vAlign w:val="bottom"/>
            <w:tcBorders>
              <w:bottom w:val="single" w:sz="8" w:color="231F20"/>
              <w:right w:val="single" w:sz="8" w:color="231F20"/>
            </w:tcBorders>
          </w:tcPr>
          <w:p>
            <w:pPr>
              <w:jc w:val="right"/>
              <w:ind w:right="23"/>
              <w:spacing w:after="0" w:line="223" w:lineRule="exact"/>
              <w:rPr>
                <w:sz w:val="20"/>
                <w:szCs w:val="20"/>
                <w:color w:val="auto"/>
              </w:rPr>
            </w:pPr>
            <w:r>
              <w:rPr>
                <w:rFonts w:ascii="Arial" w:cs="Arial" w:eastAsia="Arial" w:hAnsi="Arial"/>
                <w:sz w:val="20"/>
                <w:szCs w:val="20"/>
                <w:color w:val="231F20"/>
              </w:rPr>
              <w:t>(252.8)</w:t>
            </w:r>
          </w:p>
        </w:tc>
        <w:tc>
          <w:tcPr>
            <w:tcW w:w="340" w:type="dxa"/>
            <w:vAlign w:val="bottom"/>
            <w:tcBorders>
              <w:bottom w:val="single" w:sz="8" w:color="231F20"/>
            </w:tcBorders>
          </w:tcPr>
          <w:p>
            <w:pPr>
              <w:jc w:val="right"/>
              <w:ind w:right="39"/>
              <w:spacing w:after="0" w:line="223" w:lineRule="exact"/>
              <w:rPr>
                <w:sz w:val="20"/>
                <w:szCs w:val="20"/>
                <w:color w:val="auto"/>
              </w:rPr>
            </w:pPr>
            <w:r>
              <w:rPr>
                <w:rFonts w:ascii="Arial" w:cs="Arial" w:eastAsia="Arial" w:hAnsi="Arial"/>
                <w:sz w:val="20"/>
                <w:szCs w:val="20"/>
                <w:color w:val="231F20"/>
              </w:rPr>
              <w:t>$</w:t>
            </w:r>
          </w:p>
        </w:tc>
        <w:tc>
          <w:tcPr>
            <w:tcW w:w="960" w:type="dxa"/>
            <w:vAlign w:val="bottom"/>
            <w:tcBorders>
              <w:bottom w:val="single" w:sz="8" w:color="231F20"/>
            </w:tcBorders>
          </w:tcPr>
          <w:p>
            <w:pPr>
              <w:jc w:val="right"/>
              <w:ind w:right="123"/>
              <w:spacing w:after="0" w:line="223" w:lineRule="exact"/>
              <w:rPr>
                <w:sz w:val="20"/>
                <w:szCs w:val="20"/>
                <w:color w:val="auto"/>
              </w:rPr>
            </w:pPr>
            <w:r>
              <w:rPr>
                <w:rFonts w:ascii="Arial" w:cs="Arial" w:eastAsia="Arial" w:hAnsi="Arial"/>
                <w:sz w:val="20"/>
                <w:szCs w:val="20"/>
                <w:color w:val="231F20"/>
              </w:rPr>
              <w:t>172.2</w:t>
            </w:r>
          </w:p>
        </w:tc>
        <w:tc>
          <w:tcPr>
            <w:tcW w:w="340" w:type="dxa"/>
            <w:vAlign w:val="bottom"/>
            <w:tcBorders>
              <w:bottom w:val="single" w:sz="8" w:color="231F20"/>
            </w:tcBorders>
            <w:gridSpan w:val="2"/>
          </w:tcPr>
          <w:p>
            <w:pPr>
              <w:jc w:val="right"/>
              <w:ind w:right="140"/>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tcBorders>
          </w:tcPr>
          <w:p>
            <w:pPr>
              <w:jc w:val="right"/>
              <w:ind w:right="3"/>
              <w:spacing w:after="0" w:line="223" w:lineRule="exact"/>
              <w:rPr>
                <w:sz w:val="20"/>
                <w:szCs w:val="20"/>
                <w:color w:val="auto"/>
              </w:rPr>
            </w:pPr>
            <w:r>
              <w:rPr>
                <w:rFonts w:ascii="Arial" w:cs="Arial" w:eastAsia="Arial" w:hAnsi="Arial"/>
                <w:sz w:val="20"/>
                <w:szCs w:val="20"/>
                <w:color w:val="231F20"/>
              </w:rPr>
              <w:t>51.1</w:t>
            </w:r>
          </w:p>
        </w:tc>
      </w:tr>
    </w:tbl>
    <w:p>
      <w:pPr>
        <w:spacing w:after="0" w:line="190"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231F20"/>
        </w:rPr>
        <w:t>Net cash provided by operating activities was $1,055.8 million in 2023, compared to $566.3 million in 2022. The $489.5 million increase in net cash provided by operating activities from 2022 to 2023 was driven by a $702.5 million increase in net cash provided by continuing operations due to an increase in net cash provided by working capital items resulting from initiatives to align working capital with current U.S. home product market activity and expected sales volume. The $84.2 million settlement of our interest rate swaps in 2023 and increased accrued expenses and other liabilities also contributed to the increase in net cash provided by operating activities. These amounts were partially offset by lower net income in 2023 and the absence of operating cash flows as a result of the Separation ($213.0 million in 2022). The $122.4 million decrease in net cash provided by operating activities from 2021 to 2022 was primarily due to a decrease in accounts payable driven by lower sales growth, lower employee incentive accruals and lower advertising expense accruals, lower net income and a decrease in accrued taxes due to lower income before taxes, partially offset by a reduction in the growth of our inventory investments, a decrease in accounts receivable driven by decreased sales in the fourth quarter of 2022 and an increase in cash provided by discontinued operations.</w:t>
      </w:r>
    </w:p>
    <w:p>
      <w:pPr>
        <w:sectPr>
          <w:pgSz w:w="12240" w:h="15840" w:orient="portrait"/>
          <w:cols w:equalWidth="0" w:num="1">
            <w:col w:w="9460"/>
          </w:cols>
          <w:pgMar w:left="1380" w:top="1335"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34</w:t>
      </w:r>
    </w:p>
    <w:p>
      <w:pPr>
        <w:sectPr>
          <w:pgSz w:w="12240" w:h="15840" w:orient="portrait"/>
          <w:cols w:equalWidth="0" w:num="1">
            <w:col w:w="9460"/>
          </w:cols>
          <w:pgMar w:left="1380" w:top="1335" w:right="1400" w:bottom="95" w:gutter="0" w:footer="0" w:header="0"/>
          <w:type w:val="continuous"/>
        </w:sectPr>
      </w:pPr>
    </w:p>
    <w:bookmarkStart w:id="42" w:name="page43"/>
    <w:bookmarkEnd w:id="42"/>
    <w:p>
      <w:pPr>
        <w:spacing w:after="0" w:line="250" w:lineRule="auto"/>
        <w:rPr>
          <w:sz w:val="20"/>
          <w:szCs w:val="20"/>
          <w:color w:val="auto"/>
        </w:rPr>
      </w:pPr>
      <w:r>
        <w:rPr>
          <w:rFonts w:ascii="Arial" w:cs="Arial" w:eastAsia="Arial" w:hAnsi="Arial"/>
          <w:sz w:val="20"/>
          <w:szCs w:val="20"/>
          <w:color w:val="231F20"/>
        </w:rPr>
        <w:t>Net cash used in investing activities was $1,037.8 million in 2023 compared to $455.5 million in 2022. The increase in net cash used in investing activities of $582.3 million from 2022 to 2023 reflects the net cash paid to date as part of the acquisition of the ASSA Businesses of $784.1 million as compared to the acquisitions of Aqualisa and Solar ($217.6 million combined) in 2022. The increase in net cash used in investing activities of $248.4 million from 2021 to 2022 reflects our cost of acquisitions ($217.6 million in 2022) and an increase in capital expenditures, partly offset by proceeds from the sale of previously closed manufacturing facilities.</w:t>
      </w:r>
    </w:p>
    <w:p>
      <w:pPr>
        <w:spacing w:after="0" w:line="13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231F20"/>
        </w:rPr>
        <w:t>Net cash used in financing activities was $271.3 million in 2023 compared to net cash provided by financing activities of $72.5 million in 2022. The increase in net cash used in financing activities of $343.8 million was primarily driven by the absence of cash flow items related to the dividend received from MasterBrand as a result of the Separation ($940.0 million), partially offset by lower share repurchases in 2023 compared to 2022 ($430.1 million decrease), a decrease in dividends paid to stockholders and the absence in 2023 of the final payment for the remaining equity interest in Flo ($16.7 million) which was made during 2022. The increase in net cash provided by financing activities of $501.1 million from 2021 to 2022 was primarily due to the dividend received from MasterBrand, partially offset by lower net borrowings in 2022 compared to 2021 ($172.1 million), higher share repurchases in 2022 compared to 2021 ($132.4 million increase), cash retained by MasterBrand after the Separation ($56.3 million), a decrease in the proceeds from the exercise of stock options and the final payment for the remaining equity interest in Flo.</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Pension Plans</w:t>
      </w:r>
    </w:p>
    <w:p>
      <w:pPr>
        <w:spacing w:after="0" w:line="189"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231F20"/>
        </w:rPr>
        <w:t>Subsidiaries of Fortune Brands sponsor their respective defined benefit pension plans, related to our continuing operations, that are funded by a portfolio of investments maintained within our benefit plan trust. In 2023, 2022 and 2021 we voluntarily contributed $4.0 million, $9.0 million and $18.5 million, respectively, to our qualified pension plans. In 2024, we do not expect to make any pension contributions. As of December 30, 2023, the fair value of our total pension plan assets was $468.0 million, representing funding of about 96% of the accumulated qualified benefit obligation liability. For the foreseeable future, we believe that we have sufficient liquidity to meet the minimum funding that may be required by the Pension Protection Act of 2006.</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Foreign Exchange</w:t>
      </w:r>
    </w:p>
    <w:p>
      <w:pPr>
        <w:spacing w:after="0" w:line="189" w:lineRule="exact"/>
        <w:rPr>
          <w:sz w:val="20"/>
          <w:szCs w:val="20"/>
          <w:color w:val="auto"/>
        </w:rPr>
      </w:pPr>
    </w:p>
    <w:p>
      <w:pPr>
        <w:ind w:right="60"/>
        <w:spacing w:after="0" w:line="265" w:lineRule="auto"/>
        <w:rPr>
          <w:sz w:val="20"/>
          <w:szCs w:val="20"/>
          <w:color w:val="auto"/>
        </w:rPr>
      </w:pPr>
      <w:r>
        <w:rPr>
          <w:rFonts w:ascii="Arial" w:cs="Arial" w:eastAsia="Arial" w:hAnsi="Arial"/>
          <w:sz w:val="20"/>
          <w:szCs w:val="20"/>
          <w:color w:val="231F20"/>
        </w:rPr>
        <w:t>We have operations in various foreign countries, principally Canada, Mexico, the United Kingdom, China, South Africa, Vietnam and France. Therefore, changes in the value of the related currencies affect our financial statements when translated into U.S. dollars.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Contractual Obligations and Other Commercial Commitments</w:t>
      </w:r>
    </w:p>
    <w:p>
      <w:pPr>
        <w:spacing w:after="0" w:line="179"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231F20"/>
        </w:rPr>
        <w:t>The following summarizes our contractual obligations and commitments as of December 30, 2023. Purchase obligations were $635.3 million, of which $622.8 million is due within one year. Purchase obligations include contracts for raw materials and finished goods purchases, selling and administrative services, and capital expenditures. Total lease payments under non-cancellable operating leases as of December 30, 2023 were $37.6 million in 2024, $32.9 million in 2025, $29.5 million in 2026, $24.6 million in 2027, $20.9 million in 2028 and $61.1 million thereafter.</w:t>
      </w:r>
    </w:p>
    <w:p>
      <w:pPr>
        <w:spacing w:after="0" w:line="134" w:lineRule="exact"/>
        <w:rPr>
          <w:sz w:val="20"/>
          <w:szCs w:val="20"/>
          <w:color w:val="auto"/>
        </w:rPr>
      </w:pPr>
    </w:p>
    <w:p>
      <w:pPr>
        <w:ind w:right="320"/>
        <w:spacing w:after="0" w:line="245" w:lineRule="auto"/>
        <w:rPr>
          <w:sz w:val="20"/>
          <w:szCs w:val="20"/>
          <w:color w:val="auto"/>
        </w:rPr>
      </w:pPr>
      <w:r>
        <w:rPr>
          <w:rFonts w:ascii="Arial" w:cs="Arial" w:eastAsia="Arial" w:hAnsi="Arial"/>
          <w:sz w:val="20"/>
          <w:szCs w:val="20"/>
          <w:color w:val="231F20"/>
        </w:rPr>
        <w:t>Due to the uncertainty of the timing of settlement with taxing authorities, we are unable to make reasonably reliable estimates of the period of cash settlement of unrecognized tax benefits. Therefore, $25.6 million of unrecognized tax benefits as of December 30, 2023 have been excluded from the paragraph above.</w:t>
      </w:r>
    </w:p>
    <w:p>
      <w:pPr>
        <w:spacing w:after="0" w:line="127"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231F20"/>
        </w:rPr>
        <w:t>In addition to the contractual obligations and commitments described above, we also had other commercial commitments for which we are contingently liable as of December 30, 2023. Other corporate commercial commitments include standby letters of credit of $30.8 million, in the aggregate, all of which expire in less than one year, and surety bonds of $25.7 million, all of which matures in less than one year. These contingent commitments are not expected to have a significant impact on our liquidity.</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35</w:t>
      </w:r>
    </w:p>
    <w:p>
      <w:pPr>
        <w:sectPr>
          <w:pgSz w:w="12240" w:h="15840" w:orient="portrait"/>
          <w:cols w:equalWidth="0" w:num="1">
            <w:col w:w="9460"/>
          </w:cols>
          <w:pgMar w:left="1380" w:top="1346" w:right="1400" w:bottom="95" w:gutter="0" w:footer="0" w:header="0"/>
          <w:type w:val="continuous"/>
        </w:sectPr>
      </w:pPr>
    </w:p>
    <w:bookmarkStart w:id="43" w:name="page44"/>
    <w:bookmarkEnd w:id="43"/>
    <w:p>
      <w:pPr>
        <w:jc w:val="both"/>
        <w:spacing w:after="0" w:line="235" w:lineRule="auto"/>
        <w:rPr>
          <w:sz w:val="20"/>
          <w:szCs w:val="20"/>
          <w:color w:val="auto"/>
        </w:rPr>
      </w:pPr>
      <w:r>
        <w:rPr>
          <w:rFonts w:ascii="Arial" w:cs="Arial" w:eastAsia="Arial" w:hAnsi="Arial"/>
          <w:sz w:val="20"/>
          <w:szCs w:val="20"/>
          <w:color w:val="231F20"/>
        </w:rPr>
        <w:t>Debt payments due during the next five years as of December 30, 2023 are zero in 2024, $500 million in 2025, zero in 2026, zero in 2027, zero in 2028 and $2,200 million in 2029 and beyond. Interest payments due during the next five years as of December 30, 2023 are $116.3 million in 2024, $202.5 million in 2025 through 2026, $192.5 million in 2027 through 2028 and $723.5 million in 2029 and beyond.</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Foreign Currency Risk</w:t>
      </w:r>
    </w:p>
    <w:p>
      <w:pPr>
        <w:spacing w:after="0" w:line="175"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231F20"/>
        </w:rPr>
        <w:t>Certain anticipated transactions, assets and liabilities are exposed to foreign currency risk. Principal currencies hedged include the Canadian dollar, the Mexican peso, the British pound, Chinese yuan and the South African rand. We regularly monitor our foreign currency exposures in order to maximize the overall effectiveness of our foreign currency hedge positions. For additional information on this risk, see Item 7A. “Quantitative and Qualitative Disclosures about Market Risk” in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Derivative Financial Instruments</w:t>
      </w:r>
    </w:p>
    <w:p>
      <w:pPr>
        <w:spacing w:after="0" w:line="177" w:lineRule="exact"/>
        <w:rPr>
          <w:sz w:val="20"/>
          <w:szCs w:val="20"/>
          <w:color w:val="auto"/>
        </w:rPr>
      </w:pPr>
    </w:p>
    <w:p>
      <w:pPr>
        <w:spacing w:after="0" w:line="235" w:lineRule="auto"/>
        <w:rPr>
          <w:sz w:val="20"/>
          <w:szCs w:val="20"/>
          <w:color w:val="auto"/>
        </w:rPr>
      </w:pPr>
      <w:r>
        <w:rPr>
          <w:rFonts w:ascii="Arial" w:cs="Arial" w:eastAsia="Arial" w:hAnsi="Arial"/>
          <w:sz w:val="20"/>
          <w:szCs w:val="20"/>
          <w:color w:val="231F20"/>
        </w:rPr>
        <w:t>In accordance with Accounting Standards Codification ("ASC") requirements for Derivatives and Hedging, we recognize all derivative contracts as either assets or liabilities on the balance sheet, and the measurement of those instruments is at fair value. If the derivative is designated as a fair value hedge and is effective, the changes in the fair value of the derivative and of the hedged item attributable to the hedged risk are recognized in earnings in the same period. If the derivative is designated as a cash flow hedge, the changes in the fair value of the derivative are recorded in other comprehensive income (“OCI”) and are recognized in the consolidated statement of income when the hedged item affects earnings. If the derivative is designated as an effective economic hedge of the net investment in a foreign operation, the changes in the fair value of the derivative is reported in the cumulative translation adjustment section of OCI. Similar to foreign currency translation adjustments, these changes in fair value are recognized in earnings only when realized upon sale or upon complete or substantially complete liquidation of the investment in the foreign entity.</w:t>
      </w:r>
    </w:p>
    <w:p>
      <w:pPr>
        <w:spacing w:after="0" w:line="132"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231F20"/>
        </w:rPr>
        <w:t>Deferred currency gains (loss) of $5.2 million, $4.7 million and $(2.6) million (before tax impact) were reclassified into earnings for 2023, 2022 and 2021, respectively. Based on foreign exchange rates as of December 30, 2023, we estimate that $9.9 million of net derivative gain included in accumulated other comprehensive income ("AOCI") as of December 30, 2023, will be reclassified to earnings within the next twelve months.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Recently Issued Accounting Standards</w:t>
      </w:r>
    </w:p>
    <w:p>
      <w:pPr>
        <w:spacing w:after="0" w:line="177" w:lineRule="exact"/>
        <w:rPr>
          <w:sz w:val="20"/>
          <w:szCs w:val="20"/>
          <w:color w:val="auto"/>
        </w:rPr>
      </w:pPr>
    </w:p>
    <w:p>
      <w:pPr>
        <w:ind w:right="220"/>
        <w:spacing w:after="0" w:line="275" w:lineRule="auto"/>
        <w:rPr>
          <w:sz w:val="20"/>
          <w:szCs w:val="20"/>
          <w:color w:val="auto"/>
        </w:rPr>
      </w:pPr>
      <w:r>
        <w:rPr>
          <w:rFonts w:ascii="Arial" w:cs="Arial" w:eastAsia="Arial" w:hAnsi="Arial"/>
          <w:sz w:val="20"/>
          <w:szCs w:val="20"/>
          <w:color w:val="231F20"/>
        </w:rPr>
        <w:t>Refer to Note 2, “Significant Accounting Policies,” in Item 8 for discussion of recently issued accounting standards.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Critical Accounting Estimates</w:t>
      </w:r>
    </w:p>
    <w:p>
      <w:pPr>
        <w:spacing w:after="0" w:line="177"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231F20"/>
        </w:rPr>
        <w:t>Our significant accounting policies are described in Note 2, “Significant Accounting Policies,” of the Notes to consolidated financial statements in Item 8 of this Annual Report on Form 10-K. The consolidated financial statements are prepared in conformity with U.S. generally accepted accounting principles (“GAAP”). Preparation of the financial statements requires us to make judgments, estimates and assumptions that affect the amounts of assets and liabilities reflected in the financial statements and revenues and expenses reported for the relevant reporting periods. We believe the policies discussed below are the Company’s critical accounting policies as they include the more significant, subjective and complex judgments and estimates made when preparing our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Inventories</w:t>
      </w:r>
    </w:p>
    <w:p>
      <w:pPr>
        <w:spacing w:after="0" w:line="227" w:lineRule="exact"/>
        <w:rPr>
          <w:sz w:val="20"/>
          <w:szCs w:val="20"/>
          <w:color w:val="auto"/>
        </w:rPr>
      </w:pPr>
    </w:p>
    <w:p>
      <w:pPr>
        <w:ind w:right="400"/>
        <w:spacing w:after="0" w:line="251" w:lineRule="auto"/>
        <w:rPr>
          <w:sz w:val="20"/>
          <w:szCs w:val="20"/>
          <w:color w:val="auto"/>
        </w:rPr>
      </w:pPr>
      <w:r>
        <w:rPr>
          <w:rFonts w:ascii="Arial" w:cs="Arial" w:eastAsia="Arial" w:hAnsi="Arial"/>
          <w:sz w:val="20"/>
          <w:szCs w:val="20"/>
          <w:color w:val="231F20"/>
        </w:rPr>
        <w:t>Inventory provisions are recorded to reduce inventory to the net realizable dollar value for obsolete or slow-moving inventory based on assumptions about future demand and marketability of products, the impact of new product introductions, inventory levels and turns, product spoilage and specific identification of items, such as product discontinuance, engineering/material changes, or regulatory-related changes. In accordance with this policy, our inventory provision was $75.8 million and $49.2 million as of December 30, 2023 and December 31, 2022, respectively.</w:t>
      </w:r>
    </w:p>
    <w:p>
      <w:pPr>
        <w:sectPr>
          <w:pgSz w:w="12240" w:h="15840" w:orient="portrait"/>
          <w:cols w:equalWidth="0" w:num="1">
            <w:col w:w="9440"/>
          </w:cols>
          <w:pgMar w:left="1380" w:top="1327"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36</w:t>
      </w:r>
    </w:p>
    <w:p>
      <w:pPr>
        <w:sectPr>
          <w:pgSz w:w="12240" w:h="15840" w:orient="portrait"/>
          <w:cols w:equalWidth="0" w:num="1">
            <w:col w:w="9440"/>
          </w:cols>
          <w:pgMar w:left="1380" w:top="1327" w:right="1420" w:bottom="95"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i w:val="1"/>
          <w:iCs w:val="1"/>
          <w:color w:val="231F20"/>
        </w:rPr>
        <w:t>Long-lived Assets</w:t>
      </w:r>
    </w:p>
    <w:p>
      <w:pPr>
        <w:spacing w:after="0" w:line="241"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231F20"/>
        </w:rPr>
        <w:t>In accordance with ASC requirements for Property, Plant and Equipment, a long-lived asset (including amortizable identifiable intangible assets) or asset group held for use is tested for recoverability whenever events or changes in circumstances indicate that its carrying amount may not be recoverable. When such events occur, we compare the sum of the undiscounted cash flows expected to result from the use and eventual disposition of the asset or asset group to the carrying amount of a long-lived asset or asset group. The cash flows are based on our best estimate of future cash flows derived from the most recent business projections. If this comparison indicates that there is an impairment, the amount of the impairment is calculated based on fair value. Fair value is estimated primarily using discounted expected future cash flows on a market-participant basis.</w:t>
      </w:r>
    </w:p>
    <w:p>
      <w:pPr>
        <w:spacing w:after="0" w:line="255" w:lineRule="exact"/>
        <w:rPr>
          <w:sz w:val="20"/>
          <w:szCs w:val="20"/>
          <w:color w:val="auto"/>
        </w:rPr>
      </w:pPr>
    </w:p>
    <w:p>
      <w:pPr>
        <w:ind w:right="1380"/>
        <w:spacing w:after="0" w:line="432" w:lineRule="auto"/>
        <w:rPr>
          <w:sz w:val="20"/>
          <w:szCs w:val="20"/>
          <w:color w:val="auto"/>
        </w:rPr>
      </w:pPr>
      <w:r>
        <w:rPr>
          <w:rFonts w:ascii="Arial" w:cs="Arial" w:eastAsia="Arial" w:hAnsi="Arial"/>
          <w:sz w:val="20"/>
          <w:szCs w:val="20"/>
          <w:color w:val="231F20"/>
        </w:rPr>
        <w:t xml:space="preserve">No material impairments related to long-lived assets were recorded in 2023, 2022 or 2021. </w:t>
      </w:r>
      <w:r>
        <w:rPr>
          <w:rFonts w:ascii="Arial" w:cs="Arial" w:eastAsia="Arial" w:hAnsi="Arial"/>
          <w:sz w:val="20"/>
          <w:szCs w:val="20"/>
          <w:i w:val="1"/>
          <w:iCs w:val="1"/>
          <w:color w:val="231F20"/>
        </w:rPr>
        <w:t>Business Combinations</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231F20"/>
        </w:rPr>
        <w:t xml:space="preserve">We account for business combinations under the acquisition method of accounting in accordance with ASC Topic 805, </w:t>
      </w:r>
      <w:r>
        <w:rPr>
          <w:rFonts w:ascii="Arial" w:cs="Arial" w:eastAsia="Arial" w:hAnsi="Arial"/>
          <w:sz w:val="20"/>
          <w:szCs w:val="20"/>
          <w:i w:val="1"/>
          <w:iCs w:val="1"/>
          <w:color w:val="231F20"/>
        </w:rPr>
        <w:t>Business Combinations,</w:t>
      </w:r>
      <w:r>
        <w:rPr>
          <w:rFonts w:ascii="Arial" w:cs="Arial" w:eastAsia="Arial" w:hAnsi="Arial"/>
          <w:sz w:val="20"/>
          <w:szCs w:val="20"/>
          <w:color w:val="231F20"/>
        </w:rPr>
        <w:t xml:space="preserve"> which requires an allocation of the consideration we paid to the identifiable assets, intangible assets and liabilities based on the estimated fair values as of the closing date of the acquisition. The excess of the fair value of the purchase price over the fair values of these identifiable assets, intangible assets and liabilities is recorded as goodwill.</w:t>
      </w:r>
    </w:p>
    <w:p>
      <w:pPr>
        <w:spacing w:after="0" w:line="128" w:lineRule="exact"/>
        <w:rPr>
          <w:sz w:val="20"/>
          <w:szCs w:val="20"/>
          <w:color w:val="auto"/>
        </w:rPr>
      </w:pPr>
    </w:p>
    <w:p>
      <w:pPr>
        <w:spacing w:after="0" w:line="247" w:lineRule="auto"/>
        <w:rPr>
          <w:sz w:val="20"/>
          <w:szCs w:val="20"/>
          <w:color w:val="auto"/>
        </w:rPr>
      </w:pPr>
      <w:r>
        <w:rPr>
          <w:rFonts w:ascii="Arial" w:cs="Arial" w:eastAsia="Arial" w:hAnsi="Arial"/>
          <w:sz w:val="20"/>
          <w:szCs w:val="20"/>
          <w:color w:val="231F20"/>
        </w:rPr>
        <w:t>Purchased intangibles other than goodwill are initially recognized at fair value and amortized over their useful lives unless those lives are determined to be indefinite. The valuation of acquired assets will impact future operating results. The fair value of identifiable intangible assets is determined using an income approach on an individual asset basis. Specifically, we use the multi-period excess earnings method to determine the fair value of customer relationships and the relief-from-royalty approach to determine the fair value of the tradename and proprietary technology. Determining the fair value of acquired intangibles involves significant estimates and assumptions, including forecasted revenue growth rates, earnings before interest and taxes (EBIT) margins, percentage of revenue attributable to the tradename, contributory asset charges, customer attrition rate, market-participant discount rates, the assumed royalty rates and income tax rates.</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231F20"/>
        </w:rPr>
        <w:t>The determination of the useful life of an intangible asset other than goodwill is based on factors including historical tradename performance with respect to consumer name recognition, geographic market presence, market share, plans for ongoing tradename support and promotion, customer attrition rate and other relevant factors.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Goodwill and Indefinite-lived Intangible Assets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20"/>
          <w:szCs w:val="20"/>
          <w:color w:val="231F20"/>
        </w:rPr>
        <w:t>In accordance with ASC requirements for Intangibles - Goodwill and Other, management reviews goodwill for impairment annually in the fourth quarter and whenever market or business events indicate there may be a potential impairment of the reporting unit. Impairment losses are recorded to the extent that the carrying value of the reporting unit exceeds its fair value. The Company’s reporting units are operating segments, or one level below operating segments when appropriate.</w:t>
      </w:r>
    </w:p>
    <w:p>
      <w:pPr>
        <w:sectPr>
          <w:pgSz w:w="12240" w:h="15840" w:orient="portrait"/>
          <w:cols w:equalWidth="0" w:num="1">
            <w:col w:w="9460"/>
          </w:cols>
          <w:pgMar w:left="1380" w:top="1354"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37</w:t>
      </w:r>
    </w:p>
    <w:p>
      <w:pPr>
        <w:sectPr>
          <w:pgSz w:w="12240" w:h="15840" w:orient="portrait"/>
          <w:cols w:equalWidth="0" w:num="1">
            <w:col w:w="9460"/>
          </w:cols>
          <w:pgMar w:left="1380" w:top="1354" w:right="1400" w:bottom="95" w:gutter="0" w:footer="0" w:header="0"/>
          <w:type w:val="continuous"/>
        </w:sectPr>
      </w:pPr>
    </w:p>
    <w:bookmarkStart w:id="45" w:name="page46"/>
    <w:bookmarkEnd w:id="45"/>
    <w:p>
      <w:pPr>
        <w:spacing w:after="0" w:line="245" w:lineRule="auto"/>
        <w:rPr>
          <w:sz w:val="20"/>
          <w:szCs w:val="20"/>
          <w:color w:val="auto"/>
        </w:rPr>
      </w:pPr>
      <w:r>
        <w:rPr>
          <w:rFonts w:ascii="Arial" w:cs="Arial" w:eastAsia="Arial" w:hAnsi="Arial"/>
          <w:sz w:val="20"/>
          <w:szCs w:val="20"/>
          <w:color w:val="231F20"/>
        </w:rPr>
        <w:t>To evaluate the recoverability of goodwill, we first assess qualitative factors to determine whether it is more likely than not that goodwill is impaired. Qualitative factors include changes in volume, margin, customers and the industry. If it is deemed more likely than not that goodwill for a reporting unit is impaired, we will perform a quantitative impairment test where fair value of each reporting unit is estimated using the income approach using a discounted cash flow model based on estimates of future cash flows combined with the market approach using comparable trading and transaction multiples based on guideline public companies. We may also elect to bypass the qualitative testing and proceed directly to the quantitative testing. For the income approach, using a discounted cash flow model, we estimate the future cash flows of the reporting units to which the goodwill relates and then discount the future cash flows at a market-participant-derived discount rate. In determining the estimated future cash flows, we consider current and projected future levels of income based on management’s plans for that business; business trends, prospects and market and economic conditions; and market-participant considerations. Furthermore, our cash flow projections used to assess impairment of our goodwill and other intangible assets are significantly influenced by our projection for the U.S. new home starts and home repair remodel spending, our annual operating plans finalized in the fourth quarter of each year, and our ability to execute on various planned cost reduction initiatives supporting operating income improvements. Our projection for the U.S. home products market is inherently uncertain and is subject to a number of factors, such as employment, home prices, credit availability, new home starts and the rate of home foreclosures. For the market approach, we apply comparable trading and transaction multiples based on guideline public companies to the current operating results of the reporting units to determine each reporting unit’s fair value.</w:t>
      </w:r>
    </w:p>
    <w:p>
      <w:pPr>
        <w:spacing w:after="0" w:line="372" w:lineRule="exact"/>
        <w:rPr>
          <w:sz w:val="20"/>
          <w:szCs w:val="20"/>
          <w:color w:val="auto"/>
        </w:rPr>
      </w:pPr>
    </w:p>
    <w:p>
      <w:pPr>
        <w:ind w:right="320"/>
        <w:spacing w:after="0" w:line="265" w:lineRule="auto"/>
        <w:rPr>
          <w:sz w:val="20"/>
          <w:szCs w:val="20"/>
          <w:color w:val="auto"/>
        </w:rPr>
      </w:pPr>
      <w:r>
        <w:rPr>
          <w:rFonts w:ascii="Arial" w:cs="Arial" w:eastAsia="Arial" w:hAnsi="Arial"/>
          <w:sz w:val="20"/>
          <w:szCs w:val="20"/>
          <w:color w:val="231F20"/>
        </w:rPr>
        <w:t>The significant assumptions that are used to determine the estimated fair value of reporting units for impairment testing are forecasted revenue growth rates, operating income margins, market-participant discount rates and EBITDA multiples.</w:t>
      </w:r>
    </w:p>
    <w:p>
      <w:pPr>
        <w:spacing w:after="0" w:line="118" w:lineRule="exact"/>
        <w:rPr>
          <w:sz w:val="20"/>
          <w:szCs w:val="20"/>
          <w:color w:val="auto"/>
        </w:rPr>
      </w:pPr>
    </w:p>
    <w:p>
      <w:pPr>
        <w:ind w:right="220"/>
        <w:spacing w:after="0" w:line="287" w:lineRule="auto"/>
        <w:rPr>
          <w:sz w:val="20"/>
          <w:szCs w:val="20"/>
          <w:color w:val="auto"/>
        </w:rPr>
      </w:pPr>
      <w:r>
        <w:rPr>
          <w:rFonts w:ascii="Arial" w:cs="Arial" w:eastAsia="Arial" w:hAnsi="Arial"/>
          <w:sz w:val="20"/>
          <w:szCs w:val="20"/>
          <w:color w:val="231F20"/>
        </w:rPr>
        <w:t>The assumptions used to estimate the fair values of the goodwill related to continuing operations tested quantitatively during the year ended December 30, 2023 were as follows:</w:t>
      </w:r>
    </w:p>
    <w:p>
      <w:pPr>
        <w:spacing w:after="0" w:line="262" w:lineRule="exact"/>
        <w:rPr>
          <w:sz w:val="20"/>
          <w:szCs w:val="20"/>
          <w:color w:val="auto"/>
        </w:rPr>
      </w:pPr>
    </w:p>
    <w:p>
      <w:pPr>
        <w:ind w:left="20"/>
        <w:spacing w:after="0"/>
        <w:tabs>
          <w:tab w:leader="dot" w:pos="8920" w:val="left"/>
        </w:tabs>
        <w:rPr>
          <w:sz w:val="20"/>
          <w:szCs w:val="20"/>
          <w:color w:val="auto"/>
        </w:rPr>
      </w:pPr>
      <w:r>
        <w:rPr>
          <w:rFonts w:ascii="Arial" w:cs="Arial" w:eastAsia="Arial" w:hAnsi="Arial"/>
          <w:sz w:val="15"/>
          <w:szCs w:val="15"/>
          <w:u w:val="single" w:color="auto"/>
          <w:color w:val="231F20"/>
        </w:rPr>
        <w:t>Unobservable Input</w:t>
      </w:r>
      <w:r>
        <w:rPr>
          <w:sz w:val="20"/>
          <w:szCs w:val="20"/>
          <w:color w:val="auto"/>
        </w:rPr>
        <w:tab/>
      </w:r>
      <w:r>
        <w:rPr>
          <w:rFonts w:ascii="Arial" w:cs="Arial" w:eastAsia="Arial" w:hAnsi="Arial"/>
          <w:sz w:val="15"/>
          <w:szCs w:val="15"/>
          <w:color w:val="231F20"/>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4576445</wp:posOffset>
                </wp:positionH>
                <wp:positionV relativeFrom="paragraph">
                  <wp:posOffset>46990</wp:posOffset>
                </wp:positionV>
                <wp:extent cx="131826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8260"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35pt,3.7pt" to="464.15pt,3.7pt" o:allowincell="f" strokecolor="#231F20" strokeweight="0.506pt"/>
            </w:pict>
          </mc:Fallback>
        </mc:AlternateContent>
      </w:r>
    </w:p>
    <w:p>
      <w:pPr>
        <w:spacing w:after="0" w:line="67" w:lineRule="exact"/>
        <w:rPr>
          <w:sz w:val="20"/>
          <w:szCs w:val="20"/>
          <w:color w:val="auto"/>
        </w:rPr>
      </w:pPr>
    </w:p>
    <w:p>
      <w:pPr>
        <w:ind w:left="20"/>
        <w:spacing w:after="0"/>
        <w:tabs>
          <w:tab w:leader="dot" w:pos="8860" w:val="left"/>
        </w:tabs>
        <w:rPr>
          <w:sz w:val="20"/>
          <w:szCs w:val="20"/>
          <w:color w:val="auto"/>
        </w:rPr>
      </w:pPr>
      <w:r>
        <w:rPr>
          <w:rFonts w:ascii="Arial" w:cs="Arial" w:eastAsia="Arial" w:hAnsi="Arial"/>
          <w:sz w:val="20"/>
          <w:szCs w:val="20"/>
          <w:color w:val="231F20"/>
        </w:rPr>
        <w:t>Discount rate</w:t>
      </w:r>
      <w:r>
        <w:rPr>
          <w:sz w:val="20"/>
          <w:szCs w:val="20"/>
          <w:color w:val="auto"/>
        </w:rPr>
        <w:tab/>
      </w:r>
      <w:r>
        <w:rPr>
          <w:rFonts w:ascii="Arial" w:cs="Arial" w:eastAsia="Arial" w:hAnsi="Arial"/>
          <w:sz w:val="20"/>
          <w:szCs w:val="20"/>
          <w:color w:val="231F20"/>
        </w:rPr>
        <w:t>10.3%</w:t>
      </w:r>
    </w:p>
    <w:p>
      <w:pPr>
        <w:ind w:left="20"/>
        <w:spacing w:after="0"/>
        <w:tabs>
          <w:tab w:leader="dot" w:pos="8980" w:val="left"/>
        </w:tabs>
        <w:rPr>
          <w:sz w:val="20"/>
          <w:szCs w:val="20"/>
          <w:color w:val="auto"/>
        </w:rPr>
      </w:pPr>
      <w:r>
        <w:rPr>
          <w:rFonts w:ascii="Arial" w:cs="Arial" w:eastAsia="Arial" w:hAnsi="Arial"/>
          <w:sz w:val="20"/>
          <w:szCs w:val="20"/>
          <w:color w:val="231F20"/>
        </w:rPr>
        <w:t>Long-term revenue growth rates</w:t>
      </w:r>
      <w:r>
        <w:rPr>
          <w:rFonts w:ascii="Arial" w:cs="Arial" w:eastAsia="Arial" w:hAnsi="Arial"/>
          <w:sz w:val="26"/>
          <w:szCs w:val="26"/>
          <w:color w:val="231F20"/>
          <w:vertAlign w:val="superscript"/>
        </w:rPr>
        <w:t>(a)</w:t>
      </w:r>
      <w:r>
        <w:rPr>
          <w:sz w:val="20"/>
          <w:szCs w:val="20"/>
          <w:color w:val="auto"/>
        </w:rPr>
        <w:tab/>
      </w:r>
      <w:r>
        <w:rPr>
          <w:rFonts w:ascii="Arial" w:cs="Arial" w:eastAsia="Arial" w:hAnsi="Arial"/>
          <w:sz w:val="20"/>
          <w:szCs w:val="20"/>
          <w:color w:val="231F20"/>
        </w:rPr>
        <w:t>3.0%</w:t>
      </w:r>
    </w:p>
    <w:p>
      <w:pPr>
        <w:spacing w:after="0" w:line="1" w:lineRule="exact"/>
        <w:rPr>
          <w:sz w:val="20"/>
          <w:szCs w:val="20"/>
          <w:color w:val="auto"/>
        </w:rPr>
      </w:pPr>
    </w:p>
    <w:p>
      <w:pPr>
        <w:ind w:left="20"/>
        <w:spacing w:after="0"/>
        <w:tabs>
          <w:tab w:leader="dot" w:pos="8860" w:val="left"/>
        </w:tabs>
        <w:rPr>
          <w:sz w:val="20"/>
          <w:szCs w:val="20"/>
          <w:color w:val="auto"/>
        </w:rPr>
      </w:pPr>
      <w:r>
        <w:rPr>
          <w:rFonts w:ascii="Arial" w:cs="Arial" w:eastAsia="Arial" w:hAnsi="Arial"/>
          <w:sz w:val="20"/>
          <w:szCs w:val="20"/>
          <w:color w:val="231F20"/>
        </w:rPr>
        <w:t>EBITDA multiple</w:t>
      </w:r>
      <w:r>
        <w:rPr>
          <w:sz w:val="20"/>
          <w:szCs w:val="20"/>
          <w:color w:val="auto"/>
        </w:rPr>
        <w:tab/>
      </w:r>
      <w:r>
        <w:rPr>
          <w:rFonts w:ascii="Arial" w:cs="Arial" w:eastAsia="Arial" w:hAnsi="Arial"/>
          <w:sz w:val="20"/>
          <w:szCs w:val="20"/>
          <w:color w:val="231F20"/>
        </w:rPr>
        <w:t>14.0</w:t>
      </w:r>
    </w:p>
    <w:p>
      <w:pPr>
        <w:spacing w:after="0" w:line="197"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10"/>
          <w:szCs w:val="10"/>
          <w:i w:val="1"/>
          <w:iCs w:val="1"/>
          <w:color w:val="231F20"/>
        </w:rPr>
      </w:pPr>
      <w:r>
        <w:rPr>
          <w:rFonts w:ascii="Arial" w:cs="Arial" w:eastAsia="Arial" w:hAnsi="Arial"/>
          <w:sz w:val="16"/>
          <w:szCs w:val="16"/>
          <w:i w:val="1"/>
          <w:iCs w:val="1"/>
          <w:color w:val="231F20"/>
        </w:rPr>
        <w:t>Selected long-term revenue growth rate for the goodwill that was tested quantitatively.</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20"/>
          <w:szCs w:val="20"/>
          <w:color w:val="231F20"/>
        </w:rPr>
        <w:t>A 50 basis point change in the discount rate or long-term revenue growth rate assumptions, or a decrease in multiple of 1.0 in the EBITDA multiple assumption, during the year ended December 30, 2023 would not have resulted in an impairment being recognized when estimating the fair value of our reporting unit goodwill.</w:t>
      </w:r>
    </w:p>
    <w:p>
      <w:pPr>
        <w:spacing w:after="0" w:line="12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231F20"/>
        </w:rPr>
        <w:t>Certain of our tradenames have been assigned an indefinite life as we currently anticipate that these tradenames will contribute cash flows to the Company indefinitely. Indefinite-lived intangible assets are not amortized, but are evaluated at least annually to determine whether the indefinite useful life is appropriate. We measure the fair value of identifiable intangible assets upon acquisition and we review for impairment annually in the fourth quarter and whenever market or business events indicate there may be a potential impairment of that intangible. Impairment losses are recorded to the extent that the carrying value of the indefinite-lived intangible asset exceeds its fair value.</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38</w:t>
      </w:r>
    </w:p>
    <w:p>
      <w:pPr>
        <w:sectPr>
          <w:pgSz w:w="12240" w:h="15840" w:orient="portrait"/>
          <w:cols w:equalWidth="0" w:num="1">
            <w:col w:w="9460"/>
          </w:cols>
          <w:pgMar w:left="1380" w:top="1346" w:right="1400" w:bottom="95" w:gutter="0" w:footer="0" w:header="0"/>
          <w:type w:val="continuous"/>
        </w:sectPr>
      </w:pPr>
    </w:p>
    <w:bookmarkStart w:id="46" w:name="page47"/>
    <w:bookmarkEnd w:id="46"/>
    <w:p>
      <w:pPr>
        <w:ind w:right="40"/>
        <w:spacing w:after="0" w:line="246" w:lineRule="auto"/>
        <w:rPr>
          <w:sz w:val="20"/>
          <w:szCs w:val="20"/>
          <w:color w:val="auto"/>
        </w:rPr>
      </w:pPr>
      <w:r>
        <w:rPr>
          <w:rFonts w:ascii="Arial" w:cs="Arial" w:eastAsia="Arial" w:hAnsi="Arial"/>
          <w:sz w:val="20"/>
          <w:szCs w:val="20"/>
          <w:color w:val="231F20"/>
        </w:rPr>
        <w:t>We first assess qualitative factors to determine whether it is more likely than not that an indefinite-lived intangible asset is impaired. Qualitative factors include changes in volume, customers and the industry. If it is deemed more likely than not that an intangible asset is impaired, we will perform a quantitative impairment test. We measure fair value of our indefinite-lived tradenames using the relief-from-royalty approach which estimates the present value of royalty income that could be hypothetically earned by licensing the brand name to a third party over the remaining useful life. The significant assumptions that are used to determine the estimated fair value for indefinite-lived intangible assets upon acquisition and subsequent impairment testing are forecasted revenue growth rates, the assumed royalty rates and the market-participant discount rates. Of our $520.1 million indefinite-lived tradenames, $216.9 million relate to our Water segment, $271.2 million relate to our Outdoors segment and $32.0 million relate to our Security segment as of December 30, 2023. See Note 6, “Goodwill and Identifiable Intangible Assets,” for additional information.</w:t>
      </w:r>
    </w:p>
    <w:p>
      <w:pPr>
        <w:spacing w:after="0" w:line="145"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231F20"/>
        </w:rPr>
        <w:t>During the fourth quarter of 2023, a reduction in revenue growth expectations, which were finalized during our annual planning process, led us to conclude that it was more likely than not that two indefinite-lived tradenames within our Outdoors segment were impaired. As a result of the impairment tests performed, we recorded pre-tax impairment charges of $28.0 million and $5.5 million, respectively, related to the two indefinite-lived tradenames. As of December 30, 2023, the carrying value of the tradenames were $83.0 million and $12.5 million, respectively.</w:t>
      </w:r>
    </w:p>
    <w:p>
      <w:pPr>
        <w:spacing w:after="0" w:line="12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231F20"/>
        </w:rPr>
        <w:t>The fair values of the impaired tradenames were measured using the relief-from-royalty approach, which estimates the present value of royalty income that could be hypothetically earned by licensing the tradename to a third party over its remaining useful life. Some of the more significant assumptions inherent in estimating the fair values include forecasted revenue growth rates, assumed royalty rates, and market-participant discount rates that reflect the level of risk associated with the tradenames’ future revenues and profitability. We selected the assumptions used in the financial forecasts using historical data, supplemented by current and anticipated market conditions, estimated growth rates and management plans. These assumptions represent level 3 inputs of the fair value hierarchy (refer to Note 10, "Fair Value Measurements").</w:t>
      </w:r>
    </w:p>
    <w:p>
      <w:pPr>
        <w:spacing w:after="0" w:line="127" w:lineRule="exact"/>
        <w:rPr>
          <w:sz w:val="20"/>
          <w:szCs w:val="20"/>
          <w:color w:val="auto"/>
        </w:rPr>
      </w:pPr>
    </w:p>
    <w:p>
      <w:pPr>
        <w:ind w:right="120"/>
        <w:spacing w:after="0" w:line="270" w:lineRule="auto"/>
        <w:rPr>
          <w:sz w:val="20"/>
          <w:szCs w:val="20"/>
          <w:color w:val="auto"/>
        </w:rPr>
      </w:pPr>
      <w:r>
        <w:rPr>
          <w:rFonts w:ascii="Arial" w:cs="Arial" w:eastAsia="Arial" w:hAnsi="Arial"/>
          <w:sz w:val="20"/>
          <w:szCs w:val="20"/>
          <w:color w:val="231F20"/>
        </w:rPr>
        <w:t>The assumptions used to estimate the fair values of the tradenames tested quantitatively during the year ended December 30, 2023 were as follows: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bottom w:val="single" w:sz="8" w:color="231F20"/>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right"/>
              <w:ind w:right="589"/>
              <w:spacing w:after="0"/>
              <w:rPr>
                <w:sz w:val="20"/>
                <w:szCs w:val="20"/>
                <w:color w:val="auto"/>
              </w:rPr>
            </w:pPr>
            <w:r>
              <w:rPr>
                <w:rFonts w:ascii="Arial" w:cs="Arial" w:eastAsia="Arial" w:hAnsi="Arial"/>
                <w:sz w:val="16"/>
                <w:szCs w:val="16"/>
                <w:color w:val="231F20"/>
              </w:rPr>
              <w:t>2023</w:t>
            </w:r>
          </w:p>
        </w:tc>
        <w:tc>
          <w:tcPr>
            <w:tcW w:w="3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4440" w:type="dxa"/>
            <w:vAlign w:val="bottom"/>
            <w:vMerge w:val="restart"/>
          </w:tcPr>
          <w:p>
            <w:pPr>
              <w:jc w:val="center"/>
              <w:spacing w:after="0"/>
              <w:rPr>
                <w:sz w:val="20"/>
                <w:szCs w:val="20"/>
                <w:color w:val="auto"/>
              </w:rPr>
            </w:pPr>
            <w:r>
              <w:rPr>
                <w:rFonts w:ascii="Arial" w:cs="Arial" w:eastAsia="Arial" w:hAnsi="Arial"/>
                <w:sz w:val="15"/>
                <w:szCs w:val="15"/>
                <w:color w:val="231F20"/>
              </w:rPr>
              <w:t>Unobservable Input</w:t>
            </w:r>
          </w:p>
        </w:tc>
        <w:tc>
          <w:tcPr>
            <w:tcW w:w="140" w:type="dxa"/>
            <w:vAlign w:val="bottom"/>
            <w:vMerge w:val="restart"/>
          </w:tcPr>
          <w:p>
            <w:pPr>
              <w:spacing w:after="0"/>
              <w:rPr>
                <w:sz w:val="11"/>
                <w:szCs w:val="11"/>
                <w:color w:val="auto"/>
              </w:rPr>
            </w:pPr>
          </w:p>
        </w:tc>
        <w:tc>
          <w:tcPr>
            <w:tcW w:w="1280" w:type="dxa"/>
            <w:vAlign w:val="bottom"/>
            <w:vMerge w:val="restart"/>
          </w:tcPr>
          <w:p>
            <w:pPr>
              <w:ind w:left="340"/>
              <w:spacing w:after="0"/>
              <w:rPr>
                <w:sz w:val="20"/>
                <w:szCs w:val="20"/>
                <w:color w:val="auto"/>
              </w:rPr>
            </w:pPr>
            <w:r>
              <w:rPr>
                <w:rFonts w:ascii="Arial" w:cs="Arial" w:eastAsia="Arial" w:hAnsi="Arial"/>
                <w:sz w:val="15"/>
                <w:szCs w:val="15"/>
                <w:color w:val="231F20"/>
              </w:rPr>
              <w:t>Minimum</w:t>
            </w:r>
          </w:p>
        </w:tc>
        <w:tc>
          <w:tcPr>
            <w:tcW w:w="420" w:type="dxa"/>
            <w:vAlign w:val="bottom"/>
            <w:vMerge w:val="restart"/>
          </w:tcPr>
          <w:p>
            <w:pPr>
              <w:spacing w:after="0"/>
              <w:rPr>
                <w:sz w:val="11"/>
                <w:szCs w:val="11"/>
                <w:color w:val="auto"/>
              </w:rPr>
            </w:pPr>
          </w:p>
        </w:tc>
        <w:tc>
          <w:tcPr>
            <w:tcW w:w="1500" w:type="dxa"/>
            <w:vAlign w:val="bottom"/>
            <w:vMerge w:val="restart"/>
          </w:tcPr>
          <w:p>
            <w:pPr>
              <w:jc w:val="right"/>
              <w:ind w:right="329"/>
              <w:spacing w:after="0"/>
              <w:rPr>
                <w:sz w:val="20"/>
                <w:szCs w:val="20"/>
                <w:color w:val="auto"/>
              </w:rPr>
            </w:pPr>
            <w:r>
              <w:rPr>
                <w:rFonts w:ascii="Arial" w:cs="Arial" w:eastAsia="Arial" w:hAnsi="Arial"/>
                <w:sz w:val="15"/>
                <w:szCs w:val="15"/>
                <w:color w:val="231F20"/>
              </w:rPr>
              <w:t>Maximum</w:t>
            </w:r>
          </w:p>
        </w:tc>
        <w:tc>
          <w:tcPr>
            <w:tcW w:w="320" w:type="dxa"/>
            <w:vAlign w:val="bottom"/>
            <w:vMerge w:val="restart"/>
          </w:tcPr>
          <w:p>
            <w:pPr>
              <w:spacing w:after="0"/>
              <w:rPr>
                <w:sz w:val="11"/>
                <w:szCs w:val="11"/>
                <w:color w:val="auto"/>
              </w:rPr>
            </w:pPr>
          </w:p>
        </w:tc>
        <w:tc>
          <w:tcPr>
            <w:tcW w:w="1160" w:type="dxa"/>
            <w:vAlign w:val="bottom"/>
          </w:tcPr>
          <w:p>
            <w:pPr>
              <w:ind w:left="260"/>
              <w:spacing w:after="0" w:line="127" w:lineRule="exact"/>
              <w:rPr>
                <w:sz w:val="20"/>
                <w:szCs w:val="20"/>
                <w:color w:val="auto"/>
              </w:rPr>
            </w:pPr>
            <w:r>
              <w:rPr>
                <w:rFonts w:ascii="Arial" w:cs="Arial" w:eastAsia="Arial" w:hAnsi="Arial"/>
                <w:sz w:val="14"/>
                <w:szCs w:val="14"/>
                <w:color w:val="231F20"/>
              </w:rPr>
              <w:t>Weighted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440" w:type="dxa"/>
            <w:vAlign w:val="bottom"/>
            <w:tcBorders>
              <w:bottom w:val="single" w:sz="8" w:color="231F20"/>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tcBorders>
              <w:bottom w:val="single" w:sz="8" w:color="231F20"/>
            </w:tcBorders>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500" w:type="dxa"/>
            <w:vAlign w:val="bottom"/>
            <w:tcBorders>
              <w:bottom w:val="single" w:sz="8" w:color="231F20"/>
            </w:tcBorders>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160" w:type="dxa"/>
            <w:vAlign w:val="bottom"/>
            <w:tcBorders>
              <w:bottom w:val="single" w:sz="8" w:color="231F20"/>
            </w:tcBorders>
          </w:tcPr>
          <w:p>
            <w:pPr>
              <w:ind w:left="240"/>
              <w:spacing w:after="0" w:line="187" w:lineRule="exact"/>
              <w:rPr>
                <w:sz w:val="20"/>
                <w:szCs w:val="20"/>
                <w:color w:val="auto"/>
              </w:rPr>
            </w:pPr>
            <w:r>
              <w:rPr>
                <w:rFonts w:ascii="Arial" w:cs="Arial" w:eastAsia="Arial" w:hAnsi="Arial"/>
                <w:sz w:val="15"/>
                <w:szCs w:val="15"/>
                <w:color w:val="231F20"/>
              </w:rPr>
              <w:t>Average</w:t>
            </w:r>
            <w:r>
              <w:rPr>
                <w:rFonts w:ascii="Arial" w:cs="Arial" w:eastAsia="Arial" w:hAnsi="Arial"/>
                <w:sz w:val="20"/>
                <w:szCs w:val="20"/>
                <w:color w:val="231F20"/>
                <w:vertAlign w:val="superscript"/>
              </w:rPr>
              <w:t>(a)</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440" w:type="dxa"/>
            <w:vAlign w:val="bottom"/>
          </w:tcPr>
          <w:p>
            <w:pPr>
              <w:jc w:val="center"/>
              <w:spacing w:after="0" w:line="172" w:lineRule="exact"/>
              <w:rPr>
                <w:sz w:val="20"/>
                <w:szCs w:val="20"/>
                <w:color w:val="auto"/>
              </w:rPr>
            </w:pPr>
            <w:r>
              <w:rPr>
                <w:rFonts w:ascii="Arial" w:cs="Arial" w:eastAsia="Arial" w:hAnsi="Arial"/>
                <w:sz w:val="19"/>
                <w:szCs w:val="19"/>
                <w:color w:val="231F20"/>
              </w:rPr>
              <w:t>Discount rates</w:t>
            </w:r>
            <w:r>
              <w:rPr>
                <w:rFonts w:ascii="Times New Roman" w:cs="Times New Roman" w:eastAsia="Times New Roman" w:hAnsi="Times New Roman"/>
                <w:sz w:val="19"/>
                <w:szCs w:val="19"/>
                <w:color w:val="231F20"/>
              </w:rPr>
              <w:t>..............................................................</w:t>
            </w:r>
          </w:p>
        </w:tc>
        <w:tc>
          <w:tcPr>
            <w:tcW w:w="140" w:type="dxa"/>
            <w:vAlign w:val="bottom"/>
          </w:tcPr>
          <w:p>
            <w:pPr>
              <w:spacing w:after="0"/>
              <w:rPr>
                <w:sz w:val="14"/>
                <w:szCs w:val="14"/>
                <w:color w:val="auto"/>
              </w:rPr>
            </w:pPr>
          </w:p>
        </w:tc>
        <w:tc>
          <w:tcPr>
            <w:tcW w:w="1700" w:type="dxa"/>
            <w:vAlign w:val="bottom"/>
            <w:gridSpan w:val="2"/>
          </w:tcPr>
          <w:p>
            <w:pPr>
              <w:jc w:val="right"/>
              <w:ind w:right="240"/>
              <w:spacing w:after="0" w:line="173" w:lineRule="exact"/>
              <w:rPr>
                <w:sz w:val="20"/>
                <w:szCs w:val="20"/>
                <w:color w:val="auto"/>
              </w:rPr>
            </w:pPr>
            <w:r>
              <w:rPr>
                <w:rFonts w:ascii="Arial" w:cs="Arial" w:eastAsia="Arial" w:hAnsi="Arial"/>
                <w:sz w:val="19"/>
                <w:szCs w:val="19"/>
                <w:color w:val="231F20"/>
              </w:rPr>
              <w:t>11.1%</w:t>
            </w:r>
          </w:p>
        </w:tc>
        <w:tc>
          <w:tcPr>
            <w:tcW w:w="1820" w:type="dxa"/>
            <w:vAlign w:val="bottom"/>
            <w:gridSpan w:val="2"/>
          </w:tcPr>
          <w:p>
            <w:pPr>
              <w:jc w:val="right"/>
              <w:ind w:right="140"/>
              <w:spacing w:after="0" w:line="173" w:lineRule="exact"/>
              <w:rPr>
                <w:sz w:val="20"/>
                <w:szCs w:val="20"/>
                <w:color w:val="auto"/>
              </w:rPr>
            </w:pPr>
            <w:r>
              <w:rPr>
                <w:rFonts w:ascii="Arial" w:cs="Arial" w:eastAsia="Arial" w:hAnsi="Arial"/>
                <w:sz w:val="19"/>
                <w:szCs w:val="19"/>
                <w:color w:val="231F20"/>
              </w:rPr>
              <w:t>14.5%</w:t>
            </w:r>
          </w:p>
        </w:tc>
        <w:tc>
          <w:tcPr>
            <w:tcW w:w="1340" w:type="dxa"/>
            <w:vAlign w:val="bottom"/>
            <w:gridSpan w:val="2"/>
          </w:tcPr>
          <w:p>
            <w:pPr>
              <w:jc w:val="right"/>
              <w:spacing w:after="0" w:line="173" w:lineRule="exact"/>
              <w:rPr>
                <w:sz w:val="20"/>
                <w:szCs w:val="20"/>
                <w:color w:val="auto"/>
              </w:rPr>
            </w:pPr>
            <w:r>
              <w:rPr>
                <w:rFonts w:ascii="Arial" w:cs="Arial" w:eastAsia="Arial" w:hAnsi="Arial"/>
                <w:sz w:val="19"/>
                <w:szCs w:val="19"/>
                <w:color w:val="231F20"/>
              </w:rPr>
              <w:t>13.6%</w:t>
            </w:r>
          </w:p>
        </w:tc>
        <w:tc>
          <w:tcPr>
            <w:tcW w:w="0" w:type="dxa"/>
            <w:vAlign w:val="bottom"/>
          </w:tcPr>
          <w:p>
            <w:pPr>
              <w:spacing w:after="0"/>
              <w:rPr>
                <w:sz w:val="1"/>
                <w:szCs w:val="1"/>
                <w:color w:val="auto"/>
              </w:rPr>
            </w:pPr>
          </w:p>
        </w:tc>
      </w:tr>
      <w:tr>
        <w:trPr>
          <w:trHeight w:val="216"/>
        </w:trPr>
        <w:tc>
          <w:tcPr>
            <w:tcW w:w="4580" w:type="dxa"/>
            <w:vAlign w:val="bottom"/>
            <w:gridSpan w:val="2"/>
          </w:tcPr>
          <w:p>
            <w:pPr>
              <w:jc w:val="center"/>
              <w:ind w:right="140"/>
              <w:spacing w:after="0" w:line="216" w:lineRule="exact"/>
              <w:rPr>
                <w:sz w:val="20"/>
                <w:szCs w:val="20"/>
                <w:color w:val="auto"/>
              </w:rPr>
            </w:pPr>
            <w:r>
              <w:rPr>
                <w:rFonts w:ascii="Arial" w:cs="Arial" w:eastAsia="Arial" w:hAnsi="Arial"/>
                <w:sz w:val="19"/>
                <w:szCs w:val="19"/>
                <w:color w:val="231F20"/>
              </w:rPr>
              <w:t>Royalty rates</w:t>
            </w:r>
            <w:r>
              <w:rPr>
                <w:rFonts w:ascii="Arial" w:cs="Arial" w:eastAsia="Arial" w:hAnsi="Arial"/>
                <w:sz w:val="25"/>
                <w:szCs w:val="25"/>
                <w:color w:val="231F20"/>
                <w:vertAlign w:val="superscript"/>
              </w:rPr>
              <w:t>(b)</w:t>
            </w:r>
            <w:r>
              <w:rPr>
                <w:rFonts w:ascii="Arial" w:cs="Arial" w:eastAsia="Arial" w:hAnsi="Arial"/>
                <w:sz w:val="19"/>
                <w:szCs w:val="19"/>
                <w:color w:val="231F20"/>
              </w:rPr>
              <w:t xml:space="preserve"> </w:t>
            </w:r>
            <w:r>
              <w:rPr>
                <w:rFonts w:ascii="Times New Roman" w:cs="Times New Roman" w:eastAsia="Times New Roman" w:hAnsi="Times New Roman"/>
                <w:sz w:val="19"/>
                <w:szCs w:val="19"/>
                <w:color w:val="231F20"/>
              </w:rPr>
              <w:t>.............................................................</w:t>
            </w:r>
          </w:p>
        </w:tc>
        <w:tc>
          <w:tcPr>
            <w:tcW w:w="1700" w:type="dxa"/>
            <w:vAlign w:val="bottom"/>
            <w:gridSpan w:val="2"/>
          </w:tcPr>
          <w:p>
            <w:pPr>
              <w:jc w:val="right"/>
              <w:ind w:right="240"/>
              <w:spacing w:after="0" w:line="216" w:lineRule="exact"/>
              <w:rPr>
                <w:sz w:val="20"/>
                <w:szCs w:val="20"/>
                <w:color w:val="auto"/>
              </w:rPr>
            </w:pPr>
            <w:r>
              <w:rPr>
                <w:rFonts w:ascii="Arial" w:cs="Arial" w:eastAsia="Arial" w:hAnsi="Arial"/>
                <w:sz w:val="20"/>
                <w:szCs w:val="20"/>
                <w:color w:val="231F20"/>
              </w:rPr>
              <w:t>2.5%</w:t>
            </w:r>
          </w:p>
        </w:tc>
        <w:tc>
          <w:tcPr>
            <w:tcW w:w="1820" w:type="dxa"/>
            <w:vAlign w:val="bottom"/>
            <w:gridSpan w:val="2"/>
          </w:tcPr>
          <w:p>
            <w:pPr>
              <w:jc w:val="right"/>
              <w:ind w:right="140"/>
              <w:spacing w:after="0" w:line="216" w:lineRule="exact"/>
              <w:rPr>
                <w:sz w:val="20"/>
                <w:szCs w:val="20"/>
                <w:color w:val="auto"/>
              </w:rPr>
            </w:pPr>
            <w:r>
              <w:rPr>
                <w:rFonts w:ascii="Arial" w:cs="Arial" w:eastAsia="Arial" w:hAnsi="Arial"/>
                <w:sz w:val="20"/>
                <w:szCs w:val="20"/>
                <w:color w:val="231F20"/>
              </w:rPr>
              <w:t>3.5%</w:t>
            </w:r>
          </w:p>
        </w:tc>
        <w:tc>
          <w:tcPr>
            <w:tcW w:w="1340" w:type="dxa"/>
            <w:vAlign w:val="bottom"/>
            <w:gridSpan w:val="2"/>
          </w:tcPr>
          <w:p>
            <w:pPr>
              <w:jc w:val="right"/>
              <w:spacing w:after="0" w:line="216" w:lineRule="exact"/>
              <w:rPr>
                <w:sz w:val="20"/>
                <w:szCs w:val="20"/>
                <w:color w:val="auto"/>
              </w:rPr>
            </w:pPr>
            <w:r>
              <w:rPr>
                <w:rFonts w:ascii="Arial" w:cs="Arial" w:eastAsia="Arial" w:hAnsi="Arial"/>
                <w:sz w:val="20"/>
                <w:szCs w:val="20"/>
                <w:color w:val="231F20"/>
              </w:rPr>
              <w:t>3.3%</w:t>
            </w:r>
          </w:p>
        </w:tc>
        <w:tc>
          <w:tcPr>
            <w:tcW w:w="0" w:type="dxa"/>
            <w:vAlign w:val="bottom"/>
          </w:tcPr>
          <w:p>
            <w:pPr>
              <w:spacing w:after="0"/>
              <w:rPr>
                <w:sz w:val="1"/>
                <w:szCs w:val="1"/>
                <w:color w:val="auto"/>
              </w:rPr>
            </w:pPr>
          </w:p>
        </w:tc>
      </w:tr>
      <w:tr>
        <w:trPr>
          <w:trHeight w:val="366"/>
        </w:trPr>
        <w:tc>
          <w:tcPr>
            <w:tcW w:w="4580" w:type="dxa"/>
            <w:vAlign w:val="bottom"/>
            <w:gridSpan w:val="2"/>
          </w:tcPr>
          <w:p>
            <w:pPr>
              <w:jc w:val="center"/>
              <w:ind w:right="140"/>
              <w:spacing w:after="0"/>
              <w:rPr>
                <w:sz w:val="20"/>
                <w:szCs w:val="20"/>
                <w:color w:val="auto"/>
              </w:rPr>
            </w:pPr>
            <w:r>
              <w:rPr>
                <w:rFonts w:ascii="Arial" w:cs="Arial" w:eastAsia="Arial" w:hAnsi="Arial"/>
                <w:sz w:val="20"/>
                <w:szCs w:val="20"/>
                <w:color w:val="231F20"/>
                <w:w w:val="99"/>
              </w:rPr>
              <w:t>Long-term revenue growth rates</w:t>
            </w:r>
            <w:r>
              <w:rPr>
                <w:rFonts w:ascii="Arial" w:cs="Arial" w:eastAsia="Arial" w:hAnsi="Arial"/>
                <w:sz w:val="26"/>
                <w:szCs w:val="26"/>
                <w:color w:val="231F20"/>
                <w:w w:val="99"/>
                <w:vertAlign w:val="superscript"/>
              </w:rPr>
              <w:t>(c)</w:t>
            </w:r>
            <w:r>
              <w:rPr>
                <w:rFonts w:ascii="Arial" w:cs="Arial" w:eastAsia="Arial" w:hAnsi="Arial"/>
                <w:sz w:val="20"/>
                <w:szCs w:val="20"/>
                <w:color w:val="231F20"/>
                <w:w w:val="99"/>
              </w:rPr>
              <w:t xml:space="preserve"> </w:t>
            </w:r>
            <w:r>
              <w:rPr>
                <w:rFonts w:ascii="Times New Roman" w:cs="Times New Roman" w:eastAsia="Times New Roman" w:hAnsi="Times New Roman"/>
                <w:sz w:val="20"/>
                <w:szCs w:val="20"/>
                <w:color w:val="231F20"/>
                <w:w w:val="99"/>
              </w:rPr>
              <w:t>...........................</w:t>
            </w:r>
          </w:p>
        </w:tc>
        <w:tc>
          <w:tcPr>
            <w:tcW w:w="1700" w:type="dxa"/>
            <w:vAlign w:val="bottom"/>
            <w:gridSpan w:val="2"/>
          </w:tcPr>
          <w:p>
            <w:pPr>
              <w:jc w:val="right"/>
              <w:ind w:right="240"/>
              <w:spacing w:after="0"/>
              <w:rPr>
                <w:sz w:val="20"/>
                <w:szCs w:val="20"/>
                <w:color w:val="auto"/>
              </w:rPr>
            </w:pPr>
            <w:r>
              <w:rPr>
                <w:rFonts w:ascii="Arial" w:cs="Arial" w:eastAsia="Arial" w:hAnsi="Arial"/>
                <w:sz w:val="20"/>
                <w:szCs w:val="20"/>
                <w:color w:val="231F20"/>
              </w:rPr>
              <w:t>2.0%</w:t>
            </w:r>
          </w:p>
        </w:tc>
        <w:tc>
          <w:tcPr>
            <w:tcW w:w="1820" w:type="dxa"/>
            <w:vAlign w:val="bottom"/>
            <w:gridSpan w:val="2"/>
          </w:tcPr>
          <w:p>
            <w:pPr>
              <w:jc w:val="right"/>
              <w:ind w:right="140"/>
              <w:spacing w:after="0"/>
              <w:rPr>
                <w:sz w:val="20"/>
                <w:szCs w:val="20"/>
                <w:color w:val="auto"/>
              </w:rPr>
            </w:pPr>
            <w:r>
              <w:rPr>
                <w:rFonts w:ascii="Arial" w:cs="Arial" w:eastAsia="Arial" w:hAnsi="Arial"/>
                <w:sz w:val="20"/>
                <w:szCs w:val="20"/>
                <w:color w:val="231F20"/>
              </w:rPr>
              <w:t>3.0%</w:t>
            </w:r>
          </w:p>
        </w:tc>
        <w:tc>
          <w:tcPr>
            <w:tcW w:w="1340" w:type="dxa"/>
            <w:vAlign w:val="bottom"/>
            <w:gridSpan w:val="2"/>
          </w:tcPr>
          <w:p>
            <w:pPr>
              <w:jc w:val="right"/>
              <w:spacing w:after="0"/>
              <w:rPr>
                <w:sz w:val="20"/>
                <w:szCs w:val="20"/>
                <w:color w:val="auto"/>
              </w:rPr>
            </w:pPr>
            <w:r>
              <w:rPr>
                <w:rFonts w:ascii="Arial" w:cs="Arial" w:eastAsia="Arial" w:hAnsi="Arial"/>
                <w:sz w:val="20"/>
                <w:szCs w:val="20"/>
                <w:color w:val="231F20"/>
              </w:rPr>
              <w:t>2.1%</w:t>
            </w:r>
          </w:p>
        </w:tc>
        <w:tc>
          <w:tcPr>
            <w:tcW w:w="0" w:type="dxa"/>
            <w:vAlign w:val="bottom"/>
          </w:tcPr>
          <w:p>
            <w:pPr>
              <w:spacing w:after="0"/>
              <w:rPr>
                <w:sz w:val="1"/>
                <w:szCs w:val="1"/>
                <w:color w:val="auto"/>
              </w:rPr>
            </w:pPr>
          </w:p>
        </w:tc>
      </w:tr>
    </w:tbl>
    <w:p>
      <w:pPr>
        <w:ind w:left="320" w:hanging="314"/>
        <w:spacing w:after="0" w:line="225" w:lineRule="auto"/>
        <w:tabs>
          <w:tab w:leader="none" w:pos="320" w:val="left"/>
        </w:tabs>
        <w:numPr>
          <w:ilvl w:val="0"/>
          <w:numId w:val="17"/>
        </w:numPr>
        <w:rPr>
          <w:rFonts w:ascii="Arial" w:cs="Arial" w:eastAsia="Arial" w:hAnsi="Arial"/>
          <w:sz w:val="10"/>
          <w:szCs w:val="10"/>
          <w:i w:val="1"/>
          <w:iCs w:val="1"/>
          <w:color w:val="231F20"/>
        </w:rPr>
      </w:pPr>
      <w:r>
        <w:rPr>
          <w:rFonts w:ascii="Arial" w:cs="Arial" w:eastAsia="Arial" w:hAnsi="Arial"/>
          <w:sz w:val="16"/>
          <w:szCs w:val="16"/>
          <w:i w:val="1"/>
          <w:iCs w:val="1"/>
          <w:color w:val="231F20"/>
        </w:rPr>
        <w:t>Weighted by the relative fair value of the tradenames that were tested quantitatively.</w:t>
      </w:r>
    </w:p>
    <w:p>
      <w:pPr>
        <w:ind w:left="320" w:right="780" w:hanging="314"/>
        <w:spacing w:after="0" w:line="225" w:lineRule="auto"/>
        <w:tabs>
          <w:tab w:leader="none" w:pos="320" w:val="left"/>
        </w:tabs>
        <w:numPr>
          <w:ilvl w:val="0"/>
          <w:numId w:val="17"/>
        </w:numPr>
        <w:rPr>
          <w:rFonts w:ascii="Arial" w:cs="Arial" w:eastAsia="Arial" w:hAnsi="Arial"/>
          <w:sz w:val="10"/>
          <w:szCs w:val="10"/>
          <w:i w:val="1"/>
          <w:iCs w:val="1"/>
          <w:color w:val="231F20"/>
        </w:rPr>
      </w:pPr>
      <w:r>
        <w:rPr>
          <w:rFonts w:ascii="Arial" w:cs="Arial" w:eastAsia="Arial" w:hAnsi="Arial"/>
          <w:sz w:val="16"/>
          <w:szCs w:val="16"/>
          <w:i w:val="1"/>
          <w:iCs w:val="1"/>
          <w:color w:val="231F20"/>
        </w:rPr>
        <w:t>Represents estimated percentage of sales a market-participant would pay to license the tradenames that were tested quantitatively.</w:t>
      </w:r>
    </w:p>
    <w:p>
      <w:pPr>
        <w:ind w:left="320" w:hanging="314"/>
        <w:spacing w:after="0"/>
        <w:tabs>
          <w:tab w:leader="none" w:pos="320" w:val="left"/>
        </w:tabs>
        <w:numPr>
          <w:ilvl w:val="0"/>
          <w:numId w:val="17"/>
        </w:numPr>
        <w:rPr>
          <w:rFonts w:ascii="Arial" w:cs="Arial" w:eastAsia="Arial" w:hAnsi="Arial"/>
          <w:sz w:val="10"/>
          <w:szCs w:val="10"/>
          <w:i w:val="1"/>
          <w:iCs w:val="1"/>
          <w:color w:val="231F20"/>
        </w:rPr>
      </w:pPr>
      <w:r>
        <w:rPr>
          <w:rFonts w:ascii="Arial" w:cs="Arial" w:eastAsia="Arial" w:hAnsi="Arial"/>
          <w:sz w:val="16"/>
          <w:szCs w:val="16"/>
          <w:i w:val="1"/>
          <w:iCs w:val="1"/>
          <w:color w:val="231F20"/>
        </w:rPr>
        <w:t>Selected long-term revenue growth rate of the tradenames that were tested quantitatively.</w:t>
      </w:r>
    </w:p>
    <w:p>
      <w:pPr>
        <w:spacing w:after="0" w:line="144"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231F20"/>
        </w:rPr>
        <w:t>For the indefinite-lived tradenames tested quantitatively in 2023, a 50 basis point change in the royalty rate assumption would change the fair value of those tradenames by $27.0 million; a 50 basis point change in the discount rate assumption would change the fair value of those tradenames by approximately $8.0 million; and a 50 basis point change in the long-term revenue growth rate assumption would change the fair value of those tradenames by approximately $4.0 million.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Defined Benefit Plans</w:t>
      </w:r>
    </w:p>
    <w:p>
      <w:pPr>
        <w:spacing w:after="0" w:line="160"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231F20"/>
        </w:rPr>
        <w:t>We have a number of pension plans in the United States, covering many of the Company’s employees. In addition, the Company provides postretirement health care and life insurance benefits to certain retirees. Service cost for 2023 relates to benefit accruals for an hourly Union group within the defined benefit plan for our Security segment. All other benefit accruals under our defined benefit pension plans were frozen as of, or prior to, December 31, 2016.</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39</w:t>
      </w:r>
    </w:p>
    <w:p>
      <w:pPr>
        <w:sectPr>
          <w:pgSz w:w="12240" w:h="15840" w:orient="portrait"/>
          <w:cols w:equalWidth="0" w:num="1">
            <w:col w:w="9460"/>
          </w:cols>
          <w:pgMar w:left="1380" w:top="1346" w:right="1400" w:bottom="95" w:gutter="0" w:footer="0" w:header="0"/>
          <w:type w:val="continuous"/>
        </w:sectPr>
      </w:pPr>
    </w:p>
    <w:bookmarkStart w:id="47" w:name="page48"/>
    <w:bookmarkEnd w:id="47"/>
    <w:p>
      <w:pPr>
        <w:spacing w:after="0" w:line="230" w:lineRule="auto"/>
        <w:rPr>
          <w:sz w:val="20"/>
          <w:szCs w:val="20"/>
          <w:color w:val="auto"/>
        </w:rPr>
      </w:pPr>
      <w:r>
        <w:rPr>
          <w:rFonts w:ascii="Arial" w:cs="Arial" w:eastAsia="Arial" w:hAnsi="Arial"/>
          <w:sz w:val="20"/>
          <w:szCs w:val="20"/>
          <w:color w:val="231F20"/>
        </w:rPr>
        <w:t>We recognize changes in the net actuarial gains or losses in other income, net to the extent they exceed 10 percent of the greater of the fair value of pension plan assets or projected benefit obligation for each plan (the “corridor”) in earnings immediately upon remeasurement, which is at least annually in the fourth quarter of each fiscal year. Net actuarial gains and losses occur when actual experience differs from any of the assumptions used to value defined benefit plans or when assumptions change as they may each year. The primary factors contributing to actuarial gains and losses are changes in the discount rate used to value obligations as of the measurement date and the differences between expected and actual returns on pension plan assets. This accounting method results in the potential for volatile and difficult to forecast gains and losses. The pre-tax recognition of actuarial gains was $0.6 million and $1.3 million in 2023 and 2022, respectively. The total unrecognized net actuarial losses in accumulated other comprehensive income for all defined benefit plans were $35.8 million as of December 30, 2023, compared to $49.2 million as of December 31, 2022.</w:t>
      </w:r>
    </w:p>
    <w:p>
      <w:pPr>
        <w:spacing w:after="0" w:line="131"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231F20"/>
        </w:rPr>
        <w:t>We record amounts relating to these defined benefit plans based on various actuarial assumptions, including discount rates, assumed rates of return, compensation increases, turnover rates and health care cost trend rates. We review our actuarial assumptions on an annual basis and make modifications to the assumptions based on current economic conditions and trends. We believe that the assumptions utilized in recording our obligations under our plans are reasonable based on our experience and on advice from our independent actuaries; however, differences in actual experience or changes in the assumptions may materially affect our financial condition or results of operations. The expected rate of return on plan assets is determined based on the nature of the plans’ investments, our current asset allocation and our expectations for long-term rates of return. The weighted-average long-term expected rate of return on pension plan assets for the years ended December 30, 2023 and December 31, 2022 was 6.1% and 4.4%, respectively.</w:t>
      </w:r>
    </w:p>
    <w:p>
      <w:pPr>
        <w:spacing w:after="0" w:line="141" w:lineRule="exact"/>
        <w:rPr>
          <w:sz w:val="20"/>
          <w:szCs w:val="20"/>
          <w:color w:val="auto"/>
        </w:rPr>
      </w:pPr>
    </w:p>
    <w:p>
      <w:pPr>
        <w:ind w:right="20"/>
        <w:spacing w:after="0"/>
        <w:rPr>
          <w:sz w:val="20"/>
          <w:szCs w:val="20"/>
          <w:color w:val="auto"/>
        </w:rPr>
      </w:pPr>
      <w:r>
        <w:rPr>
          <w:rFonts w:ascii="Arial" w:cs="Arial" w:eastAsia="Arial" w:hAnsi="Arial"/>
          <w:sz w:val="20"/>
          <w:szCs w:val="20"/>
          <w:color w:val="231F20"/>
        </w:rPr>
        <w:t>The discount rate used to measure obligations is based on a spot-rate yield curve on a plan-by-plan basis that matches projected future benefit payments with the appropriate interest rate applicable to the timing of the projected future benefit payments. The bond portfolio used for the selection of the discount rate is from the top quartile of bonds rated by nationally recognized statistical rating organizations, and includes only non-callable bonds and those that are deemed to be sufficiently marketable with a Moody’s credit rating of Aa or higher. The weighted-average discount rate for defined benefit liabilities as of December 30, 2023 and 2022 was 5.0% and 5.2%, respectively.</w:t>
      </w:r>
    </w:p>
    <w:p>
      <w:pPr>
        <w:spacing w:after="0" w:line="133" w:lineRule="exact"/>
        <w:rPr>
          <w:sz w:val="20"/>
          <w:szCs w:val="20"/>
          <w:color w:val="auto"/>
        </w:rPr>
      </w:pPr>
    </w:p>
    <w:p>
      <w:pPr>
        <w:spacing w:after="0" w:line="237" w:lineRule="auto"/>
        <w:rPr>
          <w:sz w:val="20"/>
          <w:szCs w:val="20"/>
          <w:color w:val="auto"/>
        </w:rPr>
      </w:pPr>
      <w:r>
        <w:rPr>
          <w:rFonts w:ascii="Arial" w:cs="Arial" w:eastAsia="Arial" w:hAnsi="Arial"/>
          <w:sz w:val="20"/>
          <w:szCs w:val="20"/>
          <w:color w:val="231F20"/>
        </w:rPr>
        <w:t>For the postretirement benefits obligation, our health care trend rate assumption is based on historical cost increases and expectations for long-term increases. As of December 30, 2023, for postretirement medical and prescription drugs in the next year, our assumption was an assumed rate of increase of 7.3% for pre-65 retirees and 6.9% for post-65 retirees, declining until reaching an ultimate assumed rate of increase of 4.5% per year in 2033. As of December 31, 2022, for postretirement medical and prescription drugs in the next year, our assumption was an assumed rate of increase of 5.8% for pre-65 retirees and</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231F20"/>
        </w:rPr>
        <w:t>6.3% for post-65 retirees, declining until reaching an ultimate assumed rate of increase of 4.5% per year in 2028.</w:t>
      </w:r>
    </w:p>
    <w:p>
      <w:pPr>
        <w:spacing w:after="0" w:line="123" w:lineRule="exact"/>
        <w:rPr>
          <w:sz w:val="20"/>
          <w:szCs w:val="20"/>
          <w:color w:val="auto"/>
        </w:rPr>
      </w:pPr>
    </w:p>
    <w:p>
      <w:pPr>
        <w:ind w:right="180"/>
        <w:spacing w:after="0" w:line="277" w:lineRule="auto"/>
        <w:rPr>
          <w:sz w:val="20"/>
          <w:szCs w:val="20"/>
          <w:color w:val="auto"/>
        </w:rPr>
      </w:pPr>
      <w:r>
        <w:rPr>
          <w:rFonts w:ascii="Arial" w:cs="Arial" w:eastAsia="Arial" w:hAnsi="Arial"/>
          <w:sz w:val="20"/>
          <w:szCs w:val="20"/>
          <w:color w:val="231F20"/>
        </w:rPr>
        <w:t>Below is a table showing pre-tax pension and postretirement expenses, including the impact of actuarial gains &amp; losses (which include settlement losses):</w:t>
      </w:r>
    </w:p>
    <w:p>
      <w:pPr>
        <w:spacing w:after="0" w:line="123" w:lineRule="exact"/>
        <w:rPr>
          <w:sz w:val="20"/>
          <w:szCs w:val="20"/>
          <w:color w:val="auto"/>
        </w:rPr>
      </w:pPr>
    </w:p>
    <w:tbl>
      <w:tblPr>
        <w:tblLayout w:type="fixed"/>
        <w:tblInd w:w="960" w:type="dxa"/>
        <w:tblCellMar>
          <w:top w:w="0" w:type="dxa"/>
          <w:left w:w="0" w:type="dxa"/>
          <w:bottom w:w="0" w:type="dxa"/>
          <w:right w:w="0" w:type="dxa"/>
        </w:tblCellMar>
      </w:tblPr>
      <w:tr>
        <w:trPr>
          <w:trHeight w:val="185"/>
        </w:trPr>
        <w:tc>
          <w:tcPr>
            <w:tcW w:w="5100" w:type="dxa"/>
            <w:vAlign w:val="bottom"/>
            <w:tcBorders>
              <w:top w:val="single" w:sz="8" w:color="231F20"/>
              <w:bottom w:val="single" w:sz="8" w:color="231F20"/>
              <w:right w:val="single" w:sz="8" w:color="231F20"/>
            </w:tcBorders>
          </w:tcPr>
          <w:p>
            <w:pPr>
              <w:jc w:val="right"/>
              <w:spacing w:after="0" w:line="184"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460" w:type="dxa"/>
            <w:vAlign w:val="bottom"/>
            <w:tcBorders>
              <w:top w:val="single" w:sz="8" w:color="231F20"/>
              <w:bottom w:val="single" w:sz="8" w:color="231F20"/>
            </w:tcBorders>
          </w:tcPr>
          <w:p>
            <w:pPr>
              <w:spacing w:after="0"/>
              <w:rPr>
                <w:sz w:val="16"/>
                <w:szCs w:val="16"/>
                <w:color w:val="auto"/>
              </w:rPr>
            </w:pPr>
          </w:p>
        </w:tc>
        <w:tc>
          <w:tcPr>
            <w:tcW w:w="800" w:type="dxa"/>
            <w:vAlign w:val="bottom"/>
            <w:tcBorders>
              <w:top w:val="single" w:sz="8" w:color="231F20"/>
              <w:bottom w:val="single" w:sz="8" w:color="231F20"/>
              <w:right w:val="single" w:sz="8" w:color="231F20"/>
            </w:tcBorders>
          </w:tcPr>
          <w:p>
            <w:pPr>
              <w:jc w:val="right"/>
              <w:ind w:right="64"/>
              <w:spacing w:after="0"/>
              <w:rPr>
                <w:sz w:val="20"/>
                <w:szCs w:val="20"/>
                <w:color w:val="auto"/>
              </w:rPr>
            </w:pPr>
            <w:r>
              <w:rPr>
                <w:rFonts w:ascii="Arial" w:cs="Arial" w:eastAsia="Arial" w:hAnsi="Arial"/>
                <w:sz w:val="15"/>
                <w:szCs w:val="15"/>
                <w:i w:val="1"/>
                <w:iCs w:val="1"/>
                <w:color w:val="231F20"/>
              </w:rPr>
              <w:t>2023</w:t>
            </w:r>
          </w:p>
        </w:tc>
        <w:tc>
          <w:tcPr>
            <w:tcW w:w="480" w:type="dxa"/>
            <w:vAlign w:val="bottom"/>
            <w:tcBorders>
              <w:top w:val="single" w:sz="8" w:color="231F20"/>
              <w:bottom w:val="single" w:sz="8" w:color="231F20"/>
            </w:tcBorders>
          </w:tcPr>
          <w:p>
            <w:pPr>
              <w:spacing w:after="0"/>
              <w:rPr>
                <w:sz w:val="16"/>
                <w:szCs w:val="16"/>
                <w:color w:val="auto"/>
              </w:rPr>
            </w:pPr>
          </w:p>
        </w:tc>
        <w:tc>
          <w:tcPr>
            <w:tcW w:w="72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5"/>
                <w:szCs w:val="15"/>
                <w:color w:val="231F20"/>
              </w:rPr>
              <w:t>2022</w:t>
            </w:r>
          </w:p>
        </w:tc>
      </w:tr>
      <w:tr>
        <w:trPr>
          <w:trHeight w:val="202"/>
        </w:trPr>
        <w:tc>
          <w:tcPr>
            <w:tcW w:w="510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rPr>
              <w:t>Total pension loss (income)</w:t>
            </w:r>
            <w:r>
              <w:rPr>
                <w:rFonts w:ascii="Times New Roman" w:cs="Times New Roman" w:eastAsia="Times New Roman" w:hAnsi="Times New Roman"/>
                <w:sz w:val="20"/>
                <w:szCs w:val="20"/>
                <w:color w:val="231F20"/>
              </w:rPr>
              <w:t>..................................................</w:t>
            </w:r>
          </w:p>
        </w:tc>
        <w:tc>
          <w:tcPr>
            <w:tcW w:w="460" w:type="dxa"/>
            <w:vAlign w:val="bottom"/>
          </w:tcPr>
          <w:p>
            <w:pPr>
              <w:jc w:val="right"/>
              <w:ind w:right="179"/>
              <w:spacing w:after="0" w:line="203" w:lineRule="exact"/>
              <w:rPr>
                <w:sz w:val="20"/>
                <w:szCs w:val="20"/>
                <w:color w:val="auto"/>
              </w:rPr>
            </w:pPr>
            <w:r>
              <w:rPr>
                <w:rFonts w:ascii="Arial" w:cs="Arial" w:eastAsia="Arial" w:hAnsi="Arial"/>
                <w:sz w:val="20"/>
                <w:szCs w:val="20"/>
                <w:color w:val="231F20"/>
              </w:rPr>
              <w:t>$</w:t>
            </w:r>
          </w:p>
        </w:tc>
        <w:tc>
          <w:tcPr>
            <w:tcW w:w="800" w:type="dxa"/>
            <w:vAlign w:val="bottom"/>
            <w:tcBorders>
              <w:right w:val="single" w:sz="8" w:color="231F20"/>
            </w:tcBorders>
          </w:tcPr>
          <w:p>
            <w:pPr>
              <w:jc w:val="right"/>
              <w:ind w:right="64"/>
              <w:spacing w:after="0" w:line="203" w:lineRule="exact"/>
              <w:rPr>
                <w:sz w:val="20"/>
                <w:szCs w:val="20"/>
                <w:color w:val="auto"/>
              </w:rPr>
            </w:pPr>
            <w:r>
              <w:rPr>
                <w:rFonts w:ascii="Arial" w:cs="Arial" w:eastAsia="Arial" w:hAnsi="Arial"/>
                <w:sz w:val="20"/>
                <w:szCs w:val="20"/>
                <w:color w:val="231F20"/>
              </w:rPr>
              <w:t>0.7</w:t>
            </w:r>
          </w:p>
        </w:tc>
        <w:tc>
          <w:tcPr>
            <w:tcW w:w="480" w:type="dxa"/>
            <w:vAlign w:val="bottom"/>
          </w:tcPr>
          <w:p>
            <w:pPr>
              <w:jc w:val="right"/>
              <w:ind w:right="199"/>
              <w:spacing w:after="0" w:line="203" w:lineRule="exact"/>
              <w:rPr>
                <w:sz w:val="20"/>
                <w:szCs w:val="20"/>
                <w:color w:val="auto"/>
              </w:rPr>
            </w:pPr>
            <w:r>
              <w:rPr>
                <w:rFonts w:ascii="Arial" w:cs="Arial" w:eastAsia="Arial" w:hAnsi="Arial"/>
                <w:sz w:val="20"/>
                <w:szCs w:val="20"/>
                <w:color w:val="231F20"/>
              </w:rPr>
              <w:t>$</w:t>
            </w:r>
          </w:p>
        </w:tc>
        <w:tc>
          <w:tcPr>
            <w:tcW w:w="720" w:type="dxa"/>
            <w:vAlign w:val="bottom"/>
          </w:tcPr>
          <w:p>
            <w:pPr>
              <w:jc w:val="right"/>
              <w:spacing w:after="0" w:line="203" w:lineRule="exact"/>
              <w:rPr>
                <w:sz w:val="20"/>
                <w:szCs w:val="20"/>
                <w:color w:val="auto"/>
              </w:rPr>
            </w:pPr>
            <w:r>
              <w:rPr>
                <w:rFonts w:ascii="Arial" w:cs="Arial" w:eastAsia="Arial" w:hAnsi="Arial"/>
                <w:sz w:val="20"/>
                <w:szCs w:val="20"/>
                <w:color w:val="231F20"/>
              </w:rPr>
              <w:t>(7.8)</w:t>
            </w:r>
          </w:p>
        </w:tc>
      </w:tr>
      <w:tr>
        <w:trPr>
          <w:trHeight w:val="233"/>
        </w:trPr>
        <w:tc>
          <w:tcPr>
            <w:tcW w:w="510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Actuarial loss (gain) component of income above </w:t>
            </w:r>
            <w:r>
              <w:rPr>
                <w:rFonts w:ascii="Times New Roman" w:cs="Times New Roman" w:eastAsia="Times New Roman" w:hAnsi="Times New Roman"/>
                <w:sz w:val="20"/>
                <w:szCs w:val="20"/>
                <w:color w:val="231F20"/>
              </w:rPr>
              <w:t>......</w:t>
            </w:r>
          </w:p>
        </w:tc>
        <w:tc>
          <w:tcPr>
            <w:tcW w:w="460" w:type="dxa"/>
            <w:vAlign w:val="bottom"/>
          </w:tcPr>
          <w:p>
            <w:pPr>
              <w:spacing w:after="0"/>
              <w:rPr>
                <w:sz w:val="20"/>
                <w:szCs w:val="20"/>
                <w:color w:val="auto"/>
              </w:rPr>
            </w:pPr>
          </w:p>
        </w:tc>
        <w:tc>
          <w:tcPr>
            <w:tcW w:w="800" w:type="dxa"/>
            <w:vAlign w:val="bottom"/>
            <w:tcBorders>
              <w:right w:val="single" w:sz="8" w:color="231F20"/>
            </w:tcBorders>
          </w:tcPr>
          <w:p>
            <w:pPr>
              <w:jc w:val="right"/>
              <w:ind w:right="64"/>
              <w:spacing w:after="0"/>
              <w:rPr>
                <w:sz w:val="20"/>
                <w:szCs w:val="20"/>
                <w:color w:val="auto"/>
              </w:rPr>
            </w:pPr>
            <w:r>
              <w:rPr>
                <w:rFonts w:ascii="Arial" w:cs="Arial" w:eastAsia="Arial" w:hAnsi="Arial"/>
                <w:sz w:val="20"/>
                <w:szCs w:val="20"/>
                <w:color w:val="231F20"/>
              </w:rPr>
              <w:t>2.0</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31F20"/>
              </w:rPr>
              <w:t>(0.3)</w:t>
            </w:r>
          </w:p>
        </w:tc>
      </w:tr>
      <w:tr>
        <w:trPr>
          <w:trHeight w:val="233"/>
        </w:trPr>
        <w:tc>
          <w:tcPr>
            <w:tcW w:w="510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Total postretirement income </w:t>
            </w:r>
            <w:r>
              <w:rPr>
                <w:rFonts w:ascii="Times New Roman" w:cs="Times New Roman" w:eastAsia="Times New Roman" w:hAnsi="Times New Roman"/>
                <w:sz w:val="20"/>
                <w:szCs w:val="20"/>
                <w:color w:val="231F20"/>
              </w:rPr>
              <w:t>.................................................</w:t>
            </w:r>
          </w:p>
        </w:tc>
        <w:tc>
          <w:tcPr>
            <w:tcW w:w="460" w:type="dxa"/>
            <w:vAlign w:val="bottom"/>
          </w:tcPr>
          <w:p>
            <w:pPr>
              <w:spacing w:after="0"/>
              <w:rPr>
                <w:sz w:val="20"/>
                <w:szCs w:val="20"/>
                <w:color w:val="auto"/>
              </w:rPr>
            </w:pPr>
          </w:p>
        </w:tc>
        <w:tc>
          <w:tcPr>
            <w:tcW w:w="800" w:type="dxa"/>
            <w:vAlign w:val="bottom"/>
            <w:tcBorders>
              <w:right w:val="single" w:sz="8" w:color="231F20"/>
            </w:tcBorders>
          </w:tcPr>
          <w:p>
            <w:pPr>
              <w:jc w:val="right"/>
              <w:ind w:right="4"/>
              <w:spacing w:after="0"/>
              <w:rPr>
                <w:sz w:val="20"/>
                <w:szCs w:val="20"/>
                <w:color w:val="auto"/>
              </w:rPr>
            </w:pPr>
            <w:r>
              <w:rPr>
                <w:rFonts w:ascii="Arial" w:cs="Arial" w:eastAsia="Arial" w:hAnsi="Arial"/>
                <w:sz w:val="20"/>
                <w:szCs w:val="20"/>
                <w:color w:val="231F20"/>
              </w:rPr>
              <w:t>(1.7)</w:t>
            </w: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31F20"/>
              </w:rPr>
              <w:t>(0.2)</w:t>
            </w:r>
          </w:p>
        </w:tc>
      </w:tr>
      <w:tr>
        <w:trPr>
          <w:trHeight w:val="279"/>
        </w:trPr>
        <w:tc>
          <w:tcPr>
            <w:tcW w:w="51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 xml:space="preserve">Actuarial gain component of income above </w:t>
            </w:r>
            <w:r>
              <w:rPr>
                <w:rFonts w:ascii="Times New Roman" w:cs="Times New Roman" w:eastAsia="Times New Roman" w:hAnsi="Times New Roman"/>
                <w:sz w:val="20"/>
                <w:szCs w:val="20"/>
                <w:color w:val="231F20"/>
              </w:rPr>
              <w:t>.................</w:t>
            </w:r>
          </w:p>
        </w:tc>
        <w:tc>
          <w:tcPr>
            <w:tcW w:w="46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right w:val="single" w:sz="8" w:color="231F20"/>
            </w:tcBorders>
          </w:tcPr>
          <w:p>
            <w:pPr>
              <w:jc w:val="right"/>
              <w:ind w:right="4"/>
              <w:spacing w:after="0"/>
              <w:rPr>
                <w:sz w:val="20"/>
                <w:szCs w:val="20"/>
                <w:color w:val="auto"/>
              </w:rPr>
            </w:pPr>
            <w:r>
              <w:rPr>
                <w:rFonts w:ascii="Arial" w:cs="Arial" w:eastAsia="Arial" w:hAnsi="Arial"/>
                <w:sz w:val="20"/>
                <w:szCs w:val="20"/>
                <w:color w:val="231F20"/>
              </w:rPr>
              <w:t>(2.6)</w:t>
            </w:r>
          </w:p>
        </w:tc>
        <w:tc>
          <w:tcPr>
            <w:tcW w:w="48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(1.0)</w:t>
            </w:r>
          </w:p>
        </w:tc>
      </w:tr>
    </w:tbl>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231F20"/>
        </w:rPr>
        <w:t xml:space="preserve">Discount rates in 2023 used to determine benefit obligations decreased by an average of 20 basis points for pension benefits. Discount rates for 2023 postretirement benefits increased by an average of 20 basis points </w:t>
      </w:r>
      <w:r>
        <w:rPr>
          <w:rFonts w:ascii="Arial" w:cs="Arial" w:eastAsia="Arial" w:hAnsi="Arial"/>
          <w:sz w:val="20"/>
          <w:szCs w:val="20"/>
          <w:color w:val="5B5C5E"/>
        </w:rPr>
        <w:t>.</w:t>
      </w:r>
      <w:r>
        <w:rPr>
          <w:rFonts w:ascii="Arial" w:cs="Arial" w:eastAsia="Arial" w:hAnsi="Arial"/>
          <w:sz w:val="20"/>
          <w:szCs w:val="20"/>
          <w:color w:val="231F20"/>
        </w:rPr>
        <w:t xml:space="preserve"> Discount rates in 2022 used to determine benefit obligations increased by an average of 230 basis points for pension benefits. Discount rates for 2022 postretirement benefits decreased an average of 190 basis points. Our actual gain on plan assets in 2023 was 10.0% compared to an actuarial assumption of an average 6.1% expected return. Our actual loss on plan assets in 2022 was 22.6% c</w:t>
      </w:r>
      <w:r>
        <w:rPr>
          <w:rFonts w:ascii="Arial" w:cs="Arial" w:eastAsia="Arial" w:hAnsi="Arial"/>
          <w:sz w:val="20"/>
          <w:szCs w:val="20"/>
          <w:color w:val="636466"/>
        </w:rPr>
        <w:t>ompared to an</w:t>
      </w:r>
      <w:r>
        <w:rPr>
          <w:rFonts w:ascii="Arial" w:cs="Arial" w:eastAsia="Arial" w:hAnsi="Arial"/>
          <w:sz w:val="20"/>
          <w:szCs w:val="20"/>
          <w:color w:val="231F20"/>
        </w:rPr>
        <w:t xml:space="preserve"> </w:t>
      </w:r>
      <w:r>
        <w:rPr>
          <w:rFonts w:ascii="Arial" w:cs="Arial" w:eastAsia="Arial" w:hAnsi="Arial"/>
          <w:sz w:val="20"/>
          <w:szCs w:val="20"/>
          <w:color w:val="636466"/>
        </w:rPr>
        <w:t xml:space="preserve">actuarial assumption of an average </w:t>
      </w:r>
      <w:r>
        <w:rPr>
          <w:rFonts w:ascii="Arial" w:cs="Arial" w:eastAsia="Arial" w:hAnsi="Arial"/>
          <w:sz w:val="20"/>
          <w:szCs w:val="20"/>
          <w:color w:val="231F20"/>
        </w:rPr>
        <w:t>4.4% expected return. Significant actuarial losses in future periods</w:t>
      </w:r>
      <w:r>
        <w:rPr>
          <w:rFonts w:ascii="Arial" w:cs="Arial" w:eastAsia="Arial" w:hAnsi="Arial"/>
          <w:sz w:val="20"/>
          <w:szCs w:val="20"/>
          <w:color w:val="636466"/>
        </w:rPr>
        <w:t xml:space="preserve"> </w:t>
      </w:r>
      <w:r>
        <w:rPr>
          <w:rFonts w:ascii="Arial" w:cs="Arial" w:eastAsia="Arial" w:hAnsi="Arial"/>
          <w:sz w:val="20"/>
          <w:szCs w:val="20"/>
          <w:color w:val="231F20"/>
        </w:rPr>
        <w:t>would be expected if discount rates decline, actual returns on plan assets are lower than our expected return, or a combination of both occurs.</w:t>
      </w:r>
    </w:p>
    <w:p>
      <w:pPr>
        <w:sectPr>
          <w:pgSz w:w="12240" w:h="15840" w:orient="portrait"/>
          <w:cols w:equalWidth="0" w:num="1">
            <w:col w:w="9460"/>
          </w:cols>
          <w:pgMar w:left="1380" w:top="1332" w:right="1400" w:bottom="95"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40</w:t>
      </w:r>
    </w:p>
    <w:p>
      <w:pPr>
        <w:sectPr>
          <w:pgSz w:w="12240" w:h="15840" w:orient="portrait"/>
          <w:cols w:equalWidth="0" w:num="1">
            <w:col w:w="9460"/>
          </w:cols>
          <w:pgMar w:left="1380" w:top="1332" w:right="1400" w:bottom="95" w:gutter="0" w:footer="0" w:header="0"/>
          <w:type w:val="continuous"/>
        </w:sectPr>
      </w:pPr>
    </w:p>
    <w:bookmarkStart w:id="48" w:name="page49"/>
    <w:bookmarkEnd w:id="48"/>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20"/>
          <w:szCs w:val="20"/>
          <w:color w:val="231F20"/>
        </w:rPr>
        <w:t>A 25 basis point change in our discount rate assumption would lead to an increase or decrease in our pension and postretirement liability of approximately $12 million. A 25 basis point change in the long-term rate of return on plan assets used in accounting for our pension plans would have a $1.1 million impact on pension expense. In addition, if required, actuarial gains and losses will be recorded in accordance with our defined benefit plan accounting method as previously described. It is not possible to forecast or predict whether there will be actuarial gains and losses in future periods, and if required, the magnitude of any such adjustment. These gains and losses are driven by differences in actual experience or changes in the assumptions that are beyond our control, such as changes in interest rates and the actual return on pension plan assets.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Income Taxes</w:t>
      </w:r>
    </w:p>
    <w:p>
      <w:pPr>
        <w:spacing w:after="0" w:line="184"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231F20"/>
        </w:rPr>
        <w:t>In accordance with ASC requirements for Income Taxes, we establish deferred tax liabilities or assets for temporary differences between financial and tax reporting basis and subsequently adjust them to reflect changes in tax rates expected to be in effect when the temporary differences reverse. We record a valuation allowance reducing deferred tax assets when it is more likely than not that such assets will not be realized.</w:t>
      </w:r>
    </w:p>
    <w:p>
      <w:pPr>
        <w:spacing w:after="0" w:line="392"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231F20"/>
        </w:rPr>
        <w:t>We record liabilities for uncertain income tax positions based on a two-step process. The first step is recognition, where we evaluate whether an individual tax position has a likelihood of greater than 50% of being sustained upon examination based on the technical merits of the position, including resolution of any related appeals or litigation processes. For tax positions that are currently estimated to have a less than 50% likelihood of being sustained, no tax benefit is recorded. For tax positions that have met the recognition threshold in the first step, we perform the second step of measuring the benefit to be recorded. The actual benefits ultimately realized may differ from our estimates. In future periods, changes in facts, circumstances, and new information may require us to change the recognition and measurement estimates with regard to individual tax positions. Changes in recognition and measurement estimates are recorded in the consolidated statement of income and consolidated balance sheet in the period in which such changes occur. As of December 30, 2023, we had liabilities for unrecognized tax benefits pertaining to uncertain tax positions totaling $25.6 million. It is reasonably possible that the unrecognized tax benefits may decrease by $7.7 million in the next 12 months primarily as a result of the lapse of the statute of limitations of U.S. federal, state and foreign income taxes.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Customer Program Costs</w:t>
      </w:r>
    </w:p>
    <w:p>
      <w:pPr>
        <w:spacing w:after="0" w:line="165"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231F20"/>
        </w:rPr>
        <w:t>Customer programs and incentives are a common practice in our businesses. Our businesses incur customer program costs to obtain favorable product placement, to promote sales of products and to maintain competitive pricing. We record estimates to reduce revenue for customer programs and incentives, which are considered variable consideration, and include price discounts, volume-based incentives, promotions and cooperative advertising when revenue is recognized in order to determine the amount of consideration the Company will ultimately be entitled to receive. These estimates are based on historical and projected experience for each type of customer. In addition, for certain customer program incentives, we receive an identifiable benefit (goods or services) in exchange for the consideration given and record the associated expenditure in selling, general and administrative expenses. Volume allowances are accrued based on management’s estimates of customer volume achievement and other factors incorporated into customer agreements, such as new products, store sell-through, merchandising support, levels of returns and customer training. Management periodically reviews accruals for these rebates and allowances, and adjusts accruals when circumstances indicate (typically as a result of a change in volume expectations).</w:t>
      </w:r>
    </w:p>
    <w:p>
      <w:pPr>
        <w:sectPr>
          <w:pgSz w:w="12240" w:h="15840" w:orient="portrait"/>
          <w:cols w:equalWidth="0" w:num="1">
            <w:col w:w="9440"/>
          </w:cols>
          <w:pgMar w:left="1380" w:top="1440"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41</w:t>
      </w:r>
    </w:p>
    <w:p>
      <w:pPr>
        <w:sectPr>
          <w:pgSz w:w="12240" w:h="15840" w:orient="portrait"/>
          <w:cols w:equalWidth="0" w:num="1">
            <w:col w:w="9440"/>
          </w:cols>
          <w:pgMar w:left="1380" w:top="1440" w:right="1420" w:bottom="95" w:gutter="0" w:footer="0" w:header="0"/>
          <w:type w:val="continuous"/>
        </w:sectPr>
      </w:pPr>
    </w:p>
    <w:bookmarkStart w:id="49" w:name="page50"/>
    <w:bookmarkEnd w:id="49"/>
    <w:p>
      <w:pPr>
        <w:spacing w:after="0"/>
        <w:tabs>
          <w:tab w:leader="none" w:pos="1000" w:val="left"/>
        </w:tabs>
        <w:rPr>
          <w:sz w:val="20"/>
          <w:szCs w:val="20"/>
          <w:color w:val="auto"/>
        </w:rPr>
      </w:pPr>
      <w:r>
        <w:rPr>
          <w:rFonts w:ascii="Arial" w:cs="Arial" w:eastAsia="Arial" w:hAnsi="Arial"/>
          <w:sz w:val="20"/>
          <w:szCs w:val="20"/>
          <w:b w:val="1"/>
          <w:bCs w:val="1"/>
          <w:color w:val="231F20"/>
        </w:rPr>
        <w:t>Item 7A.</w:t>
        <w:tab/>
        <w:t>Quantitative and Qualitative Disclosures about Market Risk.</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20"/>
          <w:szCs w:val="20"/>
          <w:color w:val="231F20"/>
        </w:rPr>
        <w:t>We are exposed to various market risks, including changes in interest rates, foreign currency exchange rates and commodity prices. Market risk is the potential loss arising from adverse changes in market rates and prices, such as interest rates, foreign currency exchange rates and commodity prices. We do not enter into derivatives or other financial instruments for trading or speculative purposes. We enter into financial instruments to manage and reduce the impact of changes in foreign currency exchange rates and commodity prices. The counterparties are major financial institutions.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Interest Rate Risk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The Company did not have any external variable rate borrowings as of December 30, 2023.</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Foreign Exchange Rate Risk</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20"/>
          <w:szCs w:val="20"/>
          <w:color w:val="231F20"/>
        </w:rPr>
        <w:t>We enter into forward foreign exchange contracts principally to hedge currency fluctuations in transactions denominated in certain foreign currencies, thereby limiting our risk that would otherwise result from changes in exchange rates. The periods of the forward foreign exchange contracts correspond to the periods of the hedged transactions.</w:t>
      </w:r>
    </w:p>
    <w:p>
      <w:pPr>
        <w:spacing w:after="0" w:line="127" w:lineRule="exact"/>
        <w:rPr>
          <w:sz w:val="20"/>
          <w:szCs w:val="20"/>
          <w:color w:val="auto"/>
        </w:rPr>
      </w:pPr>
    </w:p>
    <w:p>
      <w:pPr>
        <w:ind w:right="680"/>
        <w:spacing w:after="0" w:line="287" w:lineRule="auto"/>
        <w:rPr>
          <w:sz w:val="20"/>
          <w:szCs w:val="20"/>
          <w:color w:val="auto"/>
        </w:rPr>
      </w:pPr>
      <w:r>
        <w:rPr>
          <w:rFonts w:ascii="Arial" w:cs="Arial" w:eastAsia="Arial" w:hAnsi="Arial"/>
          <w:sz w:val="20"/>
          <w:szCs w:val="20"/>
          <w:color w:val="231F20"/>
        </w:rPr>
        <w:t>The estimated fair value of foreign currency contracts represents the amount required to enter into offsetting contracts with similar remaining maturities based on quoted market prices.</w:t>
      </w:r>
    </w:p>
    <w:p>
      <w:pPr>
        <w:spacing w:after="0" w:line="9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231F20"/>
        </w:rPr>
        <w:t>The estimated potential loss under foreign exchange contracts from movement in foreign exchange rates would not have a material impact on our results of operations, cash flows or financial condition. As part of our risk management procedure, we use a value-at-risk (“VAR”) sensitivity analysis model to estimate the maximum potential economic loss from adverse changes in foreign exchange rates over a one-day period given a 95% confidence level. The VAR model uses historical foreign exchange rates to estimate the volatility and correlation of these rates in future periods. The estimated maximum one-day loss in the fair value of the Company’s foreign currency exchange contracts using the VAR model was $1.4 million at December 30, 2023. The 95% confidence interval signifies our degree of confidence that actual losses under foreign exchange contracts would not exceed the estimated losses. The amounts disregard the possibility that foreign currency exchange rates could move in our favor. The VAR model assumes that all movements in the foreign exchange rates will be adverse. These amounts should not be considered projections of future losses, since actual results may differ significantly depending upon activity in the global financial markets. The VAR model is a risk analysis tool and should not be construed as an endorsement of the VAR model or the accuracy of the related assumptions.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Commodity Price Risk</w:t>
      </w:r>
    </w:p>
    <w:p>
      <w:pPr>
        <w:spacing w:after="0" w:line="189" w:lineRule="exact"/>
        <w:rPr>
          <w:sz w:val="20"/>
          <w:szCs w:val="20"/>
          <w:color w:val="auto"/>
        </w:rPr>
      </w:pPr>
    </w:p>
    <w:p>
      <w:pPr>
        <w:jc w:val="both"/>
        <w:ind w:right="640"/>
        <w:spacing w:after="0" w:line="265" w:lineRule="auto"/>
        <w:rPr>
          <w:sz w:val="20"/>
          <w:szCs w:val="20"/>
          <w:color w:val="auto"/>
        </w:rPr>
      </w:pPr>
      <w:r>
        <w:rPr>
          <w:rFonts w:ascii="Arial" w:cs="Arial" w:eastAsia="Arial" w:hAnsi="Arial"/>
          <w:sz w:val="20"/>
          <w:szCs w:val="20"/>
          <w:color w:val="231F20"/>
        </w:rPr>
        <w:t>We are subject to commodity price volatility caused by weather, supply conditions, geopolitical and economic variables, and other unpredictable external factors. From time to time, we use derivative contracts to manage our exposure to commodity price volatility.</w:t>
      </w:r>
    </w:p>
    <w:p>
      <w:pPr>
        <w:sectPr>
          <w:pgSz w:w="12240" w:h="15840" w:orient="portrait"/>
          <w:cols w:equalWidth="0" w:num="1">
            <w:col w:w="9460"/>
          </w:cols>
          <w:pgMar w:left="1380" w:top="1342"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42</w:t>
      </w:r>
    </w:p>
    <w:p>
      <w:pPr>
        <w:sectPr>
          <w:pgSz w:w="12240" w:h="15840" w:orient="portrait"/>
          <w:cols w:equalWidth="0" w:num="1">
            <w:col w:w="9460"/>
          </w:cols>
          <w:pgMar w:left="1380" w:top="1342" w:right="1400" w:bottom="95"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89"/>
        </w:trPr>
        <w:tc>
          <w:tcPr>
            <w:tcW w:w="7300" w:type="dxa"/>
            <w:vAlign w:val="bottom"/>
          </w:tcPr>
          <w:p>
            <w:pPr>
              <w:spacing w:after="0"/>
              <w:rPr>
                <w:sz w:val="20"/>
                <w:szCs w:val="20"/>
                <w:color w:val="auto"/>
              </w:rPr>
            </w:pPr>
            <w:r>
              <w:rPr>
                <w:rFonts w:ascii="Arial" w:cs="Arial" w:eastAsia="Arial" w:hAnsi="Arial"/>
                <w:sz w:val="20"/>
                <w:szCs w:val="20"/>
                <w:b w:val="1"/>
                <w:bCs w:val="1"/>
                <w:color w:val="231F20"/>
              </w:rPr>
              <w:t>Item 8.  Financial Statements and Supplementary Data.</w:t>
            </w:r>
          </w:p>
        </w:tc>
        <w:tc>
          <w:tcPr>
            <w:tcW w:w="2160" w:type="dxa"/>
            <w:vAlign w:val="bottom"/>
          </w:tcPr>
          <w:p>
            <w:pPr>
              <w:spacing w:after="0"/>
              <w:rPr>
                <w:sz w:val="24"/>
                <w:szCs w:val="24"/>
                <w:color w:val="auto"/>
              </w:rPr>
            </w:pPr>
          </w:p>
        </w:tc>
      </w:tr>
      <w:tr>
        <w:trPr>
          <w:trHeight w:val="456"/>
        </w:trPr>
        <w:tc>
          <w:tcPr>
            <w:tcW w:w="7300" w:type="dxa"/>
            <w:vAlign w:val="bottom"/>
          </w:tcPr>
          <w:p>
            <w:pPr>
              <w:spacing w:after="0"/>
              <w:rPr>
                <w:sz w:val="20"/>
                <w:szCs w:val="20"/>
                <w:color w:val="auto"/>
              </w:rPr>
            </w:pPr>
            <w:r>
              <w:rPr>
                <w:rFonts w:ascii="Arial" w:cs="Arial" w:eastAsia="Arial" w:hAnsi="Arial"/>
                <w:sz w:val="20"/>
                <w:szCs w:val="20"/>
                <w:color w:val="231F20"/>
              </w:rPr>
              <w:t>Report of Independent Registered Public Accounting Firm</w:t>
            </w:r>
          </w:p>
        </w:tc>
        <w:tc>
          <w:tcPr>
            <w:tcW w:w="2160" w:type="dxa"/>
            <w:vAlign w:val="bottom"/>
          </w:tcPr>
          <w:p>
            <w:pPr>
              <w:jc w:val="right"/>
              <w:spacing w:after="0"/>
              <w:rPr>
                <w:sz w:val="20"/>
                <w:szCs w:val="20"/>
                <w:color w:val="auto"/>
              </w:rPr>
            </w:pPr>
            <w:r>
              <w:rPr>
                <w:rFonts w:ascii="Arial" w:cs="Arial" w:eastAsia="Arial" w:hAnsi="Arial"/>
                <w:sz w:val="20"/>
                <w:szCs w:val="20"/>
                <w:color w:val="231F20"/>
              </w:rPr>
              <w:t>44</w:t>
            </w:r>
          </w:p>
        </w:tc>
      </w:tr>
      <w:tr>
        <w:trPr>
          <w:trHeight w:val="255"/>
        </w:trPr>
        <w:tc>
          <w:tcPr>
            <w:tcW w:w="7300" w:type="dxa"/>
            <w:vAlign w:val="bottom"/>
          </w:tcPr>
          <w:p>
            <w:pPr>
              <w:spacing w:after="0"/>
              <w:rPr>
                <w:sz w:val="20"/>
                <w:szCs w:val="20"/>
                <w:color w:val="auto"/>
              </w:rPr>
            </w:pPr>
            <w:r>
              <w:rPr>
                <w:rFonts w:ascii="Arial" w:cs="Arial" w:eastAsia="Arial" w:hAnsi="Arial"/>
                <w:sz w:val="20"/>
                <w:szCs w:val="20"/>
                <w:color w:val="231F20"/>
              </w:rPr>
              <w:t>Consolidated Statements of Income</w:t>
            </w:r>
          </w:p>
        </w:tc>
        <w:tc>
          <w:tcPr>
            <w:tcW w:w="2160" w:type="dxa"/>
            <w:vAlign w:val="bottom"/>
          </w:tcPr>
          <w:p>
            <w:pPr>
              <w:jc w:val="right"/>
              <w:spacing w:after="0"/>
              <w:rPr>
                <w:sz w:val="20"/>
                <w:szCs w:val="20"/>
                <w:color w:val="auto"/>
              </w:rPr>
            </w:pPr>
            <w:r>
              <w:rPr>
                <w:rFonts w:ascii="Arial" w:cs="Arial" w:eastAsia="Arial" w:hAnsi="Arial"/>
                <w:sz w:val="20"/>
                <w:szCs w:val="20"/>
                <w:color w:val="231F20"/>
              </w:rPr>
              <w:t>48</w:t>
            </w:r>
          </w:p>
        </w:tc>
      </w:tr>
      <w:tr>
        <w:trPr>
          <w:trHeight w:val="247"/>
        </w:trPr>
        <w:tc>
          <w:tcPr>
            <w:tcW w:w="7300" w:type="dxa"/>
            <w:vAlign w:val="bottom"/>
          </w:tcPr>
          <w:p>
            <w:pPr>
              <w:spacing w:after="0"/>
              <w:rPr>
                <w:sz w:val="20"/>
                <w:szCs w:val="20"/>
                <w:color w:val="auto"/>
              </w:rPr>
            </w:pPr>
            <w:r>
              <w:rPr>
                <w:rFonts w:ascii="Arial" w:cs="Arial" w:eastAsia="Arial" w:hAnsi="Arial"/>
                <w:sz w:val="20"/>
                <w:szCs w:val="20"/>
                <w:color w:val="231F20"/>
              </w:rPr>
              <w:t>Consolidated Statements of Comprehensive Income</w:t>
            </w:r>
          </w:p>
        </w:tc>
        <w:tc>
          <w:tcPr>
            <w:tcW w:w="2160" w:type="dxa"/>
            <w:vAlign w:val="bottom"/>
          </w:tcPr>
          <w:p>
            <w:pPr>
              <w:jc w:val="right"/>
              <w:spacing w:after="0"/>
              <w:rPr>
                <w:sz w:val="20"/>
                <w:szCs w:val="20"/>
                <w:color w:val="auto"/>
              </w:rPr>
            </w:pPr>
            <w:r>
              <w:rPr>
                <w:rFonts w:ascii="Arial" w:cs="Arial" w:eastAsia="Arial" w:hAnsi="Arial"/>
                <w:sz w:val="20"/>
                <w:szCs w:val="20"/>
                <w:color w:val="231F20"/>
              </w:rPr>
              <w:t>49</w:t>
            </w:r>
          </w:p>
        </w:tc>
      </w:tr>
      <w:tr>
        <w:trPr>
          <w:trHeight w:val="247"/>
        </w:trPr>
        <w:tc>
          <w:tcPr>
            <w:tcW w:w="7300" w:type="dxa"/>
            <w:vAlign w:val="bottom"/>
          </w:tcPr>
          <w:p>
            <w:pPr>
              <w:spacing w:after="0"/>
              <w:rPr>
                <w:sz w:val="20"/>
                <w:szCs w:val="20"/>
                <w:color w:val="auto"/>
              </w:rPr>
            </w:pPr>
            <w:r>
              <w:rPr>
                <w:rFonts w:ascii="Arial" w:cs="Arial" w:eastAsia="Arial" w:hAnsi="Arial"/>
                <w:sz w:val="20"/>
                <w:szCs w:val="20"/>
                <w:color w:val="231F20"/>
              </w:rPr>
              <w:t>Consolidated Balance Sheets</w:t>
            </w:r>
          </w:p>
        </w:tc>
        <w:tc>
          <w:tcPr>
            <w:tcW w:w="2160" w:type="dxa"/>
            <w:vAlign w:val="bottom"/>
          </w:tcPr>
          <w:p>
            <w:pPr>
              <w:jc w:val="right"/>
              <w:spacing w:after="0"/>
              <w:rPr>
                <w:sz w:val="20"/>
                <w:szCs w:val="20"/>
                <w:color w:val="auto"/>
              </w:rPr>
            </w:pPr>
            <w:r>
              <w:rPr>
                <w:rFonts w:ascii="Arial" w:cs="Arial" w:eastAsia="Arial" w:hAnsi="Arial"/>
                <w:sz w:val="20"/>
                <w:szCs w:val="20"/>
                <w:color w:val="231F20"/>
              </w:rPr>
              <w:t>50</w:t>
            </w:r>
          </w:p>
        </w:tc>
      </w:tr>
      <w:tr>
        <w:trPr>
          <w:trHeight w:val="247"/>
        </w:trPr>
        <w:tc>
          <w:tcPr>
            <w:tcW w:w="7300" w:type="dxa"/>
            <w:vAlign w:val="bottom"/>
          </w:tcPr>
          <w:p>
            <w:pPr>
              <w:spacing w:after="0"/>
              <w:rPr>
                <w:sz w:val="20"/>
                <w:szCs w:val="20"/>
                <w:color w:val="auto"/>
              </w:rPr>
            </w:pPr>
            <w:r>
              <w:rPr>
                <w:rFonts w:ascii="Arial" w:cs="Arial" w:eastAsia="Arial" w:hAnsi="Arial"/>
                <w:sz w:val="20"/>
                <w:szCs w:val="20"/>
                <w:color w:val="231F20"/>
              </w:rPr>
              <w:t>Consolidated Statements of Cash Flows</w:t>
            </w:r>
          </w:p>
        </w:tc>
        <w:tc>
          <w:tcPr>
            <w:tcW w:w="2160" w:type="dxa"/>
            <w:vAlign w:val="bottom"/>
          </w:tcPr>
          <w:p>
            <w:pPr>
              <w:jc w:val="right"/>
              <w:spacing w:after="0"/>
              <w:rPr>
                <w:sz w:val="20"/>
                <w:szCs w:val="20"/>
                <w:color w:val="auto"/>
              </w:rPr>
            </w:pPr>
            <w:r>
              <w:rPr>
                <w:rFonts w:ascii="Arial" w:cs="Arial" w:eastAsia="Arial" w:hAnsi="Arial"/>
                <w:sz w:val="20"/>
                <w:szCs w:val="20"/>
                <w:color w:val="231F20"/>
              </w:rPr>
              <w:t>51</w:t>
            </w:r>
          </w:p>
        </w:tc>
      </w:tr>
      <w:tr>
        <w:trPr>
          <w:trHeight w:val="239"/>
        </w:trPr>
        <w:tc>
          <w:tcPr>
            <w:tcW w:w="7300" w:type="dxa"/>
            <w:vAlign w:val="bottom"/>
          </w:tcPr>
          <w:p>
            <w:pPr>
              <w:spacing w:after="0"/>
              <w:rPr>
                <w:sz w:val="20"/>
                <w:szCs w:val="20"/>
                <w:color w:val="auto"/>
              </w:rPr>
            </w:pPr>
            <w:r>
              <w:rPr>
                <w:rFonts w:ascii="Arial" w:cs="Arial" w:eastAsia="Arial" w:hAnsi="Arial"/>
                <w:sz w:val="20"/>
                <w:szCs w:val="20"/>
                <w:color w:val="231F20"/>
              </w:rPr>
              <w:t>Consolidated Statements of Equity</w:t>
            </w:r>
          </w:p>
        </w:tc>
        <w:tc>
          <w:tcPr>
            <w:tcW w:w="2160" w:type="dxa"/>
            <w:vAlign w:val="bottom"/>
          </w:tcPr>
          <w:p>
            <w:pPr>
              <w:jc w:val="right"/>
              <w:spacing w:after="0"/>
              <w:rPr>
                <w:sz w:val="20"/>
                <w:szCs w:val="20"/>
                <w:color w:val="auto"/>
              </w:rPr>
            </w:pPr>
            <w:r>
              <w:rPr>
                <w:rFonts w:ascii="Arial" w:cs="Arial" w:eastAsia="Arial" w:hAnsi="Arial"/>
                <w:sz w:val="20"/>
                <w:szCs w:val="20"/>
                <w:color w:val="231F20"/>
              </w:rPr>
              <w:t>52</w:t>
            </w:r>
          </w:p>
        </w:tc>
      </w:tr>
      <w:tr>
        <w:trPr>
          <w:trHeight w:val="281"/>
        </w:trPr>
        <w:tc>
          <w:tcPr>
            <w:tcW w:w="7300" w:type="dxa"/>
            <w:vAlign w:val="bottom"/>
          </w:tcPr>
          <w:p>
            <w:pPr>
              <w:spacing w:after="0"/>
              <w:rPr>
                <w:sz w:val="20"/>
                <w:szCs w:val="20"/>
                <w:color w:val="auto"/>
              </w:rPr>
            </w:pPr>
            <w:r>
              <w:rPr>
                <w:rFonts w:ascii="Arial" w:cs="Arial" w:eastAsia="Arial" w:hAnsi="Arial"/>
                <w:sz w:val="20"/>
                <w:szCs w:val="20"/>
                <w:color w:val="231F20"/>
              </w:rPr>
              <w:t>Notes to Consolidated Financial Statements</w:t>
            </w:r>
          </w:p>
        </w:tc>
        <w:tc>
          <w:tcPr>
            <w:tcW w:w="2160" w:type="dxa"/>
            <w:vAlign w:val="bottom"/>
          </w:tcPr>
          <w:p>
            <w:pPr>
              <w:jc w:val="right"/>
              <w:spacing w:after="0"/>
              <w:rPr>
                <w:sz w:val="20"/>
                <w:szCs w:val="20"/>
                <w:color w:val="auto"/>
              </w:rPr>
            </w:pPr>
            <w:r>
              <w:rPr>
                <w:rFonts w:ascii="Arial" w:cs="Arial" w:eastAsia="Arial" w:hAnsi="Arial"/>
                <w:sz w:val="20"/>
                <w:szCs w:val="20"/>
                <w:color w:val="231F20"/>
              </w:rPr>
              <w:t>53</w:t>
            </w:r>
          </w:p>
        </w:tc>
      </w:tr>
    </w:tbl>
    <w:p>
      <w:pPr>
        <w:spacing w:after="0" w:line="200" w:lineRule="exact"/>
        <w:rPr>
          <w:sz w:val="20"/>
          <w:szCs w:val="20"/>
          <w:color w:val="auto"/>
        </w:rPr>
      </w:pPr>
    </w:p>
    <w:p>
      <w:pPr>
        <w:sectPr>
          <w:pgSz w:w="12240" w:h="15840" w:orient="portrait"/>
          <w:cols w:equalWidth="0" w:num="1">
            <w:col w:w="9460"/>
          </w:cols>
          <w:pgMar w:left="1380" w:top="1334"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43</w:t>
      </w:r>
    </w:p>
    <w:p>
      <w:pPr>
        <w:sectPr>
          <w:pgSz w:w="12240" w:h="15840" w:orient="portrait"/>
          <w:cols w:equalWidth="0" w:num="1">
            <w:col w:w="9460"/>
          </w:cols>
          <w:pgMar w:left="1380" w:top="1334" w:right="1400" w:bottom="95"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color w:val="231F20"/>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231F20"/>
        </w:rPr>
        <w:t>To the Board of Directors and Stockholders of Fortune Brands Innovations, Inc.</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Opinions on the Financial Statements and Internal Control over Financial Reporting</w:t>
      </w:r>
    </w:p>
    <w:p>
      <w:pPr>
        <w:spacing w:after="0" w:line="228" w:lineRule="exact"/>
        <w:rPr>
          <w:sz w:val="20"/>
          <w:szCs w:val="20"/>
          <w:color w:val="auto"/>
        </w:rPr>
      </w:pPr>
    </w:p>
    <w:p>
      <w:pPr>
        <w:spacing w:after="0" w:line="248" w:lineRule="auto"/>
        <w:rPr>
          <w:sz w:val="20"/>
          <w:szCs w:val="20"/>
          <w:color w:val="auto"/>
        </w:rPr>
      </w:pPr>
      <w:r>
        <w:rPr>
          <w:rFonts w:ascii="Arial" w:cs="Arial" w:eastAsia="Arial" w:hAnsi="Arial"/>
          <w:sz w:val="20"/>
          <w:szCs w:val="20"/>
          <w:color w:val="231F20"/>
        </w:rPr>
        <w:t xml:space="preserve">We have audited the accompanying consolidated balance sheets of Fortune Brands Innovations, Inc. and its subsidiaries (the “Company”) as of December 30, 2023 and December 31, 2022, and the related consolidated statements of income, of comprehensive income, of equity and of cash flows for each of the three years in the period ended December 30, 2023, including the related notes and schedule of valuation and qualifying accounts for each of the three years in the period ended December 30, 2023 appearing after Item 16 and the signatures (collectively referred to as the “consolidated financial statements”). We also have audited the Company's internal control over financial reporting as of December 30, 2023, based on criteria established in </w:t>
      </w:r>
      <w:r>
        <w:rPr>
          <w:rFonts w:ascii="Arial" w:cs="Arial" w:eastAsia="Arial" w:hAnsi="Arial"/>
          <w:sz w:val="20"/>
          <w:szCs w:val="20"/>
          <w:i w:val="1"/>
          <w:iCs w:val="1"/>
          <w:color w:val="231F20"/>
        </w:rPr>
        <w:t>Internal Control - Integrated Framework</w:t>
      </w:r>
      <w:r>
        <w:rPr>
          <w:rFonts w:ascii="Arial" w:cs="Arial" w:eastAsia="Arial" w:hAnsi="Arial"/>
          <w:sz w:val="20"/>
          <w:szCs w:val="20"/>
          <w:color w:val="231F20"/>
        </w:rPr>
        <w:t xml:space="preserve"> (2013) issued by the Committee of Sponsoring Organizations of the Treadway Commission (COSO).</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20"/>
          <w:szCs w:val="20"/>
          <w:color w:val="231F20"/>
        </w:rPr>
        <w:t>In our opinion, the consolidated financial statements referred to above present fairly, in all material respects, the financial position of the Company as of December 30, 2023 and December 31, 2022</w:t>
      </w:r>
      <w:r>
        <w:rPr>
          <w:rFonts w:ascii="Arial" w:cs="Arial" w:eastAsia="Arial" w:hAnsi="Arial"/>
          <w:sz w:val="20"/>
          <w:szCs w:val="20"/>
          <w:b w:val="1"/>
          <w:bCs w:val="1"/>
          <w:color w:val="231F20"/>
        </w:rPr>
        <w:t>,</w:t>
      </w:r>
      <w:r>
        <w:rPr>
          <w:rFonts w:ascii="Arial" w:cs="Arial" w:eastAsia="Arial" w:hAnsi="Arial"/>
          <w:sz w:val="20"/>
          <w:szCs w:val="20"/>
          <w:color w:val="231F20"/>
        </w:rPr>
        <w:t xml:space="preserve"> and the results of its operations and its cash flows for each of the three years in the period ended December 30, 2023 in conformity with accounting principles generally accepted in the United States of America. Also in our opinion, the Company maintained, in all material respects, effective internal control over financial reporting as of December 30, 2023, based on criteria established in </w:t>
      </w:r>
      <w:r>
        <w:rPr>
          <w:rFonts w:ascii="Arial" w:cs="Arial" w:eastAsia="Arial" w:hAnsi="Arial"/>
          <w:sz w:val="20"/>
          <w:szCs w:val="20"/>
          <w:i w:val="1"/>
          <w:iCs w:val="1"/>
          <w:color w:val="231F20"/>
        </w:rPr>
        <w:t>Internal Control - Integrated</w:t>
      </w:r>
      <w:r>
        <w:rPr>
          <w:rFonts w:ascii="Arial" w:cs="Arial" w:eastAsia="Arial" w:hAnsi="Arial"/>
          <w:sz w:val="20"/>
          <w:szCs w:val="20"/>
          <w:color w:val="231F20"/>
        </w:rPr>
        <w:t xml:space="preserve"> </w:t>
      </w:r>
      <w:r>
        <w:rPr>
          <w:rFonts w:ascii="Arial" w:cs="Arial" w:eastAsia="Arial" w:hAnsi="Arial"/>
          <w:sz w:val="20"/>
          <w:szCs w:val="20"/>
          <w:i w:val="1"/>
          <w:iCs w:val="1"/>
          <w:color w:val="231F20"/>
        </w:rPr>
        <w:t xml:space="preserve">Framework </w:t>
      </w:r>
      <w:r>
        <w:rPr>
          <w:rFonts w:ascii="Arial" w:cs="Arial" w:eastAsia="Arial" w:hAnsi="Arial"/>
          <w:sz w:val="20"/>
          <w:szCs w:val="20"/>
          <w:color w:val="231F20"/>
        </w:rPr>
        <w:t>(2013)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Basis for Opinions</w:t>
      </w:r>
    </w:p>
    <w:p>
      <w:pPr>
        <w:spacing w:after="0" w:line="231"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231F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20"/>
          <w:szCs w:val="20"/>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2240" w:h="15840" w:orient="portrait"/>
          <w:cols w:equalWidth="0" w:num="1">
            <w:col w:w="9460"/>
          </w:cols>
          <w:pgMar w:left="1380" w:top="1342"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44</w:t>
      </w:r>
    </w:p>
    <w:p>
      <w:pPr>
        <w:sectPr>
          <w:pgSz w:w="12240" w:h="15840" w:orient="portrait"/>
          <w:cols w:equalWidth="0" w:num="1">
            <w:col w:w="9460"/>
          </w:cols>
          <w:pgMar w:left="1380" w:top="1342" w:right="1400" w:bottom="95" w:gutter="0" w:footer="0" w:header="0"/>
          <w:type w:val="continuous"/>
        </w:sectPr>
      </w:pPr>
    </w:p>
    <w:bookmarkStart w:id="52" w:name="page53"/>
    <w:bookmarkEnd w:id="52"/>
    <w:p>
      <w:pPr>
        <w:ind w:right="20"/>
        <w:spacing w:after="0" w:line="247" w:lineRule="auto"/>
        <w:rPr>
          <w:sz w:val="20"/>
          <w:szCs w:val="20"/>
          <w:color w:val="auto"/>
        </w:rPr>
      </w:pPr>
      <w:r>
        <w:rPr>
          <w:rFonts w:ascii="Arial" w:cs="Arial" w:eastAsia="Arial" w:hAnsi="Arial"/>
          <w:sz w:val="20"/>
          <w:szCs w:val="20"/>
          <w:color w:val="231F20"/>
        </w:rPr>
        <w:t>As described in Management’s Report on Internal Control Over Financial Reporting, management has excluded the Emtek and Schaub premium and luxury door and cabinet hardware business and the U.S. and Canadian Yale and August residential smart home locks business (collectively, the "ASSA Businesses") acquired from ASSA ABLOY, Inc. from its assessment of internal control over financial reporting as of December 30, 2023, because they were acquired by the Company in a purchase business acquisition during 2023. We have also excluded the ASSA Businesses from our audit of internal control over financial reporting. The ASSA Businesses have total assets and total sales excluded from management’s assessment and our audit of internal control over financial reporting representing 2.9% and 4.7%, respectively, of the related consolidated financial statement amounts as of and for the year ended December 30, 2023.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Definition and Limitations of Internal Control over Financial Reporting</w:t>
      </w:r>
    </w:p>
    <w:p>
      <w:pPr>
        <w:spacing w:after="0" w:line="231"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Critical Audit Matters</w:t>
      </w:r>
    </w:p>
    <w:p>
      <w:pPr>
        <w:spacing w:after="0" w:line="258"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231F20"/>
        </w:rPr>
        <w:t>The critical audit matters communicated below are matters arising from the current period audit of the consolidated financial statements that were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Acquisition of ASSA Businesses - Valuation of Certain Customer Relationships</w:t>
      </w:r>
    </w:p>
    <w:p>
      <w:pPr>
        <w:spacing w:after="0" w:line="254" w:lineRule="exact"/>
        <w:rPr>
          <w:sz w:val="20"/>
          <w:szCs w:val="20"/>
          <w:color w:val="auto"/>
        </w:rPr>
      </w:pPr>
    </w:p>
    <w:p>
      <w:pPr>
        <w:ind w:right="260"/>
        <w:spacing w:after="0" w:line="264" w:lineRule="auto"/>
        <w:rPr>
          <w:sz w:val="20"/>
          <w:szCs w:val="20"/>
          <w:color w:val="auto"/>
        </w:rPr>
      </w:pPr>
      <w:r>
        <w:rPr>
          <w:rFonts w:ascii="Arial" w:cs="Arial" w:eastAsia="Arial" w:hAnsi="Arial"/>
          <w:sz w:val="20"/>
          <w:szCs w:val="20"/>
          <w:color w:val="231F20"/>
        </w:rPr>
        <w:t>As described in Notes 2 and 4 to the consolidated financial statements, in June 2023 the Company acquired the ASSA Businesses for a total purchase price of $809.3 million, net of cash acquired, which included a customer relationships asset of $328.0 million being recorded. Management uses the multi-period excess earnings method to determine the fair value of customer relationships. To determine the fair value of the acquired intangible assets management used significant estimates and assumptions, including forecasted revenue growth rates, earnings before interest and taxes (EBIT) margins, contributory asset charges, customer attrition rate, and market-participant discount rates.</w:t>
      </w:r>
    </w:p>
    <w:p>
      <w:pPr>
        <w:sectPr>
          <w:pgSz w:w="12240" w:h="15840" w:orient="portrait"/>
          <w:cols w:equalWidth="0" w:num="1">
            <w:col w:w="9440"/>
          </w:cols>
          <w:pgMar w:left="1380" w:top="1346"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45</w:t>
      </w:r>
    </w:p>
    <w:p>
      <w:pPr>
        <w:sectPr>
          <w:pgSz w:w="12240" w:h="15840" w:orient="portrait"/>
          <w:cols w:equalWidth="0" w:num="1">
            <w:col w:w="9440"/>
          </w:cols>
          <w:pgMar w:left="1380" w:top="1346" w:right="1420" w:bottom="95" w:gutter="0" w:footer="0" w:header="0"/>
          <w:type w:val="continuous"/>
        </w:sectPr>
      </w:pPr>
    </w:p>
    <w:bookmarkStart w:id="53" w:name="page54"/>
    <w:bookmarkEnd w:id="53"/>
    <w:p>
      <w:pPr>
        <w:ind w:right="120"/>
        <w:spacing w:after="0" w:line="264" w:lineRule="auto"/>
        <w:rPr>
          <w:sz w:val="20"/>
          <w:szCs w:val="20"/>
          <w:color w:val="auto"/>
        </w:rPr>
      </w:pPr>
      <w:r>
        <w:rPr>
          <w:rFonts w:ascii="Arial" w:cs="Arial" w:eastAsia="Arial" w:hAnsi="Arial"/>
          <w:sz w:val="20"/>
          <w:szCs w:val="20"/>
          <w:color w:val="231F20"/>
        </w:rPr>
        <w:t>The principal considerations for our determination that performing procedures relating to the valuation of certain customer relationships acquired in the acquisition of the ASSA Businesses is a critical audit matter are (i) the significant judgment by management when developing the fair value estimate of certain customer relationships; (ii) a high degree of auditor judgment, subjectivity, and effort in performing procedures and evaluating management’s significant assumptions related to forecasted revenue growth rates, EBIT margins, contributory asset charges, customer attrition rate, and market-participant discount rate; and (iii) the audit effort involved the use of professionals with specialized skill and knowledge.</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20"/>
          <w:szCs w:val="20"/>
          <w:color w:val="231F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certain customer relationships acquired. These procedures also included, among others (i) reading the purchase agreement; (ii) testing management’s process for developing the fair value estimate of certain customer relationships acquired; (iii) evaluating the appropriateness of the multi-period excess earnings method used by management; (iv) testing the completeness and accuracy of underlying data used in the multi-period-excess method; and (v) evaluating the reasonableness of the significant assumptions used by management related to the forecasted revenue growth rates, EBIT margins, contributory asset charges, customer attrition rate, and market-participant discount rate. Evaluating management’s assumptions related to the forecasted revenue growth rates, EBIT margins, contributory asset charges, and the customer attrition rate involved considering (i) the current and past performance of the ASSA Businesses;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method and (ii) the reasonableness of the contributory asset charges, customer attrition rate, and market-participant discount rate assumptions.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Quantitative Impairment Test for an Indefinite-Lived Tradename within the Outdoors Segment</w:t>
      </w:r>
    </w:p>
    <w:p>
      <w:pPr>
        <w:spacing w:after="0" w:line="254"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231F20"/>
        </w:rPr>
        <w:t>As described in Notes 2 and 6 to the consolidated financial statements, the Company’s consolidated indefinite-lived intangible assets balances was $520.1 million as of December 30, 2023, of which $271.1 million relates to the Outdoors segment. Management reviews indefinite-lived intangible assets for impairment annually in the fourth quarter and whenever market or business events indicate there may be a potential impairment of that intangible. Impairment losses are recorded to the extent that the carrying value of the indefinite-lived intangible asset exceeds fair value. During the fourth quarter of 2023, a reduction of revenue growth expectations, led management to conclude that it was more likely than not that an indefinite-lived tradename within the Outdoors segment was impaired. As a result of impairment tests performed, management recorded pre-tax impairment charges of $28.0 million. Fair values of the Company’s indefinite-lived tradenames were measured by management using the relief-from-royalty approach. Significant assumptions inherent in estimating fair values include forecasted revenue growth rates, assumed royalty rates and market-participant discount rates.</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20"/>
          <w:szCs w:val="20"/>
          <w:color w:val="231F20"/>
        </w:rPr>
        <w:t>The principal considerations for our determination that performing procedures relating to the quantitative impairment test for an indefinite-lived tradename within the Outdoors segment is a critical audit matter are</w:t>
      </w:r>
    </w:p>
    <w:p>
      <w:pPr>
        <w:spacing w:after="0" w:line="1" w:lineRule="exact"/>
        <w:rPr>
          <w:sz w:val="20"/>
          <w:szCs w:val="20"/>
          <w:color w:val="auto"/>
        </w:rPr>
      </w:pPr>
    </w:p>
    <w:p>
      <w:pPr>
        <w:ind w:right="60" w:firstLine="6"/>
        <w:spacing w:after="0" w:line="261" w:lineRule="auto"/>
        <w:tabs>
          <w:tab w:leader="none" w:pos="236" w:val="left"/>
        </w:tabs>
        <w:numPr>
          <w:ilvl w:val="0"/>
          <w:numId w:val="18"/>
        </w:numPr>
        <w:rPr>
          <w:rFonts w:ascii="Arial" w:cs="Arial" w:eastAsia="Arial" w:hAnsi="Arial"/>
          <w:sz w:val="20"/>
          <w:szCs w:val="20"/>
          <w:color w:val="231F20"/>
        </w:rPr>
      </w:pPr>
      <w:r>
        <w:rPr>
          <w:rFonts w:ascii="Arial" w:cs="Arial" w:eastAsia="Arial" w:hAnsi="Arial"/>
          <w:sz w:val="20"/>
          <w:szCs w:val="20"/>
          <w:color w:val="231F20"/>
        </w:rPr>
        <w:t>the significant judgment by management when developing the fair value estimate of the tradename; (ii) a high degree of auditor judgment, subjectivity, and effort in performing procedures and evaluating management’s significant assumptions related to forecasted revenue growth rates, assumed royalty rate, and market-participant discount rate; and (iii) the audit effort involved the use of professionals with specialized skill and knowledge.</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46</w:t>
      </w:r>
    </w:p>
    <w:p>
      <w:pPr>
        <w:sectPr>
          <w:pgSz w:w="12240" w:h="15840" w:orient="portrait"/>
          <w:cols w:equalWidth="0" w:num="1">
            <w:col w:w="9460"/>
          </w:cols>
          <w:pgMar w:left="1380" w:top="1346" w:right="1400" w:bottom="95" w:gutter="0" w:footer="0" w:header="0"/>
          <w:type w:val="continuous"/>
        </w:sectPr>
      </w:pPr>
    </w:p>
    <w:bookmarkStart w:id="54" w:name="page55"/>
    <w:bookmarkEnd w:id="54"/>
    <w:p>
      <w:pPr>
        <w:spacing w:after="0" w:line="259" w:lineRule="auto"/>
        <w:rPr>
          <w:sz w:val="20"/>
          <w:szCs w:val="20"/>
          <w:color w:val="auto"/>
        </w:rPr>
      </w:pPr>
      <w:r>
        <w:rPr>
          <w:rFonts w:ascii="Arial" w:cs="Arial" w:eastAsia="Arial" w:hAnsi="Arial"/>
          <w:sz w:val="20"/>
          <w:szCs w:val="20"/>
          <w:color w:val="231F20"/>
        </w:rPr>
        <w:t>Addressing the matter involved performing procedures and evaluating audit evidence in connection with forming our overall opinion on the consolidated financial statements. These procedures included testing the effectiveness of controls relating to management’s quantitative impairment test for indefinite-lived intangible assets, including controls over the valuation of the Company’s tradename within the Outdoors segment. These procedures also included, among others (i) testing management’s process for developing the fair value estimate of the tradename; (ii) evaluating the appropriateness of the relief-from-royalty approach used by management; (iii) testing the completeness and accuracy of underlying data used in the relief-from-royalty approach; and (iv) evaluating the reasonableness of significant assumptions used by management related to forecasted revenue growth rates, assumed royalty rate, and market-participant discount rate. Evaluating management’s significant assumptions related to forecasted revenue growth rates and assumed royalty rate involved evaluating whether the assumptions used by management were reasonable considering, (i) the current and past performance of the business associated with the tradename; (ii) the consistency with external market and industry data; and (iii) whether the assumptions were consistent with evidence obtained in other areas of the audit. Professionals with specialized skill and knowledge were used to assist in the evaluation of (i) the appropriateness of the relief-from-royalty approach and (ii) the reasonableness of the assumed royalty rate and market-participant discount rate significant assumptions.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231F20"/>
        </w:rPr>
        <w:t>/s/ PricewaterhouseCoopers LLP</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231F20"/>
        </w:rPr>
        <w:t>Chicago, Illinois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231F20"/>
        </w:rPr>
        <w:t>February 27, 2024</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231F20"/>
        </w:rPr>
        <w:t>We have served as the Company’s auditor since 2011.</w:t>
      </w:r>
    </w:p>
    <w:p>
      <w:pPr>
        <w:sectPr>
          <w:pgSz w:w="12240" w:h="15840" w:orient="portrait"/>
          <w:cols w:equalWidth="0" w:num="1">
            <w:col w:w="9440"/>
          </w:cols>
          <w:pgMar w:left="1380" w:top="1346"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47</w:t>
      </w:r>
    </w:p>
    <w:p>
      <w:pPr>
        <w:sectPr>
          <w:pgSz w:w="12240" w:h="15840" w:orient="portrait"/>
          <w:cols w:equalWidth="0" w:num="1">
            <w:col w:w="9440"/>
          </w:cols>
          <w:pgMar w:left="1380" w:top="1346" w:right="1420" w:bottom="95" w:gutter="0" w:footer="0" w:header="0"/>
          <w:type w:val="continuous"/>
        </w:sectPr>
      </w:pPr>
    </w:p>
    <w:bookmarkStart w:id="55" w:name="page56"/>
    <w:bookmarkEnd w:id="55"/>
    <w:p>
      <w:pPr>
        <w:spacing w:after="0"/>
        <w:tabs>
          <w:tab w:leader="none" w:pos="5880" w:val="left"/>
        </w:tabs>
        <w:rPr>
          <w:sz w:val="20"/>
          <w:szCs w:val="20"/>
          <w:color w:val="auto"/>
        </w:rPr>
      </w:pPr>
      <w:r>
        <w:rPr>
          <w:rFonts w:ascii="Arial" w:cs="Arial" w:eastAsia="Arial" w:hAnsi="Arial"/>
          <w:sz w:val="40"/>
          <w:szCs w:val="40"/>
          <w:b w:val="1"/>
          <w:bCs w:val="1"/>
          <w:color w:val="231F20"/>
          <w:vertAlign w:val="subscript"/>
        </w:rPr>
        <w:t>Consolidated Statements of Income</w:t>
      </w:r>
      <w:r>
        <w:rPr>
          <w:sz w:val="20"/>
          <w:szCs w:val="20"/>
          <w:color w:val="auto"/>
        </w:rPr>
        <w:tab/>
      </w:r>
      <w:r>
        <w:rPr>
          <w:rFonts w:ascii="Arial" w:cs="Arial" w:eastAsia="Arial" w:hAnsi="Arial"/>
          <w:sz w:val="16"/>
          <w:szCs w:val="16"/>
          <w:color w:val="231F20"/>
        </w:rPr>
        <w:t>Fortune Brands Innovations, Inc. and Subsidiaries</w:t>
      </w:r>
    </w:p>
    <w:p>
      <w:pPr>
        <w:sectPr>
          <w:pgSz w:w="12240" w:h="15840" w:orient="portrait"/>
          <w:cols w:equalWidth="0" w:num="1">
            <w:col w:w="9480"/>
          </w:cols>
          <w:pgMar w:left="1380" w:top="1300" w:right="1380" w:bottom="95" w:gutter="0" w:footer="0" w:header="0"/>
        </w:sectPr>
      </w:pPr>
    </w:p>
    <w:p>
      <w:pPr>
        <w:spacing w:after="0" w:line="265"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5400" w:type="dxa"/>
            <w:vAlign w:val="bottom"/>
            <w:tcBorders>
              <w:bottom w:val="single" w:sz="8" w:color="231F20"/>
            </w:tcBorders>
          </w:tcPr>
          <w:p>
            <w:pPr>
              <w:spacing w:after="0"/>
              <w:rPr>
                <w:sz w:val="16"/>
                <w:szCs w:val="16"/>
                <w:color w:val="auto"/>
              </w:rPr>
            </w:pPr>
          </w:p>
        </w:tc>
        <w:tc>
          <w:tcPr>
            <w:tcW w:w="24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gridSpan w:val="2"/>
          </w:tcPr>
          <w:p>
            <w:pPr>
              <w:jc w:val="right"/>
              <w:spacing w:after="0"/>
              <w:rPr>
                <w:sz w:val="20"/>
                <w:szCs w:val="20"/>
                <w:color w:val="auto"/>
              </w:rPr>
            </w:pPr>
            <w:r>
              <w:rPr>
                <w:rFonts w:ascii="Arial" w:cs="Arial" w:eastAsia="Arial" w:hAnsi="Arial"/>
                <w:sz w:val="15"/>
                <w:szCs w:val="15"/>
                <w:color w:val="231F20"/>
              </w:rPr>
              <w:t>For years ended</w:t>
            </w:r>
          </w:p>
        </w:tc>
        <w:tc>
          <w:tcPr>
            <w:tcW w:w="20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tcBorders>
          </w:tcPr>
          <w:p>
            <w:pPr>
              <w:spacing w:after="0"/>
              <w:rPr>
                <w:sz w:val="16"/>
                <w:szCs w:val="16"/>
                <w:color w:val="auto"/>
              </w:rPr>
            </w:pPr>
          </w:p>
        </w:tc>
      </w:tr>
      <w:tr>
        <w:trPr>
          <w:trHeight w:val="132"/>
        </w:trPr>
        <w:tc>
          <w:tcPr>
            <w:tcW w:w="5400" w:type="dxa"/>
            <w:vAlign w:val="bottom"/>
            <w:tcBorders>
              <w:right w:val="single" w:sz="8" w:color="231F20"/>
            </w:tcBorders>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Borders>
              <w:right w:val="single" w:sz="8" w:color="231F20"/>
            </w:tcBorders>
          </w:tcPr>
          <w:p>
            <w:pPr>
              <w:jc w:val="right"/>
              <w:ind w:right="101"/>
              <w:spacing w:after="0" w:line="133" w:lineRule="exact"/>
              <w:rPr>
                <w:sz w:val="20"/>
                <w:szCs w:val="20"/>
                <w:color w:val="auto"/>
              </w:rPr>
            </w:pPr>
            <w:r>
              <w:rPr>
                <w:rFonts w:ascii="Arial" w:cs="Arial" w:eastAsia="Arial" w:hAnsi="Arial"/>
                <w:sz w:val="15"/>
                <w:szCs w:val="15"/>
                <w:i w:val="1"/>
                <w:iCs w:val="1"/>
                <w:color w:val="231F20"/>
              </w:rPr>
              <w:t>December</w:t>
            </w:r>
          </w:p>
        </w:tc>
        <w:tc>
          <w:tcPr>
            <w:tcW w:w="200" w:type="dxa"/>
            <w:vAlign w:val="bottom"/>
          </w:tcPr>
          <w:p>
            <w:pPr>
              <w:spacing w:after="0"/>
              <w:rPr>
                <w:sz w:val="11"/>
                <w:szCs w:val="11"/>
                <w:color w:val="auto"/>
              </w:rPr>
            </w:pPr>
          </w:p>
        </w:tc>
        <w:tc>
          <w:tcPr>
            <w:tcW w:w="1120" w:type="dxa"/>
            <w:vAlign w:val="bottom"/>
          </w:tcPr>
          <w:p>
            <w:pPr>
              <w:jc w:val="right"/>
              <w:ind w:right="41"/>
              <w:spacing w:after="0" w:line="133" w:lineRule="exact"/>
              <w:rPr>
                <w:sz w:val="20"/>
                <w:szCs w:val="20"/>
                <w:color w:val="auto"/>
              </w:rPr>
            </w:pPr>
            <w:r>
              <w:rPr>
                <w:rFonts w:ascii="Arial" w:cs="Arial" w:eastAsia="Arial" w:hAnsi="Arial"/>
                <w:sz w:val="15"/>
                <w:szCs w:val="15"/>
                <w:color w:val="231F20"/>
              </w:rPr>
              <w:t>December 31,</w:t>
            </w:r>
          </w:p>
        </w:tc>
        <w:tc>
          <w:tcPr>
            <w:tcW w:w="200" w:type="dxa"/>
            <w:vAlign w:val="bottom"/>
          </w:tcPr>
          <w:p>
            <w:pPr>
              <w:spacing w:after="0"/>
              <w:rPr>
                <w:sz w:val="11"/>
                <w:szCs w:val="11"/>
                <w:color w:val="auto"/>
              </w:rPr>
            </w:pPr>
          </w:p>
        </w:tc>
        <w:tc>
          <w:tcPr>
            <w:tcW w:w="1060" w:type="dxa"/>
            <w:vAlign w:val="bottom"/>
          </w:tcPr>
          <w:p>
            <w:pPr>
              <w:jc w:val="right"/>
              <w:ind w:right="1"/>
              <w:spacing w:after="0" w:line="133" w:lineRule="exact"/>
              <w:rPr>
                <w:sz w:val="20"/>
                <w:szCs w:val="20"/>
                <w:color w:val="auto"/>
              </w:rPr>
            </w:pPr>
            <w:r>
              <w:rPr>
                <w:rFonts w:ascii="Arial" w:cs="Arial" w:eastAsia="Arial" w:hAnsi="Arial"/>
                <w:sz w:val="15"/>
                <w:szCs w:val="15"/>
                <w:color w:val="231F20"/>
                <w:w w:val="99"/>
              </w:rPr>
              <w:t>December 31,</w:t>
            </w:r>
          </w:p>
        </w:tc>
      </w:tr>
      <w:tr>
        <w:trPr>
          <w:trHeight w:val="207"/>
        </w:trPr>
        <w:tc>
          <w:tcPr>
            <w:tcW w:w="5400" w:type="dxa"/>
            <w:vAlign w:val="bottom"/>
            <w:tcBorders>
              <w:bottom w:val="single" w:sz="8" w:color="231F20"/>
              <w:right w:val="single" w:sz="8" w:color="231F20"/>
            </w:tcBorders>
          </w:tcPr>
          <w:p>
            <w:pPr>
              <w:jc w:val="right"/>
              <w:spacing w:after="0" w:line="206" w:lineRule="exact"/>
              <w:rPr>
                <w:sz w:val="20"/>
                <w:szCs w:val="20"/>
                <w:color w:val="auto"/>
              </w:rPr>
            </w:pPr>
            <w:r>
              <w:rPr>
                <w:rFonts w:ascii="Arial" w:cs="Arial" w:eastAsia="Arial" w:hAnsi="Arial"/>
                <w:sz w:val="15"/>
                <w:szCs w:val="15"/>
                <w:i w:val="1"/>
                <w:iCs w:val="1"/>
                <w:color w:val="231F20"/>
              </w:rPr>
              <w:t>(In millions, except per share amounts)</w:t>
            </w: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right w:val="single" w:sz="8" w:color="231F20"/>
            </w:tcBorders>
          </w:tcPr>
          <w:p>
            <w:pPr>
              <w:jc w:val="right"/>
              <w:ind w:right="101"/>
              <w:spacing w:after="0"/>
              <w:rPr>
                <w:sz w:val="20"/>
                <w:szCs w:val="20"/>
                <w:color w:val="auto"/>
              </w:rPr>
            </w:pPr>
            <w:r>
              <w:rPr>
                <w:rFonts w:ascii="Arial" w:cs="Arial" w:eastAsia="Arial" w:hAnsi="Arial"/>
                <w:sz w:val="15"/>
                <w:szCs w:val="15"/>
                <w:i w:val="1"/>
                <w:iCs w:val="1"/>
                <w:color w:val="231F20"/>
              </w:rPr>
              <w:t>30, 2023</w:t>
            </w:r>
          </w:p>
        </w:tc>
        <w:tc>
          <w:tcPr>
            <w:tcW w:w="20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right"/>
              <w:ind w:right="41"/>
              <w:spacing w:after="0"/>
              <w:rPr>
                <w:sz w:val="20"/>
                <w:szCs w:val="20"/>
                <w:color w:val="auto"/>
              </w:rPr>
            </w:pPr>
            <w:r>
              <w:rPr>
                <w:rFonts w:ascii="Arial" w:cs="Arial" w:eastAsia="Arial" w:hAnsi="Arial"/>
                <w:sz w:val="15"/>
                <w:szCs w:val="15"/>
                <w:color w:val="231F20"/>
              </w:rPr>
              <w:t>2022</w:t>
            </w:r>
          </w:p>
        </w:tc>
        <w:tc>
          <w:tcPr>
            <w:tcW w:w="20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1"/>
              <w:spacing w:after="0"/>
              <w:rPr>
                <w:sz w:val="20"/>
                <w:szCs w:val="20"/>
                <w:color w:val="auto"/>
              </w:rPr>
            </w:pPr>
            <w:r>
              <w:rPr>
                <w:rFonts w:ascii="Arial" w:cs="Arial" w:eastAsia="Arial" w:hAnsi="Arial"/>
                <w:sz w:val="15"/>
                <w:szCs w:val="15"/>
                <w:color w:val="231F20"/>
              </w:rPr>
              <w:t>2021</w:t>
            </w:r>
          </w:p>
        </w:tc>
      </w:tr>
      <w:tr>
        <w:trPr>
          <w:trHeight w:val="202"/>
        </w:trPr>
        <w:tc>
          <w:tcPr>
            <w:tcW w:w="540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b w:val="1"/>
                <w:bCs w:val="1"/>
                <w:color w:val="231F20"/>
              </w:rPr>
              <w:t>NET SALES</w:t>
            </w:r>
            <w:r>
              <w:rPr>
                <w:rFonts w:ascii="Times New Roman" w:cs="Times New Roman" w:eastAsia="Times New Roman" w:hAnsi="Times New Roman"/>
                <w:sz w:val="20"/>
                <w:szCs w:val="20"/>
                <w:color w:val="231F20"/>
              </w:rPr>
              <w:t>..................................................................................</w:t>
            </w:r>
          </w:p>
        </w:tc>
        <w:tc>
          <w:tcPr>
            <w:tcW w:w="24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940" w:type="dxa"/>
            <w:vAlign w:val="bottom"/>
            <w:tcBorders>
              <w:right w:val="single" w:sz="8" w:color="231F20"/>
            </w:tcBorders>
          </w:tcPr>
          <w:p>
            <w:pPr>
              <w:jc w:val="right"/>
              <w:ind w:right="101"/>
              <w:spacing w:after="0" w:line="203" w:lineRule="exact"/>
              <w:rPr>
                <w:sz w:val="20"/>
                <w:szCs w:val="20"/>
                <w:color w:val="auto"/>
              </w:rPr>
            </w:pPr>
            <w:r>
              <w:rPr>
                <w:rFonts w:ascii="Arial" w:cs="Arial" w:eastAsia="Arial" w:hAnsi="Arial"/>
                <w:sz w:val="20"/>
                <w:szCs w:val="20"/>
                <w:color w:val="231F20"/>
              </w:rPr>
              <w:t>4,626.2</w:t>
            </w:r>
          </w:p>
        </w:tc>
        <w:tc>
          <w:tcPr>
            <w:tcW w:w="20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1120" w:type="dxa"/>
            <w:vAlign w:val="bottom"/>
          </w:tcPr>
          <w:p>
            <w:pPr>
              <w:jc w:val="right"/>
              <w:ind w:right="41"/>
              <w:spacing w:after="0" w:line="203" w:lineRule="exact"/>
              <w:rPr>
                <w:sz w:val="20"/>
                <w:szCs w:val="20"/>
                <w:color w:val="auto"/>
              </w:rPr>
            </w:pPr>
            <w:r>
              <w:rPr>
                <w:rFonts w:ascii="Arial" w:cs="Arial" w:eastAsia="Arial" w:hAnsi="Arial"/>
                <w:sz w:val="20"/>
                <w:szCs w:val="20"/>
                <w:color w:val="231F20"/>
              </w:rPr>
              <w:t>4,723.0</w:t>
            </w:r>
          </w:p>
        </w:tc>
        <w:tc>
          <w:tcPr>
            <w:tcW w:w="20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1060" w:type="dxa"/>
            <w:vAlign w:val="bottom"/>
          </w:tcPr>
          <w:p>
            <w:pPr>
              <w:jc w:val="right"/>
              <w:ind w:right="1"/>
              <w:spacing w:after="0" w:line="203" w:lineRule="exact"/>
              <w:rPr>
                <w:sz w:val="20"/>
                <w:szCs w:val="20"/>
                <w:color w:val="auto"/>
              </w:rPr>
            </w:pPr>
            <w:r>
              <w:rPr>
                <w:rFonts w:ascii="Arial" w:cs="Arial" w:eastAsia="Arial" w:hAnsi="Arial"/>
                <w:sz w:val="20"/>
                <w:szCs w:val="20"/>
                <w:color w:val="231F20"/>
              </w:rPr>
              <w:t>4,801.1</w:t>
            </w:r>
          </w:p>
        </w:tc>
      </w:tr>
      <w:tr>
        <w:trPr>
          <w:trHeight w:val="233"/>
        </w:trPr>
        <w:tc>
          <w:tcPr>
            <w:tcW w:w="540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Cost of products sold </w:t>
            </w:r>
            <w:r>
              <w:rPr>
                <w:rFonts w:ascii="Times New Roman" w:cs="Times New Roman" w:eastAsia="Times New Roman" w:hAnsi="Times New Roman"/>
                <w:sz w:val="20"/>
                <w:szCs w:val="20"/>
                <w:color w:val="231F20"/>
              </w:rPr>
              <w:t>.............................................................</w:t>
            </w:r>
          </w:p>
        </w:tc>
        <w:tc>
          <w:tcPr>
            <w:tcW w:w="240" w:type="dxa"/>
            <w:vAlign w:val="bottom"/>
          </w:tcPr>
          <w:p>
            <w:pPr>
              <w:spacing w:after="0"/>
              <w:rPr>
                <w:sz w:val="20"/>
                <w:szCs w:val="20"/>
                <w:color w:val="auto"/>
              </w:rPr>
            </w:pPr>
          </w:p>
        </w:tc>
        <w:tc>
          <w:tcPr>
            <w:tcW w:w="94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2,714.8</w:t>
            </w:r>
          </w:p>
        </w:tc>
        <w:tc>
          <w:tcPr>
            <w:tcW w:w="20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231F20"/>
              </w:rPr>
              <w:t>2,790.1</w:t>
            </w:r>
          </w:p>
        </w:tc>
        <w:tc>
          <w:tcPr>
            <w:tcW w:w="20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231F20"/>
              </w:rPr>
              <w:t>2,840.6</w:t>
            </w:r>
          </w:p>
        </w:tc>
      </w:tr>
      <w:tr>
        <w:trPr>
          <w:trHeight w:val="233"/>
        </w:trPr>
        <w:tc>
          <w:tcPr>
            <w:tcW w:w="540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Selling, general and administrative expenses </w:t>
            </w:r>
            <w:r>
              <w:rPr>
                <w:rFonts w:ascii="Times New Roman" w:cs="Times New Roman" w:eastAsia="Times New Roman" w:hAnsi="Times New Roman"/>
                <w:sz w:val="20"/>
                <w:szCs w:val="20"/>
                <w:color w:val="231F20"/>
              </w:rPr>
              <w:t>...................</w:t>
            </w:r>
          </w:p>
        </w:tc>
        <w:tc>
          <w:tcPr>
            <w:tcW w:w="240" w:type="dxa"/>
            <w:vAlign w:val="bottom"/>
          </w:tcPr>
          <w:p>
            <w:pPr>
              <w:spacing w:after="0"/>
              <w:rPr>
                <w:sz w:val="20"/>
                <w:szCs w:val="20"/>
                <w:color w:val="auto"/>
              </w:rPr>
            </w:pPr>
          </w:p>
        </w:tc>
        <w:tc>
          <w:tcPr>
            <w:tcW w:w="94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1,168.4</w:t>
            </w:r>
          </w:p>
        </w:tc>
        <w:tc>
          <w:tcPr>
            <w:tcW w:w="20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231F20"/>
              </w:rPr>
              <w:t>1,077.9</w:t>
            </w:r>
          </w:p>
        </w:tc>
        <w:tc>
          <w:tcPr>
            <w:tcW w:w="20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231F20"/>
              </w:rPr>
              <w:t>1,093.7</w:t>
            </w:r>
          </w:p>
        </w:tc>
      </w:tr>
      <w:tr>
        <w:trPr>
          <w:trHeight w:val="233"/>
        </w:trPr>
        <w:tc>
          <w:tcPr>
            <w:tcW w:w="540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Amortization of intangible assets </w:t>
            </w:r>
            <w:r>
              <w:rPr>
                <w:rFonts w:ascii="Times New Roman" w:cs="Times New Roman" w:eastAsia="Times New Roman" w:hAnsi="Times New Roman"/>
                <w:sz w:val="20"/>
                <w:szCs w:val="20"/>
                <w:color w:val="231F20"/>
              </w:rPr>
              <w:t>.........................................</w:t>
            </w:r>
          </w:p>
        </w:tc>
        <w:tc>
          <w:tcPr>
            <w:tcW w:w="240" w:type="dxa"/>
            <w:vAlign w:val="bottom"/>
          </w:tcPr>
          <w:p>
            <w:pPr>
              <w:spacing w:after="0"/>
              <w:rPr>
                <w:sz w:val="20"/>
                <w:szCs w:val="20"/>
                <w:color w:val="auto"/>
              </w:rPr>
            </w:pPr>
          </w:p>
        </w:tc>
        <w:tc>
          <w:tcPr>
            <w:tcW w:w="94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62.1</w:t>
            </w:r>
          </w:p>
        </w:tc>
        <w:tc>
          <w:tcPr>
            <w:tcW w:w="20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231F20"/>
              </w:rPr>
              <w:t>48.3</w:t>
            </w:r>
          </w:p>
        </w:tc>
        <w:tc>
          <w:tcPr>
            <w:tcW w:w="20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231F20"/>
              </w:rPr>
              <w:t>46.4</w:t>
            </w:r>
          </w:p>
        </w:tc>
      </w:tr>
      <w:tr>
        <w:trPr>
          <w:trHeight w:val="233"/>
        </w:trPr>
        <w:tc>
          <w:tcPr>
            <w:tcW w:w="540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Asset impairment charges </w:t>
            </w:r>
            <w:r>
              <w:rPr>
                <w:rFonts w:ascii="Times New Roman" w:cs="Times New Roman" w:eastAsia="Times New Roman" w:hAnsi="Times New Roman"/>
                <w:sz w:val="20"/>
                <w:szCs w:val="20"/>
                <w:color w:val="231F20"/>
              </w:rPr>
              <w:t>....................................................</w:t>
            </w:r>
          </w:p>
        </w:tc>
        <w:tc>
          <w:tcPr>
            <w:tcW w:w="240" w:type="dxa"/>
            <w:vAlign w:val="bottom"/>
          </w:tcPr>
          <w:p>
            <w:pPr>
              <w:spacing w:after="0"/>
              <w:rPr>
                <w:sz w:val="20"/>
                <w:szCs w:val="20"/>
                <w:color w:val="auto"/>
              </w:rPr>
            </w:pPr>
          </w:p>
        </w:tc>
        <w:tc>
          <w:tcPr>
            <w:tcW w:w="94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33.5</w:t>
            </w:r>
          </w:p>
        </w:tc>
        <w:tc>
          <w:tcPr>
            <w:tcW w:w="20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53"/>
        </w:trPr>
        <w:tc>
          <w:tcPr>
            <w:tcW w:w="54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Restructuring charges</w:t>
            </w: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right w:val="single" w:sz="8" w:color="231F20"/>
            </w:tcBorders>
          </w:tcPr>
          <w:p>
            <w:pPr>
              <w:jc w:val="right"/>
              <w:ind w:right="101"/>
              <w:spacing w:after="0"/>
              <w:rPr>
                <w:sz w:val="20"/>
                <w:szCs w:val="20"/>
                <w:color w:val="auto"/>
              </w:rPr>
            </w:pPr>
            <w:r>
              <w:rPr>
                <w:rFonts w:ascii="Arial" w:cs="Arial" w:eastAsia="Arial" w:hAnsi="Arial"/>
                <w:sz w:val="20"/>
                <w:szCs w:val="20"/>
                <w:color w:val="231F20"/>
              </w:rPr>
              <w:t>32.5</w:t>
            </w:r>
          </w:p>
        </w:tc>
        <w:tc>
          <w:tcPr>
            <w:tcW w:w="20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41"/>
              <w:spacing w:after="0"/>
              <w:rPr>
                <w:sz w:val="20"/>
                <w:szCs w:val="20"/>
                <w:color w:val="auto"/>
              </w:rPr>
            </w:pPr>
            <w:r>
              <w:rPr>
                <w:rFonts w:ascii="Arial" w:cs="Arial" w:eastAsia="Arial" w:hAnsi="Arial"/>
                <w:sz w:val="20"/>
                <w:szCs w:val="20"/>
                <w:color w:val="231F20"/>
              </w:rPr>
              <w:t>32.4</w:t>
            </w:r>
          </w:p>
        </w:tc>
        <w:tc>
          <w:tcPr>
            <w:tcW w:w="2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9.3</w:t>
            </w:r>
          </w:p>
        </w:tc>
      </w:tr>
      <w:tr>
        <w:trPr>
          <w:trHeight w:val="223"/>
        </w:trPr>
        <w:tc>
          <w:tcPr>
            <w:tcW w:w="5400" w:type="dxa"/>
            <w:vAlign w:val="bottom"/>
            <w:tcBorders>
              <w:bottom w:val="single" w:sz="8" w:color="231F20"/>
              <w:right w:val="single" w:sz="8" w:color="231F20"/>
            </w:tcBorders>
          </w:tcPr>
          <w:p>
            <w:pPr>
              <w:jc w:val="right"/>
              <w:spacing w:after="0" w:line="223" w:lineRule="exact"/>
              <w:rPr>
                <w:sz w:val="20"/>
                <w:szCs w:val="20"/>
                <w:color w:val="auto"/>
              </w:rPr>
            </w:pPr>
            <w:r>
              <w:rPr>
                <w:rFonts w:ascii="Arial" w:cs="Arial" w:eastAsia="Arial" w:hAnsi="Arial"/>
                <w:sz w:val="20"/>
                <w:szCs w:val="20"/>
                <w:b w:val="1"/>
                <w:bCs w:val="1"/>
                <w:color w:val="231F20"/>
              </w:rPr>
              <w:t xml:space="preserve">OPERATING INCOME </w:t>
            </w: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right w:val="single" w:sz="8" w:color="231F20"/>
            </w:tcBorders>
          </w:tcPr>
          <w:p>
            <w:pPr>
              <w:jc w:val="right"/>
              <w:ind w:right="101"/>
              <w:spacing w:after="0" w:line="223" w:lineRule="exact"/>
              <w:rPr>
                <w:sz w:val="20"/>
                <w:szCs w:val="20"/>
                <w:color w:val="auto"/>
              </w:rPr>
            </w:pPr>
            <w:r>
              <w:rPr>
                <w:rFonts w:ascii="Arial" w:cs="Arial" w:eastAsia="Arial" w:hAnsi="Arial"/>
                <w:sz w:val="20"/>
                <w:szCs w:val="20"/>
                <w:color w:val="231F20"/>
              </w:rPr>
              <w:t>614.9</w:t>
            </w:r>
          </w:p>
        </w:tc>
        <w:tc>
          <w:tcPr>
            <w:tcW w:w="20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774.3</w:t>
            </w:r>
          </w:p>
        </w:tc>
        <w:tc>
          <w:tcPr>
            <w:tcW w:w="200" w:type="dxa"/>
            <w:vAlign w:val="bottom"/>
            <w:tcBorders>
              <w:bottom w:val="single" w:sz="8" w:color="231F20"/>
            </w:tcBorders>
          </w:tcPr>
          <w:p>
            <w:pPr>
              <w:spacing w:after="0"/>
              <w:rPr>
                <w:sz w:val="19"/>
                <w:szCs w:val="19"/>
                <w:color w:val="auto"/>
              </w:rPr>
            </w:pPr>
          </w:p>
        </w:tc>
        <w:tc>
          <w:tcPr>
            <w:tcW w:w="1060" w:type="dxa"/>
            <w:vAlign w:val="bottom"/>
            <w:tcBorders>
              <w:bottom w:val="single" w:sz="8" w:color="231F20"/>
            </w:tcBorders>
          </w:tcPr>
          <w:p>
            <w:pPr>
              <w:jc w:val="right"/>
              <w:ind w:right="1"/>
              <w:spacing w:after="0" w:line="223" w:lineRule="exact"/>
              <w:rPr>
                <w:sz w:val="20"/>
                <w:szCs w:val="20"/>
                <w:color w:val="auto"/>
              </w:rPr>
            </w:pPr>
            <w:r>
              <w:rPr>
                <w:rFonts w:ascii="Arial" w:cs="Arial" w:eastAsia="Arial" w:hAnsi="Arial"/>
                <w:sz w:val="20"/>
                <w:szCs w:val="20"/>
                <w:color w:val="231F20"/>
              </w:rPr>
              <w:t>811.1</w:t>
            </w:r>
          </w:p>
        </w:tc>
      </w:tr>
      <w:tr>
        <w:trPr>
          <w:trHeight w:val="202"/>
        </w:trPr>
        <w:tc>
          <w:tcPr>
            <w:tcW w:w="540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rPr>
              <w:t xml:space="preserve">Interest expense </w:t>
            </w:r>
            <w:r>
              <w:rPr>
                <w:rFonts w:ascii="Times New Roman" w:cs="Times New Roman" w:eastAsia="Times New Roman" w:hAnsi="Times New Roman"/>
                <w:sz w:val="20"/>
                <w:szCs w:val="20"/>
                <w:color w:val="231F20"/>
              </w:rPr>
              <w:t>.....................................................................</w:t>
            </w:r>
          </w:p>
        </w:tc>
        <w:tc>
          <w:tcPr>
            <w:tcW w:w="240" w:type="dxa"/>
            <w:vAlign w:val="bottom"/>
          </w:tcPr>
          <w:p>
            <w:pPr>
              <w:spacing w:after="0"/>
              <w:rPr>
                <w:sz w:val="17"/>
                <w:szCs w:val="17"/>
                <w:color w:val="auto"/>
              </w:rPr>
            </w:pPr>
          </w:p>
        </w:tc>
        <w:tc>
          <w:tcPr>
            <w:tcW w:w="940" w:type="dxa"/>
            <w:vAlign w:val="bottom"/>
            <w:tcBorders>
              <w:right w:val="single" w:sz="8" w:color="231F20"/>
            </w:tcBorders>
          </w:tcPr>
          <w:p>
            <w:pPr>
              <w:jc w:val="right"/>
              <w:ind w:right="101"/>
              <w:spacing w:after="0" w:line="203" w:lineRule="exact"/>
              <w:rPr>
                <w:sz w:val="20"/>
                <w:szCs w:val="20"/>
                <w:color w:val="auto"/>
              </w:rPr>
            </w:pPr>
            <w:r>
              <w:rPr>
                <w:rFonts w:ascii="Arial" w:cs="Arial" w:eastAsia="Arial" w:hAnsi="Arial"/>
                <w:sz w:val="20"/>
                <w:szCs w:val="20"/>
                <w:color w:val="231F20"/>
              </w:rPr>
              <w:t>116.5</w:t>
            </w:r>
          </w:p>
        </w:tc>
        <w:tc>
          <w:tcPr>
            <w:tcW w:w="200" w:type="dxa"/>
            <w:vAlign w:val="bottom"/>
          </w:tcPr>
          <w:p>
            <w:pPr>
              <w:spacing w:after="0"/>
              <w:rPr>
                <w:sz w:val="17"/>
                <w:szCs w:val="17"/>
                <w:color w:val="auto"/>
              </w:rPr>
            </w:pPr>
          </w:p>
        </w:tc>
        <w:tc>
          <w:tcPr>
            <w:tcW w:w="1120" w:type="dxa"/>
            <w:vAlign w:val="bottom"/>
          </w:tcPr>
          <w:p>
            <w:pPr>
              <w:jc w:val="right"/>
              <w:ind w:right="41"/>
              <w:spacing w:after="0" w:line="203" w:lineRule="exact"/>
              <w:rPr>
                <w:sz w:val="20"/>
                <w:szCs w:val="20"/>
                <w:color w:val="auto"/>
              </w:rPr>
            </w:pPr>
            <w:r>
              <w:rPr>
                <w:rFonts w:ascii="Arial" w:cs="Arial" w:eastAsia="Arial" w:hAnsi="Arial"/>
                <w:sz w:val="20"/>
                <w:szCs w:val="20"/>
                <w:color w:val="231F20"/>
              </w:rPr>
              <w:t>119.2</w:t>
            </w:r>
          </w:p>
        </w:tc>
        <w:tc>
          <w:tcPr>
            <w:tcW w:w="200" w:type="dxa"/>
            <w:vAlign w:val="bottom"/>
          </w:tcPr>
          <w:p>
            <w:pPr>
              <w:spacing w:after="0"/>
              <w:rPr>
                <w:sz w:val="17"/>
                <w:szCs w:val="17"/>
                <w:color w:val="auto"/>
              </w:rPr>
            </w:pPr>
          </w:p>
        </w:tc>
        <w:tc>
          <w:tcPr>
            <w:tcW w:w="1060" w:type="dxa"/>
            <w:vAlign w:val="bottom"/>
          </w:tcPr>
          <w:p>
            <w:pPr>
              <w:jc w:val="right"/>
              <w:ind w:right="1"/>
              <w:spacing w:after="0" w:line="203" w:lineRule="exact"/>
              <w:rPr>
                <w:sz w:val="20"/>
                <w:szCs w:val="20"/>
                <w:color w:val="auto"/>
              </w:rPr>
            </w:pPr>
            <w:r>
              <w:rPr>
                <w:rFonts w:ascii="Arial" w:cs="Arial" w:eastAsia="Arial" w:hAnsi="Arial"/>
                <w:sz w:val="20"/>
                <w:szCs w:val="20"/>
                <w:color w:val="231F20"/>
              </w:rPr>
              <w:t>84.3</w:t>
            </w:r>
          </w:p>
        </w:tc>
      </w:tr>
      <w:tr>
        <w:trPr>
          <w:trHeight w:val="253"/>
        </w:trPr>
        <w:tc>
          <w:tcPr>
            <w:tcW w:w="54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 xml:space="preserve">Other (income) expense, net </w:t>
            </w: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right w:val="single" w:sz="8" w:color="231F20"/>
            </w:tcBorders>
          </w:tcPr>
          <w:p>
            <w:pPr>
              <w:jc w:val="right"/>
              <w:ind w:right="41"/>
              <w:spacing w:after="0"/>
              <w:rPr>
                <w:sz w:val="20"/>
                <w:szCs w:val="20"/>
                <w:color w:val="auto"/>
              </w:rPr>
            </w:pPr>
            <w:r>
              <w:rPr>
                <w:rFonts w:ascii="Arial" w:cs="Arial" w:eastAsia="Arial" w:hAnsi="Arial"/>
                <w:sz w:val="20"/>
                <w:szCs w:val="20"/>
                <w:color w:val="231F20"/>
              </w:rPr>
              <w:t>(19.5)</w:t>
            </w:r>
          </w:p>
        </w:tc>
        <w:tc>
          <w:tcPr>
            <w:tcW w:w="20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(12.0)</w:t>
            </w:r>
          </w:p>
        </w:tc>
        <w:tc>
          <w:tcPr>
            <w:tcW w:w="2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0.4</w:t>
            </w:r>
          </w:p>
        </w:tc>
      </w:tr>
      <w:tr>
        <w:trPr>
          <w:trHeight w:val="202"/>
        </w:trPr>
        <w:tc>
          <w:tcPr>
            <w:tcW w:w="540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rPr>
              <w:t>Income from continuing operations before income taxes</w:t>
            </w:r>
            <w:r>
              <w:rPr>
                <w:rFonts w:ascii="Times New Roman" w:cs="Times New Roman" w:eastAsia="Times New Roman" w:hAnsi="Times New Roman"/>
                <w:sz w:val="20"/>
                <w:szCs w:val="20"/>
                <w:color w:val="231F20"/>
              </w:rPr>
              <w:t>......</w:t>
            </w:r>
          </w:p>
        </w:tc>
        <w:tc>
          <w:tcPr>
            <w:tcW w:w="240" w:type="dxa"/>
            <w:vAlign w:val="bottom"/>
          </w:tcPr>
          <w:p>
            <w:pPr>
              <w:spacing w:after="0"/>
              <w:rPr>
                <w:sz w:val="17"/>
                <w:szCs w:val="17"/>
                <w:color w:val="auto"/>
              </w:rPr>
            </w:pPr>
          </w:p>
        </w:tc>
        <w:tc>
          <w:tcPr>
            <w:tcW w:w="940" w:type="dxa"/>
            <w:vAlign w:val="bottom"/>
            <w:tcBorders>
              <w:right w:val="single" w:sz="8" w:color="231F20"/>
            </w:tcBorders>
          </w:tcPr>
          <w:p>
            <w:pPr>
              <w:jc w:val="right"/>
              <w:ind w:right="101"/>
              <w:spacing w:after="0" w:line="203" w:lineRule="exact"/>
              <w:rPr>
                <w:sz w:val="20"/>
                <w:szCs w:val="20"/>
                <w:color w:val="auto"/>
              </w:rPr>
            </w:pPr>
            <w:r>
              <w:rPr>
                <w:rFonts w:ascii="Arial" w:cs="Arial" w:eastAsia="Arial" w:hAnsi="Arial"/>
                <w:sz w:val="20"/>
                <w:szCs w:val="20"/>
                <w:color w:val="231F20"/>
              </w:rPr>
              <w:t>517.9</w:t>
            </w:r>
          </w:p>
        </w:tc>
        <w:tc>
          <w:tcPr>
            <w:tcW w:w="200" w:type="dxa"/>
            <w:vAlign w:val="bottom"/>
          </w:tcPr>
          <w:p>
            <w:pPr>
              <w:spacing w:after="0"/>
              <w:rPr>
                <w:sz w:val="17"/>
                <w:szCs w:val="17"/>
                <w:color w:val="auto"/>
              </w:rPr>
            </w:pPr>
          </w:p>
        </w:tc>
        <w:tc>
          <w:tcPr>
            <w:tcW w:w="1120" w:type="dxa"/>
            <w:vAlign w:val="bottom"/>
          </w:tcPr>
          <w:p>
            <w:pPr>
              <w:jc w:val="right"/>
              <w:ind w:right="41"/>
              <w:spacing w:after="0" w:line="203" w:lineRule="exact"/>
              <w:rPr>
                <w:sz w:val="20"/>
                <w:szCs w:val="20"/>
                <w:color w:val="auto"/>
              </w:rPr>
            </w:pPr>
            <w:r>
              <w:rPr>
                <w:rFonts w:ascii="Arial" w:cs="Arial" w:eastAsia="Arial" w:hAnsi="Arial"/>
                <w:sz w:val="20"/>
                <w:szCs w:val="20"/>
                <w:color w:val="231F20"/>
              </w:rPr>
              <w:t>667.1</w:t>
            </w:r>
          </w:p>
        </w:tc>
        <w:tc>
          <w:tcPr>
            <w:tcW w:w="200" w:type="dxa"/>
            <w:vAlign w:val="bottom"/>
          </w:tcPr>
          <w:p>
            <w:pPr>
              <w:spacing w:after="0"/>
              <w:rPr>
                <w:sz w:val="17"/>
                <w:szCs w:val="17"/>
                <w:color w:val="auto"/>
              </w:rPr>
            </w:pPr>
          </w:p>
        </w:tc>
        <w:tc>
          <w:tcPr>
            <w:tcW w:w="1060" w:type="dxa"/>
            <w:vAlign w:val="bottom"/>
          </w:tcPr>
          <w:p>
            <w:pPr>
              <w:jc w:val="right"/>
              <w:ind w:right="1"/>
              <w:spacing w:after="0" w:line="203" w:lineRule="exact"/>
              <w:rPr>
                <w:sz w:val="20"/>
                <w:szCs w:val="20"/>
                <w:color w:val="auto"/>
              </w:rPr>
            </w:pPr>
            <w:r>
              <w:rPr>
                <w:rFonts w:ascii="Arial" w:cs="Arial" w:eastAsia="Arial" w:hAnsi="Arial"/>
                <w:sz w:val="20"/>
                <w:szCs w:val="20"/>
                <w:color w:val="231F20"/>
              </w:rPr>
              <w:t>726.4</w:t>
            </w:r>
          </w:p>
        </w:tc>
      </w:tr>
      <w:tr>
        <w:trPr>
          <w:trHeight w:val="253"/>
        </w:trPr>
        <w:tc>
          <w:tcPr>
            <w:tcW w:w="54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Income taxes</w:t>
            </w: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right w:val="single" w:sz="8" w:color="231F20"/>
            </w:tcBorders>
          </w:tcPr>
          <w:p>
            <w:pPr>
              <w:jc w:val="right"/>
              <w:ind w:right="101"/>
              <w:spacing w:after="0"/>
              <w:rPr>
                <w:sz w:val="20"/>
                <w:szCs w:val="20"/>
                <w:color w:val="auto"/>
              </w:rPr>
            </w:pPr>
            <w:r>
              <w:rPr>
                <w:rFonts w:ascii="Arial" w:cs="Arial" w:eastAsia="Arial" w:hAnsi="Arial"/>
                <w:sz w:val="20"/>
                <w:szCs w:val="20"/>
                <w:color w:val="231F20"/>
              </w:rPr>
              <w:t>112.4</w:t>
            </w:r>
          </w:p>
        </w:tc>
        <w:tc>
          <w:tcPr>
            <w:tcW w:w="20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41"/>
              <w:spacing w:after="0"/>
              <w:rPr>
                <w:sz w:val="20"/>
                <w:szCs w:val="20"/>
                <w:color w:val="auto"/>
              </w:rPr>
            </w:pPr>
            <w:r>
              <w:rPr>
                <w:rFonts w:ascii="Arial" w:cs="Arial" w:eastAsia="Arial" w:hAnsi="Arial"/>
                <w:sz w:val="20"/>
                <w:szCs w:val="20"/>
                <w:color w:val="231F20"/>
              </w:rPr>
              <w:t>127.2</w:t>
            </w:r>
          </w:p>
        </w:tc>
        <w:tc>
          <w:tcPr>
            <w:tcW w:w="2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166.7</w:t>
            </w:r>
          </w:p>
        </w:tc>
      </w:tr>
      <w:tr>
        <w:trPr>
          <w:trHeight w:val="202"/>
        </w:trPr>
        <w:tc>
          <w:tcPr>
            <w:tcW w:w="540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rPr>
              <w:t xml:space="preserve">Income from continuing operations, net of tax </w:t>
            </w:r>
            <w:r>
              <w:rPr>
                <w:rFonts w:ascii="Times New Roman" w:cs="Times New Roman" w:eastAsia="Times New Roman" w:hAnsi="Times New Roman"/>
                <w:sz w:val="20"/>
                <w:szCs w:val="20"/>
                <w:color w:val="231F20"/>
              </w:rPr>
              <w:t>........................</w:t>
            </w:r>
          </w:p>
        </w:tc>
        <w:tc>
          <w:tcPr>
            <w:tcW w:w="240" w:type="dxa"/>
            <w:vAlign w:val="bottom"/>
          </w:tcPr>
          <w:p>
            <w:pPr>
              <w:spacing w:after="0"/>
              <w:rPr>
                <w:sz w:val="17"/>
                <w:szCs w:val="17"/>
                <w:color w:val="auto"/>
              </w:rPr>
            </w:pPr>
          </w:p>
        </w:tc>
        <w:tc>
          <w:tcPr>
            <w:tcW w:w="940" w:type="dxa"/>
            <w:vAlign w:val="bottom"/>
            <w:tcBorders>
              <w:right w:val="single" w:sz="8" w:color="231F20"/>
            </w:tcBorders>
          </w:tcPr>
          <w:p>
            <w:pPr>
              <w:jc w:val="right"/>
              <w:ind w:right="101"/>
              <w:spacing w:after="0" w:line="203" w:lineRule="exact"/>
              <w:rPr>
                <w:sz w:val="20"/>
                <w:szCs w:val="20"/>
                <w:color w:val="auto"/>
              </w:rPr>
            </w:pPr>
            <w:r>
              <w:rPr>
                <w:rFonts w:ascii="Arial" w:cs="Arial" w:eastAsia="Arial" w:hAnsi="Arial"/>
                <w:sz w:val="20"/>
                <w:szCs w:val="20"/>
                <w:color w:val="231F20"/>
              </w:rPr>
              <w:t>405.5</w:t>
            </w:r>
          </w:p>
        </w:tc>
        <w:tc>
          <w:tcPr>
            <w:tcW w:w="200" w:type="dxa"/>
            <w:vAlign w:val="bottom"/>
          </w:tcPr>
          <w:p>
            <w:pPr>
              <w:spacing w:after="0"/>
              <w:rPr>
                <w:sz w:val="17"/>
                <w:szCs w:val="17"/>
                <w:color w:val="auto"/>
              </w:rPr>
            </w:pPr>
          </w:p>
        </w:tc>
        <w:tc>
          <w:tcPr>
            <w:tcW w:w="1120" w:type="dxa"/>
            <w:vAlign w:val="bottom"/>
          </w:tcPr>
          <w:p>
            <w:pPr>
              <w:jc w:val="right"/>
              <w:ind w:right="41"/>
              <w:spacing w:after="0" w:line="203" w:lineRule="exact"/>
              <w:rPr>
                <w:sz w:val="20"/>
                <w:szCs w:val="20"/>
                <w:color w:val="auto"/>
              </w:rPr>
            </w:pPr>
            <w:r>
              <w:rPr>
                <w:rFonts w:ascii="Arial" w:cs="Arial" w:eastAsia="Arial" w:hAnsi="Arial"/>
                <w:sz w:val="20"/>
                <w:szCs w:val="20"/>
                <w:color w:val="231F20"/>
              </w:rPr>
              <w:t>539.9</w:t>
            </w:r>
          </w:p>
        </w:tc>
        <w:tc>
          <w:tcPr>
            <w:tcW w:w="200" w:type="dxa"/>
            <w:vAlign w:val="bottom"/>
          </w:tcPr>
          <w:p>
            <w:pPr>
              <w:spacing w:after="0"/>
              <w:rPr>
                <w:sz w:val="17"/>
                <w:szCs w:val="17"/>
                <w:color w:val="auto"/>
              </w:rPr>
            </w:pPr>
          </w:p>
        </w:tc>
        <w:tc>
          <w:tcPr>
            <w:tcW w:w="1060" w:type="dxa"/>
            <w:vAlign w:val="bottom"/>
          </w:tcPr>
          <w:p>
            <w:pPr>
              <w:jc w:val="right"/>
              <w:ind w:right="1"/>
              <w:spacing w:after="0" w:line="203" w:lineRule="exact"/>
              <w:rPr>
                <w:sz w:val="20"/>
                <w:szCs w:val="20"/>
                <w:color w:val="auto"/>
              </w:rPr>
            </w:pPr>
            <w:r>
              <w:rPr>
                <w:rFonts w:ascii="Arial" w:cs="Arial" w:eastAsia="Arial" w:hAnsi="Arial"/>
                <w:sz w:val="20"/>
                <w:szCs w:val="20"/>
                <w:color w:val="231F20"/>
              </w:rPr>
              <w:t>559.7</w:t>
            </w:r>
          </w:p>
        </w:tc>
      </w:tr>
      <w:tr>
        <w:trPr>
          <w:trHeight w:val="253"/>
        </w:trPr>
        <w:tc>
          <w:tcPr>
            <w:tcW w:w="54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 xml:space="preserve">Income (loss) from discontinued operations, net of tax </w:t>
            </w: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right w:val="single" w:sz="8" w:color="231F20"/>
            </w:tcBorders>
          </w:tcPr>
          <w:p>
            <w:pPr>
              <w:jc w:val="right"/>
              <w:ind w:right="41"/>
              <w:spacing w:after="0"/>
              <w:rPr>
                <w:sz w:val="20"/>
                <w:szCs w:val="20"/>
                <w:color w:val="auto"/>
              </w:rPr>
            </w:pPr>
            <w:r>
              <w:rPr>
                <w:rFonts w:ascii="Arial" w:cs="Arial" w:eastAsia="Arial" w:hAnsi="Arial"/>
                <w:sz w:val="20"/>
                <w:szCs w:val="20"/>
                <w:color w:val="231F20"/>
              </w:rPr>
              <w:t>(1.0)</w:t>
            </w:r>
          </w:p>
        </w:tc>
        <w:tc>
          <w:tcPr>
            <w:tcW w:w="20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41"/>
              <w:spacing w:after="0"/>
              <w:rPr>
                <w:sz w:val="20"/>
                <w:szCs w:val="20"/>
                <w:color w:val="auto"/>
              </w:rPr>
            </w:pPr>
            <w:r>
              <w:rPr>
                <w:rFonts w:ascii="Arial" w:cs="Arial" w:eastAsia="Arial" w:hAnsi="Arial"/>
                <w:sz w:val="20"/>
                <w:szCs w:val="20"/>
                <w:color w:val="231F20"/>
              </w:rPr>
              <w:t>146.8</w:t>
            </w:r>
          </w:p>
        </w:tc>
        <w:tc>
          <w:tcPr>
            <w:tcW w:w="2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212.7</w:t>
            </w:r>
          </w:p>
        </w:tc>
      </w:tr>
      <w:tr>
        <w:trPr>
          <w:trHeight w:val="248"/>
        </w:trPr>
        <w:tc>
          <w:tcPr>
            <w:tcW w:w="5400" w:type="dxa"/>
            <w:vAlign w:val="bottom"/>
            <w:tcBorders>
              <w:bottom w:val="single" w:sz="8" w:color="231F20"/>
              <w:right w:val="single" w:sz="8" w:color="231F20"/>
            </w:tcBorders>
          </w:tcPr>
          <w:p>
            <w:pPr>
              <w:jc w:val="right"/>
              <w:spacing w:after="0" w:line="223" w:lineRule="exact"/>
              <w:rPr>
                <w:sz w:val="20"/>
                <w:szCs w:val="20"/>
                <w:color w:val="auto"/>
              </w:rPr>
            </w:pPr>
            <w:r>
              <w:rPr>
                <w:rFonts w:ascii="Arial" w:cs="Arial" w:eastAsia="Arial" w:hAnsi="Arial"/>
                <w:sz w:val="20"/>
                <w:szCs w:val="20"/>
                <w:b w:val="1"/>
                <w:bCs w:val="1"/>
                <w:color w:val="231F20"/>
              </w:rPr>
              <w:t xml:space="preserve">NET INCOME </w:t>
            </w: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940" w:type="dxa"/>
            <w:vAlign w:val="bottom"/>
            <w:tcBorders>
              <w:bottom w:val="single" w:sz="8" w:color="231F20"/>
              <w:right w:val="single" w:sz="8" w:color="231F20"/>
            </w:tcBorders>
          </w:tcPr>
          <w:p>
            <w:pPr>
              <w:jc w:val="right"/>
              <w:ind w:right="101"/>
              <w:spacing w:after="0" w:line="223" w:lineRule="exact"/>
              <w:rPr>
                <w:sz w:val="20"/>
                <w:szCs w:val="20"/>
                <w:color w:val="auto"/>
              </w:rPr>
            </w:pPr>
            <w:r>
              <w:rPr>
                <w:rFonts w:ascii="Arial" w:cs="Arial" w:eastAsia="Arial" w:hAnsi="Arial"/>
                <w:sz w:val="20"/>
                <w:szCs w:val="20"/>
                <w:color w:val="231F20"/>
              </w:rPr>
              <w:t>404.5</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120" w:type="dxa"/>
            <w:vAlign w:val="bottom"/>
            <w:tcBorders>
              <w:bottom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686.7</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060" w:type="dxa"/>
            <w:vAlign w:val="bottom"/>
            <w:tcBorders>
              <w:bottom w:val="single" w:sz="8" w:color="231F20"/>
            </w:tcBorders>
          </w:tcPr>
          <w:p>
            <w:pPr>
              <w:jc w:val="right"/>
              <w:ind w:right="1"/>
              <w:spacing w:after="0" w:line="223" w:lineRule="exact"/>
              <w:rPr>
                <w:sz w:val="20"/>
                <w:szCs w:val="20"/>
                <w:color w:val="auto"/>
              </w:rPr>
            </w:pPr>
            <w:r>
              <w:rPr>
                <w:rFonts w:ascii="Arial" w:cs="Arial" w:eastAsia="Arial" w:hAnsi="Arial"/>
                <w:sz w:val="20"/>
                <w:szCs w:val="20"/>
                <w:color w:val="231F20"/>
              </w:rPr>
              <w:t>772.4</w:t>
            </w:r>
          </w:p>
        </w:tc>
      </w:tr>
      <w:tr>
        <w:trPr>
          <w:trHeight w:val="212"/>
        </w:trPr>
        <w:tc>
          <w:tcPr>
            <w:tcW w:w="5400" w:type="dxa"/>
            <w:vAlign w:val="bottom"/>
            <w:tcBorders>
              <w:right w:val="single" w:sz="8" w:color="231F20"/>
            </w:tcBorders>
          </w:tcPr>
          <w:p>
            <w:pPr>
              <w:spacing w:after="0" w:line="212" w:lineRule="exact"/>
              <w:rPr>
                <w:sz w:val="20"/>
                <w:szCs w:val="20"/>
                <w:color w:val="auto"/>
              </w:rPr>
            </w:pPr>
            <w:r>
              <w:rPr>
                <w:rFonts w:ascii="Arial" w:cs="Arial" w:eastAsia="Arial" w:hAnsi="Arial"/>
                <w:sz w:val="20"/>
                <w:szCs w:val="20"/>
                <w:b w:val="1"/>
                <w:bCs w:val="1"/>
                <w:color w:val="231F20"/>
              </w:rPr>
              <w:t>BASIC EARNINGS PER COMMON SHARE</w:t>
            </w:r>
          </w:p>
        </w:tc>
        <w:tc>
          <w:tcPr>
            <w:tcW w:w="240" w:type="dxa"/>
            <w:vAlign w:val="bottom"/>
          </w:tcPr>
          <w:p>
            <w:pPr>
              <w:spacing w:after="0"/>
              <w:rPr>
                <w:sz w:val="18"/>
                <w:szCs w:val="18"/>
                <w:color w:val="auto"/>
              </w:rPr>
            </w:pPr>
          </w:p>
        </w:tc>
        <w:tc>
          <w:tcPr>
            <w:tcW w:w="94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3"/>
        </w:trPr>
        <w:tc>
          <w:tcPr>
            <w:tcW w:w="540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Continuing operations</w:t>
            </w: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3.20</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1120" w:type="dxa"/>
            <w:vAlign w:val="bottom"/>
          </w:tcPr>
          <w:p>
            <w:pPr>
              <w:jc w:val="right"/>
              <w:ind w:right="41"/>
              <w:spacing w:after="0"/>
              <w:rPr>
                <w:sz w:val="20"/>
                <w:szCs w:val="20"/>
                <w:color w:val="auto"/>
              </w:rPr>
            </w:pPr>
            <w:r>
              <w:rPr>
                <w:rFonts w:ascii="Arial" w:cs="Arial" w:eastAsia="Arial" w:hAnsi="Arial"/>
                <w:sz w:val="20"/>
                <w:szCs w:val="20"/>
                <w:color w:val="231F20"/>
              </w:rPr>
              <w:t>4.14</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231F20"/>
              </w:rPr>
              <w:t>4.07</w:t>
            </w:r>
          </w:p>
        </w:tc>
      </w:tr>
      <w:tr>
        <w:trPr>
          <w:trHeight w:val="253"/>
        </w:trPr>
        <w:tc>
          <w:tcPr>
            <w:tcW w:w="54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Discontinued operations</w:t>
            </w: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right w:val="single" w:sz="8" w:color="231F20"/>
            </w:tcBorders>
          </w:tcPr>
          <w:p>
            <w:pPr>
              <w:jc w:val="right"/>
              <w:ind w:right="41"/>
              <w:spacing w:after="0"/>
              <w:rPr>
                <w:sz w:val="20"/>
                <w:szCs w:val="20"/>
                <w:color w:val="auto"/>
              </w:rPr>
            </w:pPr>
            <w:r>
              <w:rPr>
                <w:rFonts w:ascii="Arial" w:cs="Arial" w:eastAsia="Arial" w:hAnsi="Arial"/>
                <w:sz w:val="20"/>
                <w:szCs w:val="20"/>
                <w:color w:val="231F20"/>
              </w:rPr>
              <w:t>(0.01)</w:t>
            </w:r>
          </w:p>
        </w:tc>
        <w:tc>
          <w:tcPr>
            <w:tcW w:w="20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41"/>
              <w:spacing w:after="0"/>
              <w:rPr>
                <w:sz w:val="20"/>
                <w:szCs w:val="20"/>
                <w:color w:val="auto"/>
              </w:rPr>
            </w:pPr>
            <w:r>
              <w:rPr>
                <w:rFonts w:ascii="Arial" w:cs="Arial" w:eastAsia="Arial" w:hAnsi="Arial"/>
                <w:sz w:val="20"/>
                <w:szCs w:val="20"/>
                <w:color w:val="231F20"/>
              </w:rPr>
              <w:t>1.13</w:t>
            </w:r>
          </w:p>
        </w:tc>
        <w:tc>
          <w:tcPr>
            <w:tcW w:w="2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1.55</w:t>
            </w:r>
          </w:p>
        </w:tc>
      </w:tr>
      <w:tr>
        <w:trPr>
          <w:trHeight w:val="199"/>
        </w:trPr>
        <w:tc>
          <w:tcPr>
            <w:tcW w:w="5400" w:type="dxa"/>
            <w:vAlign w:val="bottom"/>
            <w:tcBorders>
              <w:right w:val="single" w:sz="8" w:color="231F20"/>
            </w:tcBorders>
          </w:tcPr>
          <w:p>
            <w:pPr>
              <w:jc w:val="right"/>
              <w:spacing w:after="0" w:line="200" w:lineRule="exact"/>
              <w:rPr>
                <w:sz w:val="20"/>
                <w:szCs w:val="20"/>
                <w:color w:val="auto"/>
              </w:rPr>
            </w:pPr>
            <w:r>
              <w:rPr>
                <w:rFonts w:ascii="Arial" w:cs="Arial" w:eastAsia="Arial" w:hAnsi="Arial"/>
                <w:sz w:val="20"/>
                <w:szCs w:val="20"/>
                <w:color w:val="231F20"/>
              </w:rPr>
              <w:t xml:space="preserve">Basic earnings per share attributable to Fortune Brands </w:t>
            </w:r>
            <w:r>
              <w:rPr>
                <w:rFonts w:ascii="Times New Roman" w:cs="Times New Roman" w:eastAsia="Times New Roman" w:hAnsi="Times New Roman"/>
                <w:sz w:val="20"/>
                <w:szCs w:val="20"/>
                <w:color w:val="231F20"/>
              </w:rPr>
              <w:t>......</w:t>
            </w:r>
          </w:p>
        </w:tc>
        <w:tc>
          <w:tcPr>
            <w:tcW w:w="240" w:type="dxa"/>
            <w:vAlign w:val="bottom"/>
          </w:tcPr>
          <w:p>
            <w:pPr>
              <w:jc w:val="right"/>
              <w:spacing w:after="0" w:line="200" w:lineRule="exact"/>
              <w:rPr>
                <w:sz w:val="20"/>
                <w:szCs w:val="20"/>
                <w:color w:val="auto"/>
              </w:rPr>
            </w:pPr>
            <w:r>
              <w:rPr>
                <w:rFonts w:ascii="Arial" w:cs="Arial" w:eastAsia="Arial" w:hAnsi="Arial"/>
                <w:sz w:val="20"/>
                <w:szCs w:val="20"/>
                <w:color w:val="231F20"/>
              </w:rPr>
              <w:t>$</w:t>
            </w:r>
          </w:p>
        </w:tc>
        <w:tc>
          <w:tcPr>
            <w:tcW w:w="940" w:type="dxa"/>
            <w:vAlign w:val="bottom"/>
            <w:tcBorders>
              <w:right w:val="single" w:sz="8" w:color="231F20"/>
            </w:tcBorders>
          </w:tcPr>
          <w:p>
            <w:pPr>
              <w:jc w:val="right"/>
              <w:ind w:right="101"/>
              <w:spacing w:after="0" w:line="200" w:lineRule="exact"/>
              <w:rPr>
                <w:sz w:val="20"/>
                <w:szCs w:val="20"/>
                <w:color w:val="auto"/>
              </w:rPr>
            </w:pPr>
            <w:r>
              <w:rPr>
                <w:rFonts w:ascii="Arial" w:cs="Arial" w:eastAsia="Arial" w:hAnsi="Arial"/>
                <w:sz w:val="20"/>
                <w:szCs w:val="20"/>
                <w:color w:val="231F20"/>
              </w:rPr>
              <w:t>3.19</w:t>
            </w:r>
          </w:p>
        </w:tc>
        <w:tc>
          <w:tcPr>
            <w:tcW w:w="200" w:type="dxa"/>
            <w:vAlign w:val="bottom"/>
          </w:tcPr>
          <w:p>
            <w:pPr>
              <w:jc w:val="right"/>
              <w:spacing w:after="0" w:line="200" w:lineRule="exact"/>
              <w:rPr>
                <w:sz w:val="20"/>
                <w:szCs w:val="20"/>
                <w:color w:val="auto"/>
              </w:rPr>
            </w:pPr>
            <w:r>
              <w:rPr>
                <w:rFonts w:ascii="Arial" w:cs="Arial" w:eastAsia="Arial" w:hAnsi="Arial"/>
                <w:sz w:val="20"/>
                <w:szCs w:val="20"/>
                <w:color w:val="231F20"/>
              </w:rPr>
              <w:t>$</w:t>
            </w:r>
          </w:p>
        </w:tc>
        <w:tc>
          <w:tcPr>
            <w:tcW w:w="1120" w:type="dxa"/>
            <w:vAlign w:val="bottom"/>
          </w:tcPr>
          <w:p>
            <w:pPr>
              <w:jc w:val="right"/>
              <w:ind w:right="41"/>
              <w:spacing w:after="0" w:line="200" w:lineRule="exact"/>
              <w:rPr>
                <w:sz w:val="20"/>
                <w:szCs w:val="20"/>
                <w:color w:val="auto"/>
              </w:rPr>
            </w:pPr>
            <w:r>
              <w:rPr>
                <w:rFonts w:ascii="Arial" w:cs="Arial" w:eastAsia="Arial" w:hAnsi="Arial"/>
                <w:sz w:val="20"/>
                <w:szCs w:val="20"/>
                <w:color w:val="231F20"/>
              </w:rPr>
              <w:t>5.27</w:t>
            </w:r>
          </w:p>
        </w:tc>
        <w:tc>
          <w:tcPr>
            <w:tcW w:w="200" w:type="dxa"/>
            <w:vAlign w:val="bottom"/>
          </w:tcPr>
          <w:p>
            <w:pPr>
              <w:jc w:val="right"/>
              <w:spacing w:after="0" w:line="200" w:lineRule="exact"/>
              <w:rPr>
                <w:sz w:val="20"/>
                <w:szCs w:val="20"/>
                <w:color w:val="auto"/>
              </w:rPr>
            </w:pPr>
            <w:r>
              <w:rPr>
                <w:rFonts w:ascii="Arial" w:cs="Arial" w:eastAsia="Arial" w:hAnsi="Arial"/>
                <w:sz w:val="20"/>
                <w:szCs w:val="20"/>
                <w:color w:val="231F20"/>
              </w:rPr>
              <w:t>$</w:t>
            </w:r>
          </w:p>
        </w:tc>
        <w:tc>
          <w:tcPr>
            <w:tcW w:w="1060" w:type="dxa"/>
            <w:vAlign w:val="bottom"/>
          </w:tcPr>
          <w:p>
            <w:pPr>
              <w:jc w:val="right"/>
              <w:ind w:right="1"/>
              <w:spacing w:after="0" w:line="200" w:lineRule="exact"/>
              <w:rPr>
                <w:sz w:val="20"/>
                <w:szCs w:val="20"/>
                <w:color w:val="auto"/>
              </w:rPr>
            </w:pPr>
            <w:r>
              <w:rPr>
                <w:rFonts w:ascii="Arial" w:cs="Arial" w:eastAsia="Arial" w:hAnsi="Arial"/>
                <w:sz w:val="20"/>
                <w:szCs w:val="20"/>
                <w:color w:val="231F20"/>
              </w:rPr>
              <w:t>5.62</w:t>
            </w:r>
          </w:p>
        </w:tc>
      </w:tr>
      <w:tr>
        <w:trPr>
          <w:trHeight w:val="235"/>
        </w:trPr>
        <w:tc>
          <w:tcPr>
            <w:tcW w:w="5400" w:type="dxa"/>
            <w:vAlign w:val="bottom"/>
            <w:tcBorders>
              <w:right w:val="single" w:sz="8" w:color="231F20"/>
            </w:tcBorders>
          </w:tcPr>
          <w:p>
            <w:pPr>
              <w:spacing w:after="0"/>
              <w:rPr>
                <w:sz w:val="20"/>
                <w:szCs w:val="20"/>
                <w:color w:val="auto"/>
              </w:rPr>
            </w:pPr>
            <w:r>
              <w:rPr>
                <w:rFonts w:ascii="Arial" w:cs="Arial" w:eastAsia="Arial" w:hAnsi="Arial"/>
                <w:sz w:val="20"/>
                <w:szCs w:val="20"/>
                <w:b w:val="1"/>
                <w:bCs w:val="1"/>
                <w:color w:val="231F20"/>
              </w:rPr>
              <w:t>DILUTED EARNINGS PER COMMON SHARE</w:t>
            </w:r>
          </w:p>
        </w:tc>
        <w:tc>
          <w:tcPr>
            <w:tcW w:w="240" w:type="dxa"/>
            <w:vAlign w:val="bottom"/>
          </w:tcPr>
          <w:p>
            <w:pPr>
              <w:spacing w:after="0"/>
              <w:rPr>
                <w:sz w:val="20"/>
                <w:szCs w:val="20"/>
                <w:color w:val="auto"/>
              </w:rPr>
            </w:pPr>
          </w:p>
        </w:tc>
        <w:tc>
          <w:tcPr>
            <w:tcW w:w="940" w:type="dxa"/>
            <w:vAlign w:val="bottom"/>
            <w:tcBorders>
              <w:right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3"/>
        </w:trPr>
        <w:tc>
          <w:tcPr>
            <w:tcW w:w="540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Continuing operations</w:t>
            </w: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3.17</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1120" w:type="dxa"/>
            <w:vAlign w:val="bottom"/>
          </w:tcPr>
          <w:p>
            <w:pPr>
              <w:jc w:val="right"/>
              <w:ind w:right="41"/>
              <w:spacing w:after="0"/>
              <w:rPr>
                <w:sz w:val="20"/>
                <w:szCs w:val="20"/>
                <w:color w:val="auto"/>
              </w:rPr>
            </w:pPr>
            <w:r>
              <w:rPr>
                <w:rFonts w:ascii="Arial" w:cs="Arial" w:eastAsia="Arial" w:hAnsi="Arial"/>
                <w:sz w:val="20"/>
                <w:szCs w:val="20"/>
                <w:color w:val="231F20"/>
              </w:rPr>
              <w:t>4.11</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231F20"/>
              </w:rPr>
              <w:t>4.01</w:t>
            </w:r>
          </w:p>
        </w:tc>
      </w:tr>
      <w:tr>
        <w:trPr>
          <w:trHeight w:val="253"/>
        </w:trPr>
        <w:tc>
          <w:tcPr>
            <w:tcW w:w="54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Discontinued operations</w:t>
            </w: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right w:val="single" w:sz="8" w:color="231F20"/>
            </w:tcBorders>
          </w:tcPr>
          <w:p>
            <w:pPr>
              <w:jc w:val="right"/>
              <w:ind w:right="101"/>
              <w:spacing w:after="0"/>
              <w:rPr>
                <w:sz w:val="20"/>
                <w:szCs w:val="20"/>
                <w:color w:val="auto"/>
              </w:rPr>
            </w:pPr>
            <w:r>
              <w:rPr>
                <w:rFonts w:ascii="Arial" w:cs="Arial" w:eastAsia="Arial" w:hAnsi="Arial"/>
                <w:sz w:val="20"/>
                <w:szCs w:val="20"/>
                <w:color w:val="231F20"/>
              </w:rPr>
              <w:t>—</w:t>
            </w:r>
          </w:p>
        </w:tc>
        <w:tc>
          <w:tcPr>
            <w:tcW w:w="20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41"/>
              <w:spacing w:after="0"/>
              <w:rPr>
                <w:sz w:val="20"/>
                <w:szCs w:val="20"/>
                <w:color w:val="auto"/>
              </w:rPr>
            </w:pPr>
            <w:r>
              <w:rPr>
                <w:rFonts w:ascii="Arial" w:cs="Arial" w:eastAsia="Arial" w:hAnsi="Arial"/>
                <w:sz w:val="20"/>
                <w:szCs w:val="20"/>
                <w:color w:val="231F20"/>
              </w:rPr>
              <w:t>1.12</w:t>
            </w:r>
          </w:p>
        </w:tc>
        <w:tc>
          <w:tcPr>
            <w:tcW w:w="20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1.53</w:t>
            </w:r>
          </w:p>
        </w:tc>
      </w:tr>
      <w:tr>
        <w:trPr>
          <w:trHeight w:val="263"/>
        </w:trPr>
        <w:tc>
          <w:tcPr>
            <w:tcW w:w="540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Diluted earnings per share attributable to Fortune Brands </w:t>
            </w:r>
            <w:r>
              <w:rPr>
                <w:rFonts w:ascii="Times New Roman" w:cs="Times New Roman" w:eastAsia="Times New Roman" w:hAnsi="Times New Roman"/>
                <w:sz w:val="20"/>
                <w:szCs w:val="20"/>
                <w:color w:val="231F20"/>
              </w:rPr>
              <w:t>...</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3.17</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1120" w:type="dxa"/>
            <w:vAlign w:val="bottom"/>
          </w:tcPr>
          <w:p>
            <w:pPr>
              <w:jc w:val="right"/>
              <w:ind w:right="41"/>
              <w:spacing w:after="0"/>
              <w:rPr>
                <w:sz w:val="20"/>
                <w:szCs w:val="20"/>
                <w:color w:val="auto"/>
              </w:rPr>
            </w:pPr>
            <w:r>
              <w:rPr>
                <w:rFonts w:ascii="Arial" w:cs="Arial" w:eastAsia="Arial" w:hAnsi="Arial"/>
                <w:sz w:val="20"/>
                <w:szCs w:val="20"/>
                <w:color w:val="231F20"/>
              </w:rPr>
              <w:t>5.23</w:t>
            </w:r>
          </w:p>
        </w:tc>
        <w:tc>
          <w:tcPr>
            <w:tcW w:w="200" w:type="dxa"/>
            <w:vAlign w:val="bottom"/>
          </w:tcPr>
          <w:p>
            <w:pPr>
              <w:jc w:val="right"/>
              <w:spacing w:after="0"/>
              <w:rPr>
                <w:sz w:val="20"/>
                <w:szCs w:val="20"/>
                <w:color w:val="auto"/>
              </w:rPr>
            </w:pPr>
            <w:r>
              <w:rPr>
                <w:rFonts w:ascii="Arial" w:cs="Arial" w:eastAsia="Arial" w:hAnsi="Arial"/>
                <w:sz w:val="20"/>
                <w:szCs w:val="20"/>
                <w:color w:val="231F20"/>
              </w:rPr>
              <w:t>$</w:t>
            </w:r>
          </w:p>
        </w:tc>
        <w:tc>
          <w:tcPr>
            <w:tcW w:w="1060" w:type="dxa"/>
            <w:vAlign w:val="bottom"/>
          </w:tcPr>
          <w:p>
            <w:pPr>
              <w:jc w:val="right"/>
              <w:ind w:right="1"/>
              <w:spacing w:after="0"/>
              <w:rPr>
                <w:sz w:val="20"/>
                <w:szCs w:val="20"/>
                <w:color w:val="auto"/>
              </w:rPr>
            </w:pPr>
            <w:r>
              <w:rPr>
                <w:rFonts w:ascii="Arial" w:cs="Arial" w:eastAsia="Arial" w:hAnsi="Arial"/>
                <w:sz w:val="20"/>
                <w:szCs w:val="20"/>
                <w:color w:val="231F20"/>
              </w:rPr>
              <w:t>5.54</w:t>
            </w:r>
          </w:p>
        </w:tc>
      </w:tr>
      <w:tr>
        <w:trPr>
          <w:trHeight w:val="404"/>
        </w:trPr>
        <w:tc>
          <w:tcPr>
            <w:tcW w:w="540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Basic average number of shares outstanding</w:t>
            </w:r>
            <w:r>
              <w:rPr>
                <w:rFonts w:ascii="Times New Roman" w:cs="Times New Roman" w:eastAsia="Times New Roman" w:hAnsi="Times New Roman"/>
                <w:sz w:val="20"/>
                <w:szCs w:val="20"/>
                <w:color w:val="231F20"/>
              </w:rPr>
              <w:t>.........................</w:t>
            </w:r>
          </w:p>
        </w:tc>
        <w:tc>
          <w:tcPr>
            <w:tcW w:w="240" w:type="dxa"/>
            <w:vAlign w:val="bottom"/>
          </w:tcPr>
          <w:p>
            <w:pPr>
              <w:spacing w:after="0"/>
              <w:rPr>
                <w:sz w:val="24"/>
                <w:szCs w:val="24"/>
                <w:color w:val="auto"/>
              </w:rPr>
            </w:pPr>
          </w:p>
        </w:tc>
        <w:tc>
          <w:tcPr>
            <w:tcW w:w="94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126.9</w:t>
            </w:r>
          </w:p>
        </w:tc>
        <w:tc>
          <w:tcPr>
            <w:tcW w:w="20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231F20"/>
              </w:rPr>
              <w:t>130.3</w:t>
            </w:r>
          </w:p>
        </w:tc>
        <w:tc>
          <w:tcPr>
            <w:tcW w:w="20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Arial" w:cs="Arial" w:eastAsia="Arial" w:hAnsi="Arial"/>
                <w:sz w:val="20"/>
                <w:szCs w:val="20"/>
                <w:color w:val="231F20"/>
              </w:rPr>
              <w:t>137.5</w:t>
            </w:r>
          </w:p>
        </w:tc>
      </w:tr>
      <w:tr>
        <w:trPr>
          <w:trHeight w:val="279"/>
        </w:trPr>
        <w:tc>
          <w:tcPr>
            <w:tcW w:w="54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 xml:space="preserve">Diluted average number of shares outstanding </w:t>
            </w:r>
            <w:r>
              <w:rPr>
                <w:rFonts w:ascii="Times New Roman" w:cs="Times New Roman" w:eastAsia="Times New Roman" w:hAnsi="Times New Roman"/>
                <w:sz w:val="20"/>
                <w:szCs w:val="20"/>
                <w:color w:val="231F20"/>
              </w:rPr>
              <w:t>......................</w:t>
            </w:r>
          </w:p>
        </w:tc>
        <w:tc>
          <w:tcPr>
            <w:tcW w:w="240" w:type="dxa"/>
            <w:vAlign w:val="bottom"/>
            <w:tcBorders>
              <w:bottom w:val="single" w:sz="8" w:color="231F20"/>
            </w:tcBorders>
          </w:tcPr>
          <w:p>
            <w:pPr>
              <w:spacing w:after="0"/>
              <w:rPr>
                <w:sz w:val="24"/>
                <w:szCs w:val="24"/>
                <w:color w:val="auto"/>
              </w:rPr>
            </w:pPr>
          </w:p>
        </w:tc>
        <w:tc>
          <w:tcPr>
            <w:tcW w:w="940" w:type="dxa"/>
            <w:vAlign w:val="bottom"/>
            <w:tcBorders>
              <w:bottom w:val="single" w:sz="8" w:color="231F20"/>
              <w:right w:val="single" w:sz="8" w:color="231F20"/>
            </w:tcBorders>
          </w:tcPr>
          <w:p>
            <w:pPr>
              <w:jc w:val="right"/>
              <w:ind w:right="101"/>
              <w:spacing w:after="0"/>
              <w:rPr>
                <w:sz w:val="20"/>
                <w:szCs w:val="20"/>
                <w:color w:val="auto"/>
              </w:rPr>
            </w:pPr>
            <w:r>
              <w:rPr>
                <w:rFonts w:ascii="Arial" w:cs="Arial" w:eastAsia="Arial" w:hAnsi="Arial"/>
                <w:sz w:val="20"/>
                <w:szCs w:val="20"/>
                <w:color w:val="231F20"/>
              </w:rPr>
              <w:t>127.7</w:t>
            </w:r>
          </w:p>
        </w:tc>
        <w:tc>
          <w:tcPr>
            <w:tcW w:w="2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jc w:val="right"/>
              <w:ind w:right="41"/>
              <w:spacing w:after="0"/>
              <w:rPr>
                <w:sz w:val="20"/>
                <w:szCs w:val="20"/>
                <w:color w:val="auto"/>
              </w:rPr>
            </w:pPr>
            <w:r>
              <w:rPr>
                <w:rFonts w:ascii="Arial" w:cs="Arial" w:eastAsia="Arial" w:hAnsi="Arial"/>
                <w:sz w:val="20"/>
                <w:szCs w:val="20"/>
                <w:color w:val="231F20"/>
              </w:rPr>
              <w:t>131.3</w:t>
            </w:r>
          </w:p>
        </w:tc>
        <w:tc>
          <w:tcPr>
            <w:tcW w:w="2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139.5</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231F20"/>
        </w:rPr>
        <w:t>See Notes to Consolidated Financial Statements.</w:t>
      </w:r>
    </w:p>
    <w:p>
      <w:pPr>
        <w:sectPr>
          <w:pgSz w:w="12240" w:h="15840" w:orient="portrait"/>
          <w:cols w:equalWidth="0" w:num="1">
            <w:col w:w="9480"/>
          </w:cols>
          <w:pgMar w:left="1380" w:top="1300" w:right="1380" w:bottom="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48</w:t>
      </w:r>
    </w:p>
    <w:p>
      <w:pPr>
        <w:sectPr>
          <w:pgSz w:w="12240" w:h="15840" w:orient="portrait"/>
          <w:cols w:equalWidth="0" w:num="1">
            <w:col w:w="9480"/>
          </w:cols>
          <w:pgMar w:left="1380" w:top="1300" w:right="1380" w:bottom="95" w:gutter="0" w:footer="0" w:header="0"/>
          <w:type w:val="continuous"/>
        </w:sectPr>
      </w:pPr>
    </w:p>
    <w:bookmarkStart w:id="56" w:name="page57"/>
    <w:bookmarkEnd w:id="56"/>
    <w:p>
      <w:pPr>
        <w:spacing w:after="0" w:line="181" w:lineRule="exact"/>
        <w:rPr>
          <w:sz w:val="20"/>
          <w:szCs w:val="20"/>
          <w:color w:val="auto"/>
        </w:rPr>
      </w:pPr>
    </w:p>
    <w:p>
      <w:pPr>
        <w:ind w:right="920"/>
        <w:spacing w:after="0" w:line="304" w:lineRule="auto"/>
        <w:rPr>
          <w:sz w:val="20"/>
          <w:szCs w:val="20"/>
          <w:color w:val="auto"/>
        </w:rPr>
      </w:pPr>
      <w:r>
        <w:rPr>
          <w:rFonts w:ascii="Arial" w:cs="Arial" w:eastAsia="Arial" w:hAnsi="Arial"/>
          <w:sz w:val="20"/>
          <w:szCs w:val="20"/>
          <w:b w:val="1"/>
          <w:bCs w:val="1"/>
          <w:color w:val="231F20"/>
        </w:rPr>
        <w:t>Consolidated Statements of Comprehensive Income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231F20"/>
        </w:rPr>
        <w:t>Fortune Brands Innovations, Inc. and Subsidiaries</w:t>
      </w:r>
    </w:p>
    <w:p>
      <w:pPr>
        <w:spacing w:after="0" w:line="200" w:lineRule="exact"/>
        <w:rPr>
          <w:sz w:val="20"/>
          <w:szCs w:val="20"/>
          <w:color w:val="auto"/>
        </w:rPr>
      </w:pPr>
    </w:p>
    <w:p>
      <w:pPr>
        <w:spacing w:after="0" w:line="290" w:lineRule="exact"/>
        <w:rPr>
          <w:sz w:val="20"/>
          <w:szCs w:val="20"/>
          <w:color w:val="auto"/>
        </w:rPr>
      </w:pPr>
    </w:p>
    <w:p>
      <w:pPr>
        <w:ind w:left="1020"/>
        <w:spacing w:after="0"/>
        <w:rPr>
          <w:sz w:val="20"/>
          <w:szCs w:val="20"/>
          <w:color w:val="auto"/>
        </w:rPr>
      </w:pPr>
      <w:r>
        <w:rPr>
          <w:rFonts w:ascii="Arial" w:cs="Arial" w:eastAsia="Arial" w:hAnsi="Arial"/>
          <w:sz w:val="15"/>
          <w:szCs w:val="15"/>
          <w:color w:val="231F20"/>
        </w:rPr>
        <w:t>For years ended</w:t>
      </w:r>
    </w:p>
    <w:p>
      <w:pPr>
        <w:spacing w:after="0" w:line="17" w:lineRule="exact"/>
        <w:rPr>
          <w:sz w:val="20"/>
          <w:szCs w:val="20"/>
          <w:color w:val="auto"/>
        </w:rPr>
      </w:pPr>
    </w:p>
    <w:p>
      <w:pPr>
        <w:sectPr>
          <w:pgSz w:w="12240" w:h="15840" w:orient="portrait"/>
          <w:cols w:equalWidth="0" w:num="2">
            <w:col w:w="5180" w:space="720"/>
            <w:col w:w="3580"/>
          </w:cols>
          <w:pgMar w:left="1380" w:top="1440" w:right="1380" w:bottom="95" w:gutter="0" w:footer="0" w:header="0"/>
        </w:sectPr>
      </w:pPr>
    </w:p>
    <w:tbl>
      <w:tblPr>
        <w:tblLayout w:type="fixed"/>
        <w:tblInd w:w="20" w:type="dxa"/>
        <w:tblCellMar>
          <w:top w:w="0" w:type="dxa"/>
          <w:left w:w="0" w:type="dxa"/>
          <w:bottom w:w="0" w:type="dxa"/>
          <w:right w:w="0" w:type="dxa"/>
        </w:tblCellMar>
      </w:tblPr>
      <w:tr>
        <w:trPr>
          <w:trHeight w:val="132"/>
        </w:trPr>
        <w:tc>
          <w:tcPr>
            <w:tcW w:w="5460" w:type="dxa"/>
            <w:vAlign w:val="bottom"/>
            <w:tcBorders>
              <w:top w:val="single" w:sz="8" w:color="231F20"/>
              <w:right w:val="single" w:sz="8" w:color="231F20"/>
            </w:tcBorders>
          </w:tcPr>
          <w:p>
            <w:pPr>
              <w:spacing w:after="0"/>
              <w:rPr>
                <w:sz w:val="11"/>
                <w:szCs w:val="11"/>
                <w:color w:val="auto"/>
              </w:rPr>
            </w:pPr>
          </w:p>
        </w:tc>
        <w:tc>
          <w:tcPr>
            <w:tcW w:w="1320" w:type="dxa"/>
            <w:vAlign w:val="bottom"/>
            <w:tcBorders>
              <w:top w:val="single" w:sz="8" w:color="231F20"/>
              <w:right w:val="single" w:sz="8" w:color="231F20"/>
            </w:tcBorders>
            <w:gridSpan w:val="2"/>
          </w:tcPr>
          <w:p>
            <w:pPr>
              <w:jc w:val="right"/>
              <w:ind w:right="101"/>
              <w:spacing w:after="0" w:line="133" w:lineRule="exact"/>
              <w:rPr>
                <w:sz w:val="20"/>
                <w:szCs w:val="20"/>
                <w:color w:val="auto"/>
              </w:rPr>
            </w:pPr>
            <w:r>
              <w:rPr>
                <w:rFonts w:ascii="Arial" w:cs="Arial" w:eastAsia="Arial" w:hAnsi="Arial"/>
                <w:sz w:val="15"/>
                <w:szCs w:val="15"/>
                <w:i w:val="1"/>
                <w:iCs w:val="1"/>
                <w:color w:val="231F20"/>
              </w:rPr>
              <w:t>December 30,</w:t>
            </w:r>
          </w:p>
        </w:tc>
        <w:tc>
          <w:tcPr>
            <w:tcW w:w="220" w:type="dxa"/>
            <w:vAlign w:val="bottom"/>
            <w:tcBorders>
              <w:top w:val="single" w:sz="8" w:color="231F20"/>
            </w:tcBorders>
          </w:tcPr>
          <w:p>
            <w:pPr>
              <w:spacing w:after="0"/>
              <w:rPr>
                <w:sz w:val="11"/>
                <w:szCs w:val="11"/>
                <w:color w:val="auto"/>
              </w:rPr>
            </w:pPr>
          </w:p>
        </w:tc>
        <w:tc>
          <w:tcPr>
            <w:tcW w:w="1140" w:type="dxa"/>
            <w:vAlign w:val="bottom"/>
            <w:tcBorders>
              <w:top w:val="single" w:sz="8" w:color="231F20"/>
            </w:tcBorders>
          </w:tcPr>
          <w:p>
            <w:pPr>
              <w:jc w:val="right"/>
              <w:ind w:right="42"/>
              <w:spacing w:after="0" w:line="133" w:lineRule="exact"/>
              <w:rPr>
                <w:sz w:val="20"/>
                <w:szCs w:val="20"/>
                <w:color w:val="auto"/>
              </w:rPr>
            </w:pPr>
            <w:r>
              <w:rPr>
                <w:rFonts w:ascii="Arial" w:cs="Arial" w:eastAsia="Arial" w:hAnsi="Arial"/>
                <w:sz w:val="15"/>
                <w:szCs w:val="15"/>
                <w:color w:val="231F20"/>
              </w:rPr>
              <w:t>December 31,</w:t>
            </w:r>
          </w:p>
        </w:tc>
        <w:tc>
          <w:tcPr>
            <w:tcW w:w="220" w:type="dxa"/>
            <w:vAlign w:val="bottom"/>
            <w:tcBorders>
              <w:top w:val="single" w:sz="8" w:color="231F20"/>
            </w:tcBorders>
          </w:tcPr>
          <w:p>
            <w:pPr>
              <w:spacing w:after="0"/>
              <w:rPr>
                <w:sz w:val="11"/>
                <w:szCs w:val="11"/>
                <w:color w:val="auto"/>
              </w:rPr>
            </w:pPr>
          </w:p>
        </w:tc>
        <w:tc>
          <w:tcPr>
            <w:tcW w:w="1080" w:type="dxa"/>
            <w:vAlign w:val="bottom"/>
            <w:tcBorders>
              <w:top w:val="single" w:sz="8" w:color="231F20"/>
            </w:tcBorders>
          </w:tcPr>
          <w:p>
            <w:pPr>
              <w:jc w:val="right"/>
              <w:ind w:right="2"/>
              <w:spacing w:after="0" w:line="133" w:lineRule="exact"/>
              <w:rPr>
                <w:sz w:val="20"/>
                <w:szCs w:val="20"/>
                <w:color w:val="auto"/>
              </w:rPr>
            </w:pPr>
            <w:r>
              <w:rPr>
                <w:rFonts w:ascii="Arial" w:cs="Arial" w:eastAsia="Arial" w:hAnsi="Arial"/>
                <w:sz w:val="15"/>
                <w:szCs w:val="15"/>
                <w:color w:val="231F20"/>
              </w:rPr>
              <w:t>December 31,</w:t>
            </w:r>
          </w:p>
        </w:tc>
      </w:tr>
      <w:tr>
        <w:trPr>
          <w:trHeight w:val="207"/>
        </w:trPr>
        <w:tc>
          <w:tcPr>
            <w:tcW w:w="5460" w:type="dxa"/>
            <w:vAlign w:val="bottom"/>
            <w:tcBorders>
              <w:bottom w:val="single" w:sz="8" w:color="231F20"/>
              <w:right w:val="single" w:sz="8" w:color="231F20"/>
            </w:tcBorders>
          </w:tcPr>
          <w:p>
            <w:pPr>
              <w:jc w:val="right"/>
              <w:ind w:right="20"/>
              <w:spacing w:after="0" w:line="206"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4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right w:val="single" w:sz="8" w:color="231F20"/>
            </w:tcBorders>
          </w:tcPr>
          <w:p>
            <w:pPr>
              <w:jc w:val="right"/>
              <w:ind w:right="101"/>
              <w:spacing w:after="0"/>
              <w:rPr>
                <w:sz w:val="20"/>
                <w:szCs w:val="20"/>
                <w:color w:val="auto"/>
              </w:rPr>
            </w:pPr>
            <w:r>
              <w:rPr>
                <w:rFonts w:ascii="Arial" w:cs="Arial" w:eastAsia="Arial" w:hAnsi="Arial"/>
                <w:sz w:val="15"/>
                <w:szCs w:val="15"/>
                <w:i w:val="1"/>
                <w:iCs w:val="1"/>
                <w:color w:val="231F20"/>
              </w:rPr>
              <w:t>2023</w:t>
            </w:r>
          </w:p>
        </w:tc>
        <w:tc>
          <w:tcPr>
            <w:tcW w:w="22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42"/>
              <w:spacing w:after="0"/>
              <w:rPr>
                <w:sz w:val="20"/>
                <w:szCs w:val="20"/>
                <w:color w:val="auto"/>
              </w:rPr>
            </w:pPr>
            <w:r>
              <w:rPr>
                <w:rFonts w:ascii="Arial" w:cs="Arial" w:eastAsia="Arial" w:hAnsi="Arial"/>
                <w:sz w:val="15"/>
                <w:szCs w:val="15"/>
                <w:color w:val="231F20"/>
              </w:rPr>
              <w:t>2022</w:t>
            </w:r>
          </w:p>
        </w:tc>
        <w:tc>
          <w:tcPr>
            <w:tcW w:w="22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right"/>
              <w:ind w:right="2"/>
              <w:spacing w:after="0"/>
              <w:rPr>
                <w:sz w:val="20"/>
                <w:szCs w:val="20"/>
                <w:color w:val="auto"/>
              </w:rPr>
            </w:pPr>
            <w:r>
              <w:rPr>
                <w:rFonts w:ascii="Arial" w:cs="Arial" w:eastAsia="Arial" w:hAnsi="Arial"/>
                <w:sz w:val="15"/>
                <w:szCs w:val="15"/>
                <w:color w:val="231F20"/>
              </w:rPr>
              <w:t>2021</w:t>
            </w:r>
          </w:p>
        </w:tc>
      </w:tr>
      <w:tr>
        <w:trPr>
          <w:trHeight w:val="199"/>
        </w:trPr>
        <w:tc>
          <w:tcPr>
            <w:tcW w:w="5460" w:type="dxa"/>
            <w:vAlign w:val="bottom"/>
            <w:tcBorders>
              <w:right w:val="single" w:sz="8" w:color="231F20"/>
            </w:tcBorders>
          </w:tcPr>
          <w:p>
            <w:pPr>
              <w:jc w:val="right"/>
              <w:ind w:right="20"/>
              <w:spacing w:after="0" w:line="200" w:lineRule="exact"/>
              <w:rPr>
                <w:sz w:val="20"/>
                <w:szCs w:val="20"/>
                <w:color w:val="auto"/>
              </w:rPr>
            </w:pPr>
            <w:r>
              <w:rPr>
                <w:rFonts w:ascii="Arial" w:cs="Arial" w:eastAsia="Arial" w:hAnsi="Arial"/>
                <w:sz w:val="20"/>
                <w:szCs w:val="20"/>
                <w:b w:val="1"/>
                <w:bCs w:val="1"/>
                <w:color w:val="231F20"/>
              </w:rPr>
              <w:t xml:space="preserve">NET INCOME </w:t>
            </w:r>
            <w:r>
              <w:rPr>
                <w:rFonts w:ascii="Times New Roman" w:cs="Times New Roman" w:eastAsia="Times New Roman" w:hAnsi="Times New Roman"/>
                <w:sz w:val="20"/>
                <w:szCs w:val="20"/>
                <w:color w:val="231F20"/>
              </w:rPr>
              <w:t>................................................................................</w:t>
            </w:r>
          </w:p>
        </w:tc>
        <w:tc>
          <w:tcPr>
            <w:tcW w:w="400" w:type="dxa"/>
            <w:vAlign w:val="bottom"/>
          </w:tcPr>
          <w:p>
            <w:pPr>
              <w:jc w:val="right"/>
              <w:ind w:right="127"/>
              <w:spacing w:after="0" w:line="200" w:lineRule="exact"/>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101"/>
              <w:spacing w:after="0" w:line="200" w:lineRule="exact"/>
              <w:rPr>
                <w:sz w:val="20"/>
                <w:szCs w:val="20"/>
                <w:color w:val="auto"/>
              </w:rPr>
            </w:pPr>
            <w:r>
              <w:rPr>
                <w:rFonts w:ascii="Arial" w:cs="Arial" w:eastAsia="Arial" w:hAnsi="Arial"/>
                <w:sz w:val="20"/>
                <w:szCs w:val="20"/>
                <w:color w:val="231F20"/>
              </w:rPr>
              <w:t>404.5</w:t>
            </w:r>
          </w:p>
        </w:tc>
        <w:tc>
          <w:tcPr>
            <w:tcW w:w="220" w:type="dxa"/>
            <w:vAlign w:val="bottom"/>
          </w:tcPr>
          <w:p>
            <w:pPr>
              <w:jc w:val="right"/>
              <w:spacing w:after="0" w:line="200" w:lineRule="exact"/>
              <w:rPr>
                <w:sz w:val="20"/>
                <w:szCs w:val="20"/>
                <w:color w:val="auto"/>
              </w:rPr>
            </w:pPr>
            <w:r>
              <w:rPr>
                <w:rFonts w:ascii="Arial" w:cs="Arial" w:eastAsia="Arial" w:hAnsi="Arial"/>
                <w:sz w:val="20"/>
                <w:szCs w:val="20"/>
                <w:color w:val="231F20"/>
              </w:rPr>
              <w:t>$</w:t>
            </w:r>
          </w:p>
        </w:tc>
        <w:tc>
          <w:tcPr>
            <w:tcW w:w="1140" w:type="dxa"/>
            <w:vAlign w:val="bottom"/>
          </w:tcPr>
          <w:p>
            <w:pPr>
              <w:jc w:val="right"/>
              <w:ind w:right="42"/>
              <w:spacing w:after="0" w:line="200" w:lineRule="exact"/>
              <w:rPr>
                <w:sz w:val="20"/>
                <w:szCs w:val="20"/>
                <w:color w:val="auto"/>
              </w:rPr>
            </w:pPr>
            <w:r>
              <w:rPr>
                <w:rFonts w:ascii="Arial" w:cs="Arial" w:eastAsia="Arial" w:hAnsi="Arial"/>
                <w:sz w:val="20"/>
                <w:szCs w:val="20"/>
                <w:color w:val="231F20"/>
              </w:rPr>
              <w:t>686.7</w:t>
            </w:r>
          </w:p>
        </w:tc>
        <w:tc>
          <w:tcPr>
            <w:tcW w:w="220" w:type="dxa"/>
            <w:vAlign w:val="bottom"/>
          </w:tcPr>
          <w:p>
            <w:pPr>
              <w:jc w:val="right"/>
              <w:spacing w:after="0" w:line="200" w:lineRule="exact"/>
              <w:rPr>
                <w:sz w:val="20"/>
                <w:szCs w:val="20"/>
                <w:color w:val="auto"/>
              </w:rPr>
            </w:pPr>
            <w:r>
              <w:rPr>
                <w:rFonts w:ascii="Arial" w:cs="Arial" w:eastAsia="Arial" w:hAnsi="Arial"/>
                <w:sz w:val="20"/>
                <w:szCs w:val="20"/>
                <w:color w:val="231F20"/>
              </w:rPr>
              <w:t>$</w:t>
            </w:r>
          </w:p>
        </w:tc>
        <w:tc>
          <w:tcPr>
            <w:tcW w:w="1080" w:type="dxa"/>
            <w:vAlign w:val="bottom"/>
          </w:tcPr>
          <w:p>
            <w:pPr>
              <w:jc w:val="right"/>
              <w:ind w:right="2"/>
              <w:spacing w:after="0" w:line="200" w:lineRule="exact"/>
              <w:rPr>
                <w:sz w:val="20"/>
                <w:szCs w:val="20"/>
                <w:color w:val="auto"/>
              </w:rPr>
            </w:pPr>
            <w:r>
              <w:rPr>
                <w:rFonts w:ascii="Arial" w:cs="Arial" w:eastAsia="Arial" w:hAnsi="Arial"/>
                <w:sz w:val="20"/>
                <w:szCs w:val="20"/>
                <w:color w:val="231F20"/>
              </w:rPr>
              <w:t>772.4</w:t>
            </w:r>
          </w:p>
        </w:tc>
      </w:tr>
      <w:tr>
        <w:trPr>
          <w:trHeight w:val="235"/>
        </w:trPr>
        <w:tc>
          <w:tcPr>
            <w:tcW w:w="5460" w:type="dxa"/>
            <w:vAlign w:val="bottom"/>
            <w:tcBorders>
              <w:right w:val="single" w:sz="8" w:color="231F20"/>
            </w:tcBorders>
          </w:tcPr>
          <w:p>
            <w:pPr>
              <w:spacing w:after="0"/>
              <w:rPr>
                <w:sz w:val="20"/>
                <w:szCs w:val="20"/>
                <w:color w:val="auto"/>
              </w:rPr>
            </w:pPr>
            <w:r>
              <w:rPr>
                <w:rFonts w:ascii="Arial" w:cs="Arial" w:eastAsia="Arial" w:hAnsi="Arial"/>
                <w:sz w:val="20"/>
                <w:szCs w:val="20"/>
                <w:b w:val="1"/>
                <w:bCs w:val="1"/>
                <w:color w:val="231F20"/>
              </w:rPr>
              <w:t>Other comprehensive income (loss), before tax:</w:t>
            </w:r>
          </w:p>
        </w:tc>
        <w:tc>
          <w:tcPr>
            <w:tcW w:w="400" w:type="dxa"/>
            <w:vAlign w:val="bottom"/>
          </w:tcPr>
          <w:p>
            <w:pPr>
              <w:spacing w:after="0"/>
              <w:rPr>
                <w:sz w:val="20"/>
                <w:szCs w:val="20"/>
                <w:color w:val="auto"/>
              </w:rPr>
            </w:pPr>
          </w:p>
        </w:tc>
        <w:tc>
          <w:tcPr>
            <w:tcW w:w="92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4"/>
        </w:trPr>
        <w:tc>
          <w:tcPr>
            <w:tcW w:w="5460" w:type="dxa"/>
            <w:vAlign w:val="bottom"/>
            <w:tcBorders>
              <w:right w:val="single" w:sz="8" w:color="231F20"/>
            </w:tcBorders>
          </w:tcPr>
          <w:p>
            <w:pPr>
              <w:jc w:val="right"/>
              <w:ind w:right="20"/>
              <w:spacing w:after="0"/>
              <w:rPr>
                <w:sz w:val="20"/>
                <w:szCs w:val="20"/>
                <w:color w:val="auto"/>
              </w:rPr>
            </w:pPr>
            <w:r>
              <w:rPr>
                <w:rFonts w:ascii="Arial" w:cs="Arial" w:eastAsia="Arial" w:hAnsi="Arial"/>
                <w:sz w:val="20"/>
                <w:szCs w:val="20"/>
                <w:color w:val="231F20"/>
              </w:rPr>
              <w:t xml:space="preserve">Foreign currency translation adjustments </w:t>
            </w:r>
            <w:r>
              <w:rPr>
                <w:rFonts w:ascii="Times New Roman" w:cs="Times New Roman" w:eastAsia="Times New Roman" w:hAnsi="Times New Roman"/>
                <w:sz w:val="20"/>
                <w:szCs w:val="20"/>
                <w:color w:val="231F20"/>
              </w:rPr>
              <w:t>...........................</w:t>
            </w:r>
          </w:p>
        </w:tc>
        <w:tc>
          <w:tcPr>
            <w:tcW w:w="400" w:type="dxa"/>
            <w:vAlign w:val="bottom"/>
          </w:tcPr>
          <w:p>
            <w:pPr>
              <w:spacing w:after="0"/>
              <w:rPr>
                <w:sz w:val="23"/>
                <w:szCs w:val="23"/>
                <w:color w:val="auto"/>
              </w:rPr>
            </w:pPr>
          </w:p>
        </w:tc>
        <w:tc>
          <w:tcPr>
            <w:tcW w:w="92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17.4</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(23.4)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231F20"/>
              </w:rPr>
              <w:t>(3.9)</w:t>
            </w:r>
          </w:p>
        </w:tc>
      </w:tr>
      <w:tr>
        <w:trPr>
          <w:trHeight w:val="425"/>
        </w:trPr>
        <w:tc>
          <w:tcPr>
            <w:tcW w:w="5460" w:type="dxa"/>
            <w:vAlign w:val="bottom"/>
            <w:tcBorders>
              <w:right w:val="single" w:sz="8" w:color="231F20"/>
            </w:tcBorders>
          </w:tcPr>
          <w:p>
            <w:pPr>
              <w:ind w:left="280"/>
              <w:spacing w:after="0"/>
              <w:rPr>
                <w:sz w:val="20"/>
                <w:szCs w:val="20"/>
                <w:color w:val="auto"/>
              </w:rPr>
            </w:pPr>
            <w:r>
              <w:rPr>
                <w:rFonts w:ascii="Arial" w:cs="Arial" w:eastAsia="Arial" w:hAnsi="Arial"/>
                <w:sz w:val="20"/>
                <w:szCs w:val="20"/>
                <w:b w:val="1"/>
                <w:bCs w:val="1"/>
                <w:color w:val="231F20"/>
              </w:rPr>
              <w:t>Unrealized (losses) gains on derivatives:</w:t>
            </w:r>
          </w:p>
        </w:tc>
        <w:tc>
          <w:tcPr>
            <w:tcW w:w="400" w:type="dxa"/>
            <w:vAlign w:val="bottom"/>
          </w:tcPr>
          <w:p>
            <w:pPr>
              <w:spacing w:after="0"/>
              <w:rPr>
                <w:sz w:val="24"/>
                <w:szCs w:val="24"/>
                <w:color w:val="auto"/>
              </w:rPr>
            </w:pPr>
          </w:p>
        </w:tc>
        <w:tc>
          <w:tcPr>
            <w:tcW w:w="920" w:type="dxa"/>
            <w:vAlign w:val="bottom"/>
            <w:tcBorders>
              <w:right w:val="single" w:sz="8" w:color="231F20"/>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1"/>
        </w:trPr>
        <w:tc>
          <w:tcPr>
            <w:tcW w:w="5460" w:type="dxa"/>
            <w:vAlign w:val="bottom"/>
            <w:tcBorders>
              <w:right w:val="single" w:sz="8" w:color="231F20"/>
            </w:tcBorders>
          </w:tcPr>
          <w:p>
            <w:pPr>
              <w:ind w:left="560"/>
              <w:spacing w:after="0"/>
              <w:rPr>
                <w:sz w:val="20"/>
                <w:szCs w:val="20"/>
                <w:color w:val="auto"/>
              </w:rPr>
            </w:pPr>
            <w:r>
              <w:rPr>
                <w:rFonts w:ascii="Arial" w:cs="Arial" w:eastAsia="Arial" w:hAnsi="Arial"/>
                <w:sz w:val="20"/>
                <w:szCs w:val="20"/>
                <w:color w:val="231F20"/>
              </w:rPr>
              <w:t>Unrealized holding gains (losses) arising during</w:t>
            </w:r>
          </w:p>
        </w:tc>
        <w:tc>
          <w:tcPr>
            <w:tcW w:w="400" w:type="dxa"/>
            <w:vAlign w:val="bottom"/>
          </w:tcPr>
          <w:p>
            <w:pPr>
              <w:spacing w:after="0"/>
              <w:rPr>
                <w:sz w:val="20"/>
                <w:szCs w:val="20"/>
                <w:color w:val="auto"/>
              </w:rPr>
            </w:pPr>
          </w:p>
        </w:tc>
        <w:tc>
          <w:tcPr>
            <w:tcW w:w="92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4"/>
        </w:trPr>
        <w:tc>
          <w:tcPr>
            <w:tcW w:w="5460" w:type="dxa"/>
            <w:vAlign w:val="bottom"/>
            <w:tcBorders>
              <w:right w:val="single" w:sz="8" w:color="231F20"/>
            </w:tcBorders>
          </w:tcPr>
          <w:p>
            <w:pPr>
              <w:jc w:val="right"/>
              <w:ind w:right="20"/>
              <w:spacing w:after="0"/>
              <w:rPr>
                <w:sz w:val="20"/>
                <w:szCs w:val="20"/>
                <w:color w:val="auto"/>
              </w:rPr>
            </w:pPr>
            <w:r>
              <w:rPr>
                <w:rFonts w:ascii="Arial" w:cs="Arial" w:eastAsia="Arial" w:hAnsi="Arial"/>
                <w:sz w:val="20"/>
                <w:szCs w:val="20"/>
                <w:color w:val="231F20"/>
              </w:rPr>
              <w:t xml:space="preserve">period </w:t>
            </w:r>
            <w:r>
              <w:rPr>
                <w:rFonts w:ascii="Times New Roman" w:cs="Times New Roman" w:eastAsia="Times New Roman" w:hAnsi="Times New Roman"/>
                <w:sz w:val="20"/>
                <w:szCs w:val="20"/>
                <w:color w:val="231F20"/>
              </w:rPr>
              <w:t>...................................................................................</w:t>
            </w:r>
          </w:p>
        </w:tc>
        <w:tc>
          <w:tcPr>
            <w:tcW w:w="400" w:type="dxa"/>
            <w:vAlign w:val="bottom"/>
          </w:tcPr>
          <w:p>
            <w:pPr>
              <w:spacing w:after="0"/>
              <w:rPr>
                <w:sz w:val="20"/>
                <w:szCs w:val="20"/>
                <w:color w:val="auto"/>
              </w:rPr>
            </w:pPr>
          </w:p>
        </w:tc>
        <w:tc>
          <w:tcPr>
            <w:tcW w:w="92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4.1</w:t>
            </w:r>
          </w:p>
        </w:tc>
        <w:tc>
          <w:tcPr>
            <w:tcW w:w="2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20"/>
                <w:szCs w:val="20"/>
                <w:color w:val="231F20"/>
              </w:rPr>
              <w:t>126.2</w:t>
            </w:r>
          </w:p>
        </w:tc>
        <w:tc>
          <w:tcPr>
            <w:tcW w:w="22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20"/>
                <w:szCs w:val="20"/>
                <w:color w:val="231F20"/>
              </w:rPr>
              <w:t>1.5</w:t>
            </w:r>
          </w:p>
        </w:tc>
      </w:tr>
      <w:tr>
        <w:trPr>
          <w:trHeight w:val="231"/>
        </w:trPr>
        <w:tc>
          <w:tcPr>
            <w:tcW w:w="5460" w:type="dxa"/>
            <w:vAlign w:val="bottom"/>
            <w:tcBorders>
              <w:right w:val="single" w:sz="8" w:color="231F20"/>
            </w:tcBorders>
          </w:tcPr>
          <w:p>
            <w:pPr>
              <w:ind w:left="560"/>
              <w:spacing w:after="0"/>
              <w:rPr>
                <w:sz w:val="20"/>
                <w:szCs w:val="20"/>
                <w:color w:val="auto"/>
              </w:rPr>
            </w:pPr>
            <w:r>
              <w:rPr>
                <w:rFonts w:ascii="Arial" w:cs="Arial" w:eastAsia="Arial" w:hAnsi="Arial"/>
                <w:sz w:val="20"/>
                <w:szCs w:val="20"/>
                <w:color w:val="231F20"/>
              </w:rPr>
              <w:t>Less: reclassification adjustment for (gains) losses</w:t>
            </w:r>
          </w:p>
        </w:tc>
        <w:tc>
          <w:tcPr>
            <w:tcW w:w="400" w:type="dxa"/>
            <w:vAlign w:val="bottom"/>
          </w:tcPr>
          <w:p>
            <w:pPr>
              <w:spacing w:after="0"/>
              <w:rPr>
                <w:sz w:val="20"/>
                <w:szCs w:val="20"/>
                <w:color w:val="auto"/>
              </w:rPr>
            </w:pPr>
          </w:p>
        </w:tc>
        <w:tc>
          <w:tcPr>
            <w:tcW w:w="92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5460" w:type="dxa"/>
            <w:vAlign w:val="bottom"/>
            <w:tcBorders>
              <w:bottom w:val="single" w:sz="8" w:color="231F20"/>
              <w:right w:val="single" w:sz="8" w:color="231F20"/>
            </w:tcBorders>
          </w:tcPr>
          <w:p>
            <w:pPr>
              <w:jc w:val="right"/>
              <w:ind w:right="20"/>
              <w:spacing w:after="0"/>
              <w:rPr>
                <w:sz w:val="20"/>
                <w:szCs w:val="20"/>
                <w:color w:val="auto"/>
              </w:rPr>
            </w:pPr>
            <w:r>
              <w:rPr>
                <w:rFonts w:ascii="Arial" w:cs="Arial" w:eastAsia="Arial" w:hAnsi="Arial"/>
                <w:sz w:val="20"/>
                <w:szCs w:val="20"/>
                <w:color w:val="231F20"/>
              </w:rPr>
              <w:t xml:space="preserve">included in net income </w:t>
            </w:r>
            <w:r>
              <w:rPr>
                <w:rFonts w:ascii="Times New Roman" w:cs="Times New Roman" w:eastAsia="Times New Roman" w:hAnsi="Times New Roman"/>
                <w:sz w:val="20"/>
                <w:szCs w:val="20"/>
                <w:color w:val="231F20"/>
              </w:rPr>
              <w:t>......................................................</w:t>
            </w:r>
          </w:p>
        </w:tc>
        <w:tc>
          <w:tcPr>
            <w:tcW w:w="40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right w:val="single" w:sz="8" w:color="231F20"/>
            </w:tcBorders>
          </w:tcPr>
          <w:p>
            <w:pPr>
              <w:jc w:val="right"/>
              <w:ind w:right="41"/>
              <w:spacing w:after="0"/>
              <w:rPr>
                <w:sz w:val="20"/>
                <w:szCs w:val="20"/>
                <w:color w:val="auto"/>
              </w:rPr>
            </w:pPr>
            <w:r>
              <w:rPr>
                <w:rFonts w:ascii="Arial" w:cs="Arial" w:eastAsia="Arial" w:hAnsi="Arial"/>
                <w:sz w:val="20"/>
                <w:szCs w:val="20"/>
                <w:color w:val="231F20"/>
              </w:rPr>
              <w:t>(14.0)</w:t>
            </w:r>
          </w:p>
        </w:tc>
        <w:tc>
          <w:tcPr>
            <w:tcW w:w="2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(5.5)</w:t>
            </w:r>
          </w:p>
        </w:tc>
        <w:tc>
          <w:tcPr>
            <w:tcW w:w="22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(2.2)</w:t>
            </w:r>
          </w:p>
        </w:tc>
      </w:tr>
      <w:tr>
        <w:trPr>
          <w:trHeight w:val="223"/>
        </w:trPr>
        <w:tc>
          <w:tcPr>
            <w:tcW w:w="5460" w:type="dxa"/>
            <w:vAlign w:val="bottom"/>
            <w:tcBorders>
              <w:bottom w:val="single" w:sz="8" w:color="231F20"/>
              <w:right w:val="single" w:sz="8" w:color="231F20"/>
            </w:tcBorders>
          </w:tcPr>
          <w:p>
            <w:pPr>
              <w:jc w:val="right"/>
              <w:ind w:right="20"/>
              <w:spacing w:after="0" w:line="223" w:lineRule="exact"/>
              <w:rPr>
                <w:sz w:val="20"/>
                <w:szCs w:val="20"/>
                <w:color w:val="auto"/>
              </w:rPr>
            </w:pPr>
            <w:r>
              <w:rPr>
                <w:rFonts w:ascii="Arial" w:cs="Arial" w:eastAsia="Arial" w:hAnsi="Arial"/>
                <w:sz w:val="20"/>
                <w:szCs w:val="20"/>
                <w:b w:val="1"/>
                <w:bCs w:val="1"/>
                <w:color w:val="231F20"/>
              </w:rPr>
              <w:t>Unrealized (losses) gains on derivatives</w:t>
            </w:r>
            <w:r>
              <w:rPr>
                <w:rFonts w:ascii="Times New Roman" w:cs="Times New Roman" w:eastAsia="Times New Roman" w:hAnsi="Times New Roman"/>
                <w:sz w:val="20"/>
                <w:szCs w:val="20"/>
                <w:color w:val="231F20"/>
              </w:rPr>
              <w:t>.............</w:t>
            </w:r>
          </w:p>
        </w:tc>
        <w:tc>
          <w:tcPr>
            <w:tcW w:w="40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right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(9.9)</w:t>
            </w:r>
          </w:p>
        </w:tc>
        <w:tc>
          <w:tcPr>
            <w:tcW w:w="22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ind w:right="42"/>
              <w:spacing w:after="0" w:line="223" w:lineRule="exact"/>
              <w:rPr>
                <w:sz w:val="20"/>
                <w:szCs w:val="20"/>
                <w:color w:val="auto"/>
              </w:rPr>
            </w:pPr>
            <w:r>
              <w:rPr>
                <w:rFonts w:ascii="Arial" w:cs="Arial" w:eastAsia="Arial" w:hAnsi="Arial"/>
                <w:sz w:val="20"/>
                <w:szCs w:val="20"/>
                <w:color w:val="231F20"/>
              </w:rPr>
              <w:t>120.7</w:t>
            </w:r>
          </w:p>
        </w:tc>
        <w:tc>
          <w:tcPr>
            <w:tcW w:w="22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(0.7)</w:t>
            </w:r>
          </w:p>
        </w:tc>
      </w:tr>
      <w:tr>
        <w:trPr>
          <w:trHeight w:val="202"/>
        </w:trPr>
        <w:tc>
          <w:tcPr>
            <w:tcW w:w="5460" w:type="dxa"/>
            <w:vAlign w:val="bottom"/>
            <w:tcBorders>
              <w:right w:val="single" w:sz="8" w:color="231F20"/>
            </w:tcBorders>
          </w:tcPr>
          <w:p>
            <w:pPr>
              <w:ind w:left="280"/>
              <w:spacing w:after="0" w:line="203" w:lineRule="exact"/>
              <w:rPr>
                <w:sz w:val="20"/>
                <w:szCs w:val="20"/>
                <w:color w:val="auto"/>
              </w:rPr>
            </w:pPr>
            <w:r>
              <w:rPr>
                <w:rFonts w:ascii="Arial" w:cs="Arial" w:eastAsia="Arial" w:hAnsi="Arial"/>
                <w:sz w:val="20"/>
                <w:szCs w:val="20"/>
                <w:b w:val="1"/>
                <w:bCs w:val="1"/>
                <w:color w:val="231F20"/>
              </w:rPr>
              <w:t>Defined benefit plans:</w:t>
            </w:r>
          </w:p>
        </w:tc>
        <w:tc>
          <w:tcPr>
            <w:tcW w:w="40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3"/>
        </w:trPr>
        <w:tc>
          <w:tcPr>
            <w:tcW w:w="5460" w:type="dxa"/>
            <w:vAlign w:val="bottom"/>
            <w:tcBorders>
              <w:right w:val="single" w:sz="8" w:color="231F20"/>
            </w:tcBorders>
          </w:tcPr>
          <w:p>
            <w:pPr>
              <w:jc w:val="right"/>
              <w:ind w:right="20"/>
              <w:spacing w:after="0"/>
              <w:rPr>
                <w:sz w:val="20"/>
                <w:szCs w:val="20"/>
                <w:color w:val="auto"/>
              </w:rPr>
            </w:pPr>
            <w:r>
              <w:rPr>
                <w:rFonts w:ascii="Arial" w:cs="Arial" w:eastAsia="Arial" w:hAnsi="Arial"/>
                <w:sz w:val="20"/>
                <w:szCs w:val="20"/>
                <w:color w:val="231F20"/>
              </w:rPr>
              <w:t>Net actuarial gains (loss) arising during period</w:t>
            </w:r>
            <w:r>
              <w:rPr>
                <w:rFonts w:ascii="Times New Roman" w:cs="Times New Roman" w:eastAsia="Times New Roman" w:hAnsi="Times New Roman"/>
                <w:sz w:val="20"/>
                <w:szCs w:val="20"/>
                <w:color w:val="231F20"/>
              </w:rPr>
              <w:t>.............</w:t>
            </w:r>
          </w:p>
        </w:tc>
        <w:tc>
          <w:tcPr>
            <w:tcW w:w="400" w:type="dxa"/>
            <w:vAlign w:val="bottom"/>
          </w:tcPr>
          <w:p>
            <w:pPr>
              <w:spacing w:after="0"/>
              <w:rPr>
                <w:sz w:val="20"/>
                <w:szCs w:val="20"/>
                <w:color w:val="auto"/>
              </w:rPr>
            </w:pPr>
          </w:p>
        </w:tc>
        <w:tc>
          <w:tcPr>
            <w:tcW w:w="92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13.4</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231F20"/>
              </w:rPr>
              <w:t>(21.7)</w:t>
            </w:r>
          </w:p>
        </w:tc>
        <w:tc>
          <w:tcPr>
            <w:tcW w:w="22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20"/>
                <w:szCs w:val="20"/>
                <w:color w:val="231F20"/>
              </w:rPr>
              <w:t>47.5</w:t>
            </w:r>
          </w:p>
        </w:tc>
      </w:tr>
      <w:tr>
        <w:trPr>
          <w:trHeight w:val="253"/>
        </w:trPr>
        <w:tc>
          <w:tcPr>
            <w:tcW w:w="5460" w:type="dxa"/>
            <w:vAlign w:val="bottom"/>
            <w:tcBorders>
              <w:bottom w:val="single" w:sz="8" w:color="231F20"/>
              <w:right w:val="single" w:sz="8" w:color="231F20"/>
            </w:tcBorders>
          </w:tcPr>
          <w:p>
            <w:pPr>
              <w:jc w:val="right"/>
              <w:ind w:right="20"/>
              <w:spacing w:after="0"/>
              <w:rPr>
                <w:sz w:val="20"/>
                <w:szCs w:val="20"/>
                <w:color w:val="auto"/>
              </w:rPr>
            </w:pPr>
            <w:r>
              <w:rPr>
                <w:rFonts w:ascii="Arial" w:cs="Arial" w:eastAsia="Arial" w:hAnsi="Arial"/>
                <w:sz w:val="20"/>
                <w:szCs w:val="20"/>
                <w:color w:val="231F20"/>
              </w:rPr>
              <w:t xml:space="preserve">Other </w:t>
            </w:r>
            <w:r>
              <w:rPr>
                <w:rFonts w:ascii="Times New Roman" w:cs="Times New Roman" w:eastAsia="Times New Roman" w:hAnsi="Times New Roman"/>
                <w:sz w:val="20"/>
                <w:szCs w:val="20"/>
                <w:color w:val="231F20"/>
              </w:rPr>
              <w:t>....................................................................................</w:t>
            </w:r>
          </w:p>
        </w:tc>
        <w:tc>
          <w:tcPr>
            <w:tcW w:w="40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right w:val="single" w:sz="8" w:color="231F20"/>
            </w:tcBorders>
          </w:tcPr>
          <w:p>
            <w:pPr>
              <w:jc w:val="right"/>
              <w:ind w:right="101"/>
              <w:spacing w:after="0"/>
              <w:rPr>
                <w:sz w:val="20"/>
                <w:szCs w:val="20"/>
                <w:color w:val="auto"/>
              </w:rPr>
            </w:pPr>
            <w:r>
              <w:rPr>
                <w:rFonts w:ascii="Arial" w:cs="Arial" w:eastAsia="Arial" w:hAnsi="Arial"/>
                <w:sz w:val="20"/>
                <w:szCs w:val="20"/>
                <w:color w:val="231F20"/>
              </w:rPr>
              <w:t>6.2</w:t>
            </w:r>
          </w:p>
        </w:tc>
        <w:tc>
          <w:tcPr>
            <w:tcW w:w="2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42"/>
              <w:spacing w:after="0"/>
              <w:rPr>
                <w:sz w:val="20"/>
                <w:szCs w:val="20"/>
                <w:color w:val="auto"/>
              </w:rPr>
            </w:pPr>
            <w:r>
              <w:rPr>
                <w:rFonts w:ascii="Arial" w:cs="Arial" w:eastAsia="Arial" w:hAnsi="Arial"/>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tcPr>
          <w:p>
            <w:pPr>
              <w:jc w:val="right"/>
              <w:ind w:right="2"/>
              <w:spacing w:after="0"/>
              <w:rPr>
                <w:sz w:val="20"/>
                <w:szCs w:val="20"/>
                <w:color w:val="auto"/>
              </w:rPr>
            </w:pPr>
            <w:r>
              <w:rPr>
                <w:rFonts w:ascii="Arial" w:cs="Arial" w:eastAsia="Arial" w:hAnsi="Arial"/>
                <w:sz w:val="20"/>
                <w:szCs w:val="20"/>
                <w:color w:val="231F20"/>
              </w:rPr>
              <w:t>—</w:t>
            </w:r>
          </w:p>
        </w:tc>
      </w:tr>
      <w:tr>
        <w:trPr>
          <w:trHeight w:val="223"/>
        </w:trPr>
        <w:tc>
          <w:tcPr>
            <w:tcW w:w="5460" w:type="dxa"/>
            <w:vAlign w:val="bottom"/>
            <w:tcBorders>
              <w:bottom w:val="single" w:sz="8" w:color="231F20"/>
              <w:right w:val="single" w:sz="8" w:color="231F20"/>
            </w:tcBorders>
          </w:tcPr>
          <w:p>
            <w:pPr>
              <w:jc w:val="right"/>
              <w:ind w:right="20"/>
              <w:spacing w:after="0" w:line="223" w:lineRule="exact"/>
              <w:rPr>
                <w:sz w:val="20"/>
                <w:szCs w:val="20"/>
                <w:color w:val="auto"/>
              </w:rPr>
            </w:pPr>
            <w:r>
              <w:rPr>
                <w:rFonts w:ascii="Arial" w:cs="Arial" w:eastAsia="Arial" w:hAnsi="Arial"/>
                <w:sz w:val="20"/>
                <w:szCs w:val="20"/>
                <w:b w:val="1"/>
                <w:bCs w:val="1"/>
                <w:color w:val="231F20"/>
              </w:rPr>
              <w:t xml:space="preserve">Defined benefit plans </w:t>
            </w:r>
            <w:r>
              <w:rPr>
                <w:rFonts w:ascii="Times New Roman" w:cs="Times New Roman" w:eastAsia="Times New Roman" w:hAnsi="Times New Roman"/>
                <w:sz w:val="20"/>
                <w:szCs w:val="20"/>
                <w:color w:val="231F20"/>
              </w:rPr>
              <w:t>................................................</w:t>
            </w:r>
          </w:p>
        </w:tc>
        <w:tc>
          <w:tcPr>
            <w:tcW w:w="40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right w:val="single" w:sz="8" w:color="231F20"/>
            </w:tcBorders>
          </w:tcPr>
          <w:p>
            <w:pPr>
              <w:jc w:val="right"/>
              <w:ind w:right="101"/>
              <w:spacing w:after="0" w:line="223" w:lineRule="exact"/>
              <w:rPr>
                <w:sz w:val="20"/>
                <w:szCs w:val="20"/>
                <w:color w:val="auto"/>
              </w:rPr>
            </w:pPr>
            <w:r>
              <w:rPr>
                <w:rFonts w:ascii="Arial" w:cs="Arial" w:eastAsia="Arial" w:hAnsi="Arial"/>
                <w:sz w:val="20"/>
                <w:szCs w:val="20"/>
                <w:color w:val="231F20"/>
              </w:rPr>
              <w:t>19.6</w:t>
            </w:r>
          </w:p>
        </w:tc>
        <w:tc>
          <w:tcPr>
            <w:tcW w:w="22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(21.7)</w:t>
            </w:r>
          </w:p>
        </w:tc>
        <w:tc>
          <w:tcPr>
            <w:tcW w:w="22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2"/>
              <w:spacing w:after="0" w:line="223" w:lineRule="exact"/>
              <w:rPr>
                <w:sz w:val="20"/>
                <w:szCs w:val="20"/>
                <w:color w:val="auto"/>
              </w:rPr>
            </w:pPr>
            <w:r>
              <w:rPr>
                <w:rFonts w:ascii="Arial" w:cs="Arial" w:eastAsia="Arial" w:hAnsi="Arial"/>
                <w:sz w:val="20"/>
                <w:szCs w:val="20"/>
                <w:color w:val="231F20"/>
              </w:rPr>
              <w:t>47.5</w:t>
            </w:r>
          </w:p>
        </w:tc>
      </w:tr>
      <w:tr>
        <w:trPr>
          <w:trHeight w:val="203"/>
        </w:trPr>
        <w:tc>
          <w:tcPr>
            <w:tcW w:w="5460" w:type="dxa"/>
            <w:vAlign w:val="bottom"/>
            <w:tcBorders>
              <w:right w:val="single" w:sz="8" w:color="231F20"/>
            </w:tcBorders>
          </w:tcPr>
          <w:p>
            <w:pPr>
              <w:jc w:val="right"/>
              <w:ind w:right="20"/>
              <w:spacing w:after="0" w:line="203" w:lineRule="exact"/>
              <w:rPr>
                <w:sz w:val="20"/>
                <w:szCs w:val="20"/>
                <w:color w:val="auto"/>
              </w:rPr>
            </w:pPr>
            <w:r>
              <w:rPr>
                <w:rFonts w:ascii="Arial" w:cs="Arial" w:eastAsia="Arial" w:hAnsi="Arial"/>
                <w:sz w:val="20"/>
                <w:szCs w:val="20"/>
                <w:color w:val="231F20"/>
              </w:rPr>
              <w:t xml:space="preserve">Other comprehensive income, before tax </w:t>
            </w:r>
            <w:r>
              <w:rPr>
                <w:rFonts w:ascii="Times New Roman" w:cs="Times New Roman" w:eastAsia="Times New Roman" w:hAnsi="Times New Roman"/>
                <w:sz w:val="20"/>
                <w:szCs w:val="20"/>
                <w:color w:val="231F20"/>
              </w:rPr>
              <w:t>.................................</w:t>
            </w:r>
          </w:p>
        </w:tc>
        <w:tc>
          <w:tcPr>
            <w:tcW w:w="400" w:type="dxa"/>
            <w:vAlign w:val="bottom"/>
          </w:tcPr>
          <w:p>
            <w:pPr>
              <w:spacing w:after="0"/>
              <w:rPr>
                <w:sz w:val="17"/>
                <w:szCs w:val="17"/>
                <w:color w:val="auto"/>
              </w:rPr>
            </w:pPr>
          </w:p>
        </w:tc>
        <w:tc>
          <w:tcPr>
            <w:tcW w:w="920" w:type="dxa"/>
            <w:vAlign w:val="bottom"/>
            <w:tcBorders>
              <w:right w:val="single" w:sz="8" w:color="231F20"/>
            </w:tcBorders>
          </w:tcPr>
          <w:p>
            <w:pPr>
              <w:jc w:val="right"/>
              <w:ind w:right="101"/>
              <w:spacing w:after="0" w:line="204" w:lineRule="exact"/>
              <w:rPr>
                <w:sz w:val="20"/>
                <w:szCs w:val="20"/>
                <w:color w:val="auto"/>
              </w:rPr>
            </w:pPr>
            <w:r>
              <w:rPr>
                <w:rFonts w:ascii="Arial" w:cs="Arial" w:eastAsia="Arial" w:hAnsi="Arial"/>
                <w:sz w:val="20"/>
                <w:szCs w:val="20"/>
                <w:color w:val="231F20"/>
              </w:rPr>
              <w:t>27.1</w:t>
            </w:r>
          </w:p>
        </w:tc>
        <w:tc>
          <w:tcPr>
            <w:tcW w:w="220" w:type="dxa"/>
            <w:vAlign w:val="bottom"/>
          </w:tcPr>
          <w:p>
            <w:pPr>
              <w:spacing w:after="0"/>
              <w:rPr>
                <w:sz w:val="17"/>
                <w:szCs w:val="17"/>
                <w:color w:val="auto"/>
              </w:rPr>
            </w:pPr>
          </w:p>
        </w:tc>
        <w:tc>
          <w:tcPr>
            <w:tcW w:w="1140" w:type="dxa"/>
            <w:vAlign w:val="bottom"/>
          </w:tcPr>
          <w:p>
            <w:pPr>
              <w:jc w:val="right"/>
              <w:ind w:right="42"/>
              <w:spacing w:after="0" w:line="204" w:lineRule="exact"/>
              <w:rPr>
                <w:sz w:val="20"/>
                <w:szCs w:val="20"/>
                <w:color w:val="auto"/>
              </w:rPr>
            </w:pPr>
            <w:r>
              <w:rPr>
                <w:rFonts w:ascii="Arial" w:cs="Arial" w:eastAsia="Arial" w:hAnsi="Arial"/>
                <w:sz w:val="20"/>
                <w:szCs w:val="20"/>
                <w:color w:val="231F20"/>
              </w:rPr>
              <w:t>75.6</w:t>
            </w:r>
          </w:p>
        </w:tc>
        <w:tc>
          <w:tcPr>
            <w:tcW w:w="220" w:type="dxa"/>
            <w:vAlign w:val="bottom"/>
          </w:tcPr>
          <w:p>
            <w:pPr>
              <w:spacing w:after="0"/>
              <w:rPr>
                <w:sz w:val="17"/>
                <w:szCs w:val="17"/>
                <w:color w:val="auto"/>
              </w:rPr>
            </w:pPr>
          </w:p>
        </w:tc>
        <w:tc>
          <w:tcPr>
            <w:tcW w:w="1080" w:type="dxa"/>
            <w:vAlign w:val="bottom"/>
          </w:tcPr>
          <w:p>
            <w:pPr>
              <w:jc w:val="right"/>
              <w:ind w:right="2"/>
              <w:spacing w:after="0" w:line="204" w:lineRule="exact"/>
              <w:rPr>
                <w:sz w:val="20"/>
                <w:szCs w:val="20"/>
                <w:color w:val="auto"/>
              </w:rPr>
            </w:pPr>
            <w:r>
              <w:rPr>
                <w:rFonts w:ascii="Arial" w:cs="Arial" w:eastAsia="Arial" w:hAnsi="Arial"/>
                <w:sz w:val="20"/>
                <w:szCs w:val="20"/>
                <w:color w:val="231F20"/>
              </w:rPr>
              <w:t>42.9</w:t>
            </w:r>
          </w:p>
        </w:tc>
      </w:tr>
      <w:tr>
        <w:trPr>
          <w:trHeight w:val="231"/>
        </w:trPr>
        <w:tc>
          <w:tcPr>
            <w:tcW w:w="546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Income tax (expense) related to items of other</w:t>
            </w:r>
          </w:p>
        </w:tc>
        <w:tc>
          <w:tcPr>
            <w:tcW w:w="400" w:type="dxa"/>
            <w:vAlign w:val="bottom"/>
          </w:tcPr>
          <w:p>
            <w:pPr>
              <w:spacing w:after="0"/>
              <w:rPr>
                <w:sz w:val="20"/>
                <w:szCs w:val="20"/>
                <w:color w:val="auto"/>
              </w:rPr>
            </w:pPr>
          </w:p>
        </w:tc>
        <w:tc>
          <w:tcPr>
            <w:tcW w:w="92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5460" w:type="dxa"/>
            <w:vAlign w:val="bottom"/>
            <w:tcBorders>
              <w:bottom w:val="single" w:sz="8" w:color="231F20"/>
              <w:right w:val="single" w:sz="8" w:color="231F20"/>
            </w:tcBorders>
          </w:tcPr>
          <w:p>
            <w:pPr>
              <w:jc w:val="right"/>
              <w:ind w:right="20"/>
              <w:spacing w:after="0" w:line="253" w:lineRule="exact"/>
              <w:rPr>
                <w:sz w:val="20"/>
                <w:szCs w:val="20"/>
                <w:color w:val="auto"/>
              </w:rPr>
            </w:pPr>
            <w:r>
              <w:rPr>
                <w:rFonts w:ascii="Arial" w:cs="Arial" w:eastAsia="Arial" w:hAnsi="Arial"/>
                <w:sz w:val="20"/>
                <w:szCs w:val="20"/>
                <w:color w:val="231F20"/>
                <w:w w:val="98"/>
              </w:rPr>
              <w:t xml:space="preserve">comprehensive income </w:t>
            </w:r>
            <w:r>
              <w:rPr>
                <w:rFonts w:ascii="Arial" w:cs="Arial" w:eastAsia="Arial" w:hAnsi="Arial"/>
                <w:sz w:val="26"/>
                <w:szCs w:val="26"/>
                <w:color w:val="231F20"/>
                <w:w w:val="98"/>
                <w:vertAlign w:val="superscript"/>
              </w:rPr>
              <w:t>(a)</w:t>
            </w:r>
            <w:r>
              <w:rPr>
                <w:rFonts w:ascii="Arial" w:cs="Arial" w:eastAsia="Arial" w:hAnsi="Arial"/>
                <w:sz w:val="20"/>
                <w:szCs w:val="20"/>
                <w:color w:val="231F20"/>
                <w:w w:val="98"/>
              </w:rPr>
              <w:t xml:space="preserve"> </w:t>
            </w:r>
            <w:r>
              <w:rPr>
                <w:rFonts w:ascii="Times New Roman" w:cs="Times New Roman" w:eastAsia="Times New Roman" w:hAnsi="Times New Roman"/>
                <w:sz w:val="20"/>
                <w:szCs w:val="20"/>
                <w:color w:val="231F20"/>
                <w:w w:val="98"/>
              </w:rPr>
              <w:t>............................................................</w:t>
            </w:r>
          </w:p>
        </w:tc>
        <w:tc>
          <w:tcPr>
            <w:tcW w:w="40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right w:val="single" w:sz="8" w:color="231F20"/>
            </w:tcBorders>
          </w:tcPr>
          <w:p>
            <w:pPr>
              <w:jc w:val="right"/>
              <w:ind w:right="41"/>
              <w:spacing w:after="0"/>
              <w:rPr>
                <w:sz w:val="20"/>
                <w:szCs w:val="20"/>
                <w:color w:val="auto"/>
              </w:rPr>
            </w:pPr>
            <w:r>
              <w:rPr>
                <w:rFonts w:ascii="Arial" w:cs="Arial" w:eastAsia="Arial" w:hAnsi="Arial"/>
                <w:sz w:val="20"/>
                <w:szCs w:val="20"/>
                <w:color w:val="231F20"/>
              </w:rPr>
              <w:t>(1.2)</w:t>
            </w:r>
          </w:p>
        </w:tc>
        <w:tc>
          <w:tcPr>
            <w:tcW w:w="22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(21.9)</w:t>
            </w:r>
          </w:p>
        </w:tc>
        <w:tc>
          <w:tcPr>
            <w:tcW w:w="22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(12.4)</w:t>
            </w:r>
          </w:p>
        </w:tc>
      </w:tr>
      <w:tr>
        <w:trPr>
          <w:trHeight w:val="223"/>
        </w:trPr>
        <w:tc>
          <w:tcPr>
            <w:tcW w:w="5460" w:type="dxa"/>
            <w:vAlign w:val="bottom"/>
            <w:tcBorders>
              <w:bottom w:val="single" w:sz="8" w:color="231F20"/>
              <w:right w:val="single" w:sz="8" w:color="231F20"/>
            </w:tcBorders>
          </w:tcPr>
          <w:p>
            <w:pPr>
              <w:jc w:val="right"/>
              <w:ind w:right="20"/>
              <w:spacing w:after="0" w:line="223" w:lineRule="exact"/>
              <w:rPr>
                <w:sz w:val="20"/>
                <w:szCs w:val="20"/>
                <w:color w:val="auto"/>
              </w:rPr>
            </w:pPr>
            <w:r>
              <w:rPr>
                <w:rFonts w:ascii="Arial" w:cs="Arial" w:eastAsia="Arial" w:hAnsi="Arial"/>
                <w:sz w:val="20"/>
                <w:szCs w:val="20"/>
                <w:b w:val="1"/>
                <w:bCs w:val="1"/>
                <w:color w:val="231F20"/>
              </w:rPr>
              <w:t xml:space="preserve">Other comprehensive income, net of tax </w:t>
            </w:r>
            <w:r>
              <w:rPr>
                <w:rFonts w:ascii="Times New Roman" w:cs="Times New Roman" w:eastAsia="Times New Roman" w:hAnsi="Times New Roman"/>
                <w:sz w:val="20"/>
                <w:szCs w:val="20"/>
                <w:color w:val="231F20"/>
              </w:rPr>
              <w:t>.............................</w:t>
            </w:r>
          </w:p>
        </w:tc>
        <w:tc>
          <w:tcPr>
            <w:tcW w:w="40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right w:val="single" w:sz="8" w:color="231F20"/>
            </w:tcBorders>
          </w:tcPr>
          <w:p>
            <w:pPr>
              <w:jc w:val="right"/>
              <w:ind w:right="101"/>
              <w:spacing w:after="0" w:line="223" w:lineRule="exact"/>
              <w:rPr>
                <w:sz w:val="20"/>
                <w:szCs w:val="20"/>
                <w:color w:val="auto"/>
              </w:rPr>
            </w:pPr>
            <w:r>
              <w:rPr>
                <w:rFonts w:ascii="Arial" w:cs="Arial" w:eastAsia="Arial" w:hAnsi="Arial"/>
                <w:sz w:val="20"/>
                <w:szCs w:val="20"/>
                <w:color w:val="231F20"/>
              </w:rPr>
              <w:t>25.9</w:t>
            </w:r>
          </w:p>
        </w:tc>
        <w:tc>
          <w:tcPr>
            <w:tcW w:w="220" w:type="dxa"/>
            <w:vAlign w:val="bottom"/>
            <w:tcBorders>
              <w:bottom w:val="single" w:sz="8" w:color="231F20"/>
            </w:tcBorders>
          </w:tcPr>
          <w:p>
            <w:pPr>
              <w:spacing w:after="0"/>
              <w:rPr>
                <w:sz w:val="19"/>
                <w:szCs w:val="19"/>
                <w:color w:val="auto"/>
              </w:rPr>
            </w:pPr>
          </w:p>
        </w:tc>
        <w:tc>
          <w:tcPr>
            <w:tcW w:w="1140" w:type="dxa"/>
            <w:vAlign w:val="bottom"/>
            <w:tcBorders>
              <w:bottom w:val="single" w:sz="8" w:color="231F20"/>
            </w:tcBorders>
          </w:tcPr>
          <w:p>
            <w:pPr>
              <w:jc w:val="right"/>
              <w:ind w:right="42"/>
              <w:spacing w:after="0" w:line="223" w:lineRule="exact"/>
              <w:rPr>
                <w:sz w:val="20"/>
                <w:szCs w:val="20"/>
                <w:color w:val="auto"/>
              </w:rPr>
            </w:pPr>
            <w:r>
              <w:rPr>
                <w:rFonts w:ascii="Arial" w:cs="Arial" w:eastAsia="Arial" w:hAnsi="Arial"/>
                <w:sz w:val="20"/>
                <w:szCs w:val="20"/>
                <w:color w:val="231F20"/>
              </w:rPr>
              <w:t>53.7</w:t>
            </w:r>
          </w:p>
        </w:tc>
        <w:tc>
          <w:tcPr>
            <w:tcW w:w="220" w:type="dxa"/>
            <w:vAlign w:val="bottom"/>
            <w:tcBorders>
              <w:bottom w:val="single" w:sz="8" w:color="231F20"/>
            </w:tcBorders>
          </w:tcPr>
          <w:p>
            <w:pPr>
              <w:spacing w:after="0"/>
              <w:rPr>
                <w:sz w:val="19"/>
                <w:szCs w:val="19"/>
                <w:color w:val="auto"/>
              </w:rPr>
            </w:pPr>
          </w:p>
        </w:tc>
        <w:tc>
          <w:tcPr>
            <w:tcW w:w="1080" w:type="dxa"/>
            <w:vAlign w:val="bottom"/>
            <w:tcBorders>
              <w:bottom w:val="single" w:sz="8" w:color="231F20"/>
            </w:tcBorders>
          </w:tcPr>
          <w:p>
            <w:pPr>
              <w:jc w:val="right"/>
              <w:ind w:right="2"/>
              <w:spacing w:after="0" w:line="223" w:lineRule="exact"/>
              <w:rPr>
                <w:sz w:val="20"/>
                <w:szCs w:val="20"/>
                <w:color w:val="auto"/>
              </w:rPr>
            </w:pPr>
            <w:r>
              <w:rPr>
                <w:rFonts w:ascii="Arial" w:cs="Arial" w:eastAsia="Arial" w:hAnsi="Arial"/>
                <w:sz w:val="20"/>
                <w:szCs w:val="20"/>
                <w:color w:val="231F20"/>
              </w:rPr>
              <w:t>30.5</w:t>
            </w:r>
          </w:p>
        </w:tc>
      </w:tr>
      <w:tr>
        <w:trPr>
          <w:trHeight w:val="248"/>
        </w:trPr>
        <w:tc>
          <w:tcPr>
            <w:tcW w:w="5460" w:type="dxa"/>
            <w:vAlign w:val="bottom"/>
            <w:tcBorders>
              <w:bottom w:val="single" w:sz="8" w:color="231F20"/>
              <w:right w:val="single" w:sz="8" w:color="231F20"/>
            </w:tcBorders>
          </w:tcPr>
          <w:p>
            <w:pPr>
              <w:jc w:val="right"/>
              <w:ind w:right="20"/>
              <w:spacing w:after="0" w:line="223" w:lineRule="exact"/>
              <w:rPr>
                <w:sz w:val="20"/>
                <w:szCs w:val="20"/>
                <w:color w:val="auto"/>
              </w:rPr>
            </w:pPr>
            <w:r>
              <w:rPr>
                <w:rFonts w:ascii="Arial" w:cs="Arial" w:eastAsia="Arial" w:hAnsi="Arial"/>
                <w:sz w:val="20"/>
                <w:szCs w:val="20"/>
                <w:b w:val="1"/>
                <w:bCs w:val="1"/>
                <w:color w:val="231F20"/>
              </w:rPr>
              <w:t xml:space="preserve">COMPREHENSIVE INCOME </w:t>
            </w:r>
            <w:r>
              <w:rPr>
                <w:rFonts w:ascii="Times New Roman" w:cs="Times New Roman" w:eastAsia="Times New Roman" w:hAnsi="Times New Roman"/>
                <w:sz w:val="20"/>
                <w:szCs w:val="20"/>
                <w:color w:val="231F20"/>
              </w:rPr>
              <w:t>.....................................................</w:t>
            </w:r>
          </w:p>
        </w:tc>
        <w:tc>
          <w:tcPr>
            <w:tcW w:w="400" w:type="dxa"/>
            <w:vAlign w:val="bottom"/>
            <w:tcBorders>
              <w:bottom w:val="single" w:sz="8" w:color="231F20"/>
            </w:tcBorders>
          </w:tcPr>
          <w:p>
            <w:pPr>
              <w:jc w:val="right"/>
              <w:ind w:right="127"/>
              <w:spacing w:after="0" w:line="223" w:lineRule="exact"/>
              <w:rPr>
                <w:sz w:val="20"/>
                <w:szCs w:val="20"/>
                <w:color w:val="auto"/>
              </w:rPr>
            </w:pPr>
            <w:r>
              <w:rPr>
                <w:rFonts w:ascii="Arial" w:cs="Arial" w:eastAsia="Arial" w:hAnsi="Arial"/>
                <w:sz w:val="20"/>
                <w:szCs w:val="20"/>
                <w:color w:val="231F20"/>
              </w:rPr>
              <w:t>$</w:t>
            </w:r>
          </w:p>
        </w:tc>
        <w:tc>
          <w:tcPr>
            <w:tcW w:w="920" w:type="dxa"/>
            <w:vAlign w:val="bottom"/>
            <w:tcBorders>
              <w:bottom w:val="single" w:sz="8" w:color="231F20"/>
              <w:right w:val="single" w:sz="8" w:color="231F20"/>
            </w:tcBorders>
          </w:tcPr>
          <w:p>
            <w:pPr>
              <w:jc w:val="right"/>
              <w:ind w:right="101"/>
              <w:spacing w:after="0" w:line="223" w:lineRule="exact"/>
              <w:rPr>
                <w:sz w:val="20"/>
                <w:szCs w:val="20"/>
                <w:color w:val="auto"/>
              </w:rPr>
            </w:pPr>
            <w:r>
              <w:rPr>
                <w:rFonts w:ascii="Arial" w:cs="Arial" w:eastAsia="Arial" w:hAnsi="Arial"/>
                <w:sz w:val="20"/>
                <w:szCs w:val="20"/>
                <w:color w:val="231F20"/>
              </w:rPr>
              <w:t>430.4</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140" w:type="dxa"/>
            <w:vAlign w:val="bottom"/>
            <w:tcBorders>
              <w:bottom w:val="single" w:sz="8" w:color="231F20"/>
            </w:tcBorders>
          </w:tcPr>
          <w:p>
            <w:pPr>
              <w:jc w:val="right"/>
              <w:ind w:right="42"/>
              <w:spacing w:after="0" w:line="223" w:lineRule="exact"/>
              <w:rPr>
                <w:sz w:val="20"/>
                <w:szCs w:val="20"/>
                <w:color w:val="auto"/>
              </w:rPr>
            </w:pPr>
            <w:r>
              <w:rPr>
                <w:rFonts w:ascii="Arial" w:cs="Arial" w:eastAsia="Arial" w:hAnsi="Arial"/>
                <w:sz w:val="20"/>
                <w:szCs w:val="20"/>
                <w:color w:val="231F20"/>
              </w:rPr>
              <w:t>740.4</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080" w:type="dxa"/>
            <w:vAlign w:val="bottom"/>
            <w:tcBorders>
              <w:bottom w:val="single" w:sz="8" w:color="231F20"/>
            </w:tcBorders>
          </w:tcPr>
          <w:p>
            <w:pPr>
              <w:jc w:val="right"/>
              <w:ind w:right="2"/>
              <w:spacing w:after="0" w:line="223" w:lineRule="exact"/>
              <w:rPr>
                <w:sz w:val="20"/>
                <w:szCs w:val="20"/>
                <w:color w:val="auto"/>
              </w:rPr>
            </w:pPr>
            <w:r>
              <w:rPr>
                <w:rFonts w:ascii="Arial" w:cs="Arial" w:eastAsia="Arial" w:hAnsi="Arial"/>
                <w:sz w:val="20"/>
                <w:szCs w:val="20"/>
                <w:color w:val="231F20"/>
              </w:rPr>
              <w:t>802.9</w:t>
            </w:r>
          </w:p>
        </w:tc>
      </w:tr>
    </w:tbl>
    <w:p>
      <w:pPr>
        <w:spacing w:after="0" w:line="201" w:lineRule="exact"/>
        <w:rPr>
          <w:sz w:val="20"/>
          <w:szCs w:val="20"/>
          <w:color w:val="auto"/>
        </w:rPr>
      </w:pPr>
    </w:p>
    <w:p>
      <w:pPr>
        <w:ind w:left="320" w:right="220" w:hanging="314"/>
        <w:spacing w:after="0" w:line="279" w:lineRule="auto"/>
        <w:tabs>
          <w:tab w:leader="none" w:pos="320" w:val="left"/>
        </w:tabs>
        <w:numPr>
          <w:ilvl w:val="0"/>
          <w:numId w:val="19"/>
        </w:numPr>
        <w:rPr>
          <w:rFonts w:ascii="Arial" w:cs="Arial" w:eastAsia="Arial" w:hAnsi="Arial"/>
          <w:sz w:val="10"/>
          <w:szCs w:val="10"/>
          <w:i w:val="1"/>
          <w:iCs w:val="1"/>
          <w:color w:val="231F20"/>
        </w:rPr>
      </w:pPr>
      <w:r>
        <w:rPr>
          <w:rFonts w:ascii="Arial" w:cs="Arial" w:eastAsia="Arial" w:hAnsi="Arial"/>
          <w:sz w:val="16"/>
          <w:szCs w:val="16"/>
          <w:i w:val="1"/>
          <w:iCs w:val="1"/>
          <w:color w:val="231F20"/>
        </w:rPr>
        <w:t>Income tax (expense) benefit on unrealized (losses) gains on derivatives of $2.4 million, $(27.3) million and $(0.5) million and on defined benefit plans of $(3.6) million, $5.4 million and $(11.9) million in 2023, 2022 and 2021,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231F20"/>
        </w:rPr>
        <w:t>See Notes to Consolidated Financial Statements.</w:t>
      </w:r>
    </w:p>
    <w:p>
      <w:pPr>
        <w:sectPr>
          <w:pgSz w:w="12240" w:h="15840" w:orient="portrait"/>
          <w:cols w:equalWidth="0" w:num="1">
            <w:col w:w="9480"/>
          </w:cols>
          <w:pgMar w:left="1380" w:top="1440" w:right="1380" w:bottom="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49</w:t>
      </w:r>
    </w:p>
    <w:p>
      <w:pPr>
        <w:sectPr>
          <w:pgSz w:w="12240" w:h="15840" w:orient="portrait"/>
          <w:cols w:equalWidth="0" w:num="1">
            <w:col w:w="9480"/>
          </w:cols>
          <w:pgMar w:left="1380" w:top="1440" w:right="1380" w:bottom="95" w:gutter="0" w:footer="0" w:header="0"/>
          <w:type w:val="continuous"/>
        </w:sectPr>
      </w:pPr>
    </w:p>
    <w:bookmarkStart w:id="57" w:name="page58"/>
    <w:bookmarkEnd w:id="57"/>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5920" w:type="dxa"/>
            <w:vAlign w:val="bottom"/>
            <w:gridSpan w:val="3"/>
          </w:tcPr>
          <w:p>
            <w:pPr>
              <w:ind w:left="20"/>
              <w:spacing w:after="0"/>
              <w:rPr>
                <w:sz w:val="20"/>
                <w:szCs w:val="20"/>
                <w:color w:val="auto"/>
              </w:rPr>
            </w:pPr>
            <w:r>
              <w:rPr>
                <w:rFonts w:ascii="Arial" w:cs="Arial" w:eastAsia="Arial" w:hAnsi="Arial"/>
                <w:sz w:val="20"/>
                <w:szCs w:val="20"/>
                <w:b w:val="1"/>
                <w:bCs w:val="1"/>
                <w:color w:val="231F20"/>
              </w:rPr>
              <w:t>Consolidated Balance Sheets</w:t>
            </w:r>
          </w:p>
        </w:tc>
        <w:tc>
          <w:tcPr>
            <w:tcW w:w="3600" w:type="dxa"/>
            <w:vAlign w:val="bottom"/>
            <w:gridSpan w:val="8"/>
          </w:tcPr>
          <w:p>
            <w:pPr>
              <w:jc w:val="right"/>
              <w:ind w:right="20"/>
              <w:spacing w:after="0"/>
              <w:rPr>
                <w:sz w:val="20"/>
                <w:szCs w:val="20"/>
                <w:color w:val="auto"/>
              </w:rPr>
            </w:pPr>
            <w:r>
              <w:rPr>
                <w:rFonts w:ascii="Arial" w:cs="Arial" w:eastAsia="Arial" w:hAnsi="Arial"/>
                <w:sz w:val="16"/>
                <w:szCs w:val="16"/>
                <w:color w:val="231F20"/>
              </w:rPr>
              <w:t>Fortune Brands Innovations, Inc. and Subsidiaries</w:t>
            </w:r>
          </w:p>
        </w:tc>
        <w:tc>
          <w:tcPr>
            <w:tcW w:w="0" w:type="dxa"/>
            <w:vAlign w:val="bottom"/>
          </w:tcPr>
          <w:p>
            <w:pPr>
              <w:spacing w:after="0"/>
              <w:rPr>
                <w:sz w:val="1"/>
                <w:szCs w:val="1"/>
                <w:color w:val="auto"/>
              </w:rPr>
            </w:pPr>
          </w:p>
        </w:tc>
      </w:tr>
      <w:tr>
        <w:trPr>
          <w:trHeight w:val="196"/>
        </w:trPr>
        <w:tc>
          <w:tcPr>
            <w:tcW w:w="4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586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tcBorders>
              <w:bottom w:val="single" w:sz="8" w:color="231F20"/>
            </w:tcBorders>
          </w:tcPr>
          <w:p>
            <w:pPr>
              <w:spacing w:after="0"/>
              <w:rPr>
                <w:sz w:val="14"/>
                <w:szCs w:val="14"/>
                <w:color w:val="auto"/>
              </w:rPr>
            </w:pPr>
          </w:p>
        </w:tc>
        <w:tc>
          <w:tcPr>
            <w:tcW w:w="820" w:type="dxa"/>
            <w:vAlign w:val="bottom"/>
            <w:tcBorders>
              <w:bottom w:val="single" w:sz="8" w:color="231F20"/>
            </w:tcBorders>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1040" w:type="dxa"/>
            <w:vAlign w:val="bottom"/>
            <w:tcBorders>
              <w:bottom w:val="single" w:sz="8" w:color="231F20"/>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231F20"/>
            </w:tcBorders>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960" w:type="dxa"/>
            <w:vAlign w:val="bottom"/>
            <w:tcBorders>
              <w:bottom w:val="single" w:sz="8" w:color="231F20"/>
            </w:tcBorders>
          </w:tcPr>
          <w:p>
            <w:pPr>
              <w:spacing w:after="0"/>
              <w:rPr>
                <w:sz w:val="14"/>
                <w:szCs w:val="14"/>
                <w:color w:val="auto"/>
              </w:rPr>
            </w:pP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spacing w:after="0" w:line="133" w:lineRule="exact"/>
              <w:rPr>
                <w:sz w:val="20"/>
                <w:szCs w:val="20"/>
                <w:color w:val="auto"/>
              </w:rPr>
            </w:pPr>
            <w:r>
              <w:rPr>
                <w:rFonts w:ascii="Arial" w:cs="Arial" w:eastAsia="Arial" w:hAnsi="Arial"/>
                <w:sz w:val="15"/>
                <w:szCs w:val="15"/>
                <w:i w:val="1"/>
                <w:iCs w:val="1"/>
                <w:color w:val="231F20"/>
              </w:rPr>
              <w:t>December 30,</w:t>
            </w:r>
          </w:p>
        </w:tc>
        <w:tc>
          <w:tcPr>
            <w:tcW w:w="100" w:type="dxa"/>
            <w:vAlign w:val="bottom"/>
          </w:tcPr>
          <w:p>
            <w:pPr>
              <w:spacing w:after="0"/>
              <w:rPr>
                <w:sz w:val="11"/>
                <w:szCs w:val="11"/>
                <w:color w:val="auto"/>
              </w:rPr>
            </w:pPr>
          </w:p>
        </w:tc>
        <w:tc>
          <w:tcPr>
            <w:tcW w:w="100" w:type="dxa"/>
            <w:vAlign w:val="bottom"/>
            <w:tcBorders>
              <w:right w:val="single" w:sz="8" w:color="231F20"/>
            </w:tcBorders>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5"/>
                <w:szCs w:val="15"/>
                <w:color w:val="231F20"/>
                <w:w w:val="99"/>
              </w:rPr>
              <w:t>December 31,</w:t>
            </w: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6700" w:type="dxa"/>
            <w:vAlign w:val="bottom"/>
            <w:tcBorders>
              <w:bottom w:val="single" w:sz="8" w:color="231F20"/>
            </w:tcBorders>
            <w:gridSpan w:val="3"/>
          </w:tcPr>
          <w:p>
            <w:pPr>
              <w:spacing w:after="0" w:line="206"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5"/>
                <w:szCs w:val="15"/>
                <w:i w:val="1"/>
                <w:iCs w:val="1"/>
                <w:color w:val="231F20"/>
              </w:rPr>
              <w:t>2023</w:t>
            </w:r>
          </w:p>
        </w:tc>
        <w:tc>
          <w:tcPr>
            <w:tcW w:w="100" w:type="dxa"/>
            <w:vAlign w:val="bottom"/>
          </w:tcPr>
          <w:p>
            <w:pPr>
              <w:spacing w:after="0"/>
              <w:rPr>
                <w:sz w:val="17"/>
                <w:szCs w:val="17"/>
                <w:color w:val="auto"/>
              </w:rPr>
            </w:pPr>
          </w:p>
        </w:tc>
        <w:tc>
          <w:tcPr>
            <w:tcW w:w="100" w:type="dxa"/>
            <w:vAlign w:val="bottom"/>
            <w:tcBorders>
              <w:bottom w:val="single" w:sz="8" w:color="231F20"/>
              <w:right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2022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880" w:type="dxa"/>
            <w:vAlign w:val="bottom"/>
            <w:gridSpan w:val="2"/>
          </w:tcPr>
          <w:p>
            <w:pPr>
              <w:spacing w:after="0" w:line="204" w:lineRule="exact"/>
              <w:rPr>
                <w:sz w:val="20"/>
                <w:szCs w:val="20"/>
                <w:color w:val="auto"/>
              </w:rPr>
            </w:pPr>
            <w:r>
              <w:rPr>
                <w:rFonts w:ascii="Arial" w:cs="Arial" w:eastAsia="Arial" w:hAnsi="Arial"/>
                <w:sz w:val="20"/>
                <w:szCs w:val="20"/>
                <w:b w:val="1"/>
                <w:bCs w:val="1"/>
                <w:color w:val="231F20"/>
              </w:rPr>
              <w:t>ASSETS</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tcPr>
          <w:p>
            <w:pPr>
              <w:ind w:left="260"/>
              <w:spacing w:after="0"/>
              <w:rPr>
                <w:sz w:val="20"/>
                <w:szCs w:val="20"/>
                <w:color w:val="auto"/>
              </w:rPr>
            </w:pPr>
            <w:r>
              <w:rPr>
                <w:rFonts w:ascii="Arial" w:cs="Arial" w:eastAsia="Arial" w:hAnsi="Arial"/>
                <w:sz w:val="20"/>
                <w:szCs w:val="20"/>
                <w:color w:val="231F20"/>
              </w:rPr>
              <w:t>Current assets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Cash and cash equivalents</w:t>
            </w:r>
            <w:r>
              <w:rPr>
                <w:rFonts w:ascii="Times New Roman" w:cs="Times New Roman" w:eastAsia="Times New Roman" w:hAnsi="Times New Roman"/>
                <w:sz w:val="20"/>
                <w:szCs w:val="20"/>
                <w:color w:val="231F20"/>
              </w:rPr>
              <w:t>.........................................................................</w:t>
            </w:r>
          </w:p>
        </w:tc>
        <w:tc>
          <w:tcPr>
            <w:tcW w:w="220" w:type="dxa"/>
            <w:vAlign w:val="bottom"/>
          </w:tcPr>
          <w:p>
            <w:pPr>
              <w:jc w:val="right"/>
              <w:spacing w:after="0"/>
              <w:rPr>
                <w:sz w:val="20"/>
                <w:szCs w:val="20"/>
                <w:color w:val="auto"/>
              </w:rPr>
            </w:pPr>
            <w:r>
              <w:rPr>
                <w:rFonts w:ascii="Arial" w:cs="Arial" w:eastAsia="Arial" w:hAnsi="Arial"/>
                <w:sz w:val="20"/>
                <w:szCs w:val="20"/>
                <w:color w:val="231F20"/>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231F20"/>
              </w:rPr>
              <w:t>366.4</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642.5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Accounts receivable less allowances for discounts and credit losses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534.2</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521.8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Inventories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982.3</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1,021.3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80" w:type="dxa"/>
            <w:vAlign w:val="bottom"/>
            <w:tcBorders>
              <w:bottom w:val="single" w:sz="8" w:color="231F20"/>
            </w:tcBorders>
            <w:gridSpan w:val="2"/>
          </w:tcPr>
          <w:p>
            <w:pPr>
              <w:jc w:val="right"/>
              <w:spacing w:after="0"/>
              <w:rPr>
                <w:sz w:val="20"/>
                <w:szCs w:val="20"/>
                <w:color w:val="auto"/>
              </w:rPr>
            </w:pPr>
            <w:r>
              <w:rPr>
                <w:rFonts w:ascii="Arial" w:cs="Arial" w:eastAsia="Arial" w:hAnsi="Arial"/>
                <w:sz w:val="20"/>
                <w:szCs w:val="20"/>
                <w:color w:val="231F20"/>
              </w:rPr>
              <w:t>Other current assets</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162.8</w:t>
            </w:r>
          </w:p>
        </w:tc>
        <w:tc>
          <w:tcPr>
            <w:tcW w:w="100" w:type="dxa"/>
            <w:vAlign w:val="bottom"/>
          </w:tcPr>
          <w:p>
            <w:pPr>
              <w:spacing w:after="0"/>
              <w:rPr>
                <w:sz w:val="22"/>
                <w:szCs w:val="22"/>
                <w:color w:val="auto"/>
              </w:rPr>
            </w:pPr>
          </w:p>
        </w:tc>
        <w:tc>
          <w:tcPr>
            <w:tcW w:w="100" w:type="dxa"/>
            <w:vAlign w:val="bottom"/>
            <w:tcBorders>
              <w:bottom w:val="single" w:sz="8" w:color="231F20"/>
              <w:right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274.8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gridSpan w:val="2"/>
          </w:tcPr>
          <w:p>
            <w:pPr>
              <w:jc w:val="right"/>
              <w:spacing w:after="0" w:line="202" w:lineRule="exact"/>
              <w:rPr>
                <w:sz w:val="20"/>
                <w:szCs w:val="20"/>
                <w:color w:val="auto"/>
              </w:rPr>
            </w:pPr>
            <w:r>
              <w:rPr>
                <w:rFonts w:ascii="Arial" w:cs="Arial" w:eastAsia="Arial" w:hAnsi="Arial"/>
                <w:sz w:val="20"/>
                <w:szCs w:val="20"/>
                <w:b w:val="1"/>
                <w:bCs w:val="1"/>
                <w:color w:val="231F20"/>
              </w:rPr>
              <w:t xml:space="preserve">TOTAL CURRENT ASSETS </w:t>
            </w:r>
            <w:r>
              <w:rPr>
                <w:rFonts w:ascii="Times New Roman" w:cs="Times New Roman" w:eastAsia="Times New Roman" w:hAnsi="Times New Roman"/>
                <w:sz w:val="20"/>
                <w:szCs w:val="20"/>
                <w:color w:val="231F20"/>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20"/>
                <w:szCs w:val="20"/>
                <w:color w:val="231F20"/>
              </w:rPr>
              <w:t>2,045.7</w:t>
            </w:r>
          </w:p>
        </w:tc>
        <w:tc>
          <w:tcPr>
            <w:tcW w:w="100" w:type="dxa"/>
            <w:vAlign w:val="bottom"/>
          </w:tcPr>
          <w:p>
            <w:pPr>
              <w:spacing w:after="0"/>
              <w:rPr>
                <w:sz w:val="17"/>
                <w:szCs w:val="17"/>
                <w:color w:val="auto"/>
              </w:rPr>
            </w:pPr>
          </w:p>
        </w:tc>
        <w:tc>
          <w:tcPr>
            <w:tcW w:w="10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20"/>
                <w:szCs w:val="20"/>
                <w:color w:val="231F20"/>
              </w:rPr>
              <w:t>2,460.4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Property, plant and equipment, net of accumulated depreciation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975.0</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783.7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Operating lease assets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173.8</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Goodwill</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1,906.8</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1,640.7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Other intangible assets, net of accumulated amortization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1,354.7</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1,000.8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80" w:type="dxa"/>
            <w:vAlign w:val="bottom"/>
            <w:tcBorders>
              <w:bottom w:val="single" w:sz="8" w:color="231F20"/>
            </w:tcBorders>
            <w:gridSpan w:val="2"/>
          </w:tcPr>
          <w:p>
            <w:pPr>
              <w:jc w:val="right"/>
              <w:spacing w:after="0"/>
              <w:rPr>
                <w:sz w:val="20"/>
                <w:szCs w:val="20"/>
                <w:color w:val="auto"/>
              </w:rPr>
            </w:pPr>
            <w:r>
              <w:rPr>
                <w:rFonts w:ascii="Arial" w:cs="Arial" w:eastAsia="Arial" w:hAnsi="Arial"/>
                <w:sz w:val="20"/>
                <w:szCs w:val="20"/>
                <w:color w:val="231F20"/>
              </w:rPr>
              <w:t xml:space="preserve">Other assets </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109.0</w:t>
            </w:r>
          </w:p>
        </w:tc>
        <w:tc>
          <w:tcPr>
            <w:tcW w:w="100" w:type="dxa"/>
            <w:vAlign w:val="bottom"/>
          </w:tcPr>
          <w:p>
            <w:pPr>
              <w:spacing w:after="0"/>
              <w:rPr>
                <w:sz w:val="22"/>
                <w:szCs w:val="22"/>
                <w:color w:val="auto"/>
              </w:rPr>
            </w:pPr>
          </w:p>
        </w:tc>
        <w:tc>
          <w:tcPr>
            <w:tcW w:w="100" w:type="dxa"/>
            <w:vAlign w:val="bottom"/>
            <w:tcBorders>
              <w:bottom w:val="single" w:sz="8" w:color="231F20"/>
              <w:right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116.4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80" w:type="dxa"/>
            <w:vAlign w:val="bottom"/>
            <w:tcBorders>
              <w:bottom w:val="single" w:sz="8" w:color="231F20"/>
            </w:tcBorders>
            <w:gridSpan w:val="2"/>
          </w:tcPr>
          <w:p>
            <w:pPr>
              <w:jc w:val="right"/>
              <w:spacing w:after="0" w:line="223" w:lineRule="exact"/>
              <w:rPr>
                <w:sz w:val="20"/>
                <w:szCs w:val="20"/>
                <w:color w:val="auto"/>
              </w:rPr>
            </w:pPr>
            <w:r>
              <w:rPr>
                <w:rFonts w:ascii="Arial" w:cs="Arial" w:eastAsia="Arial" w:hAnsi="Arial"/>
                <w:sz w:val="20"/>
                <w:szCs w:val="20"/>
                <w:b w:val="1"/>
                <w:bCs w:val="1"/>
                <w:color w:val="231F20"/>
              </w:rPr>
              <w:t>TOTAL ASSETS</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89"/>
              </w:rPr>
              <w:t>$</w:t>
            </w:r>
          </w:p>
        </w:tc>
        <w:tc>
          <w:tcPr>
            <w:tcW w:w="10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6,565.0</w:t>
            </w:r>
          </w:p>
        </w:tc>
        <w:tc>
          <w:tcPr>
            <w:tcW w:w="100" w:type="dxa"/>
            <w:vAlign w:val="bottom"/>
          </w:tcPr>
          <w:p>
            <w:pPr>
              <w:spacing w:after="0"/>
              <w:rPr>
                <w:sz w:val="21"/>
                <w:szCs w:val="21"/>
                <w:color w:val="auto"/>
              </w:rPr>
            </w:pPr>
          </w:p>
        </w:tc>
        <w:tc>
          <w:tcPr>
            <w:tcW w:w="100" w:type="dxa"/>
            <w:vAlign w:val="bottom"/>
            <w:tcBorders>
              <w:bottom w:val="single" w:sz="8" w:color="231F20"/>
              <w:right w:val="single" w:sz="8" w:color="231F20"/>
            </w:tcBorders>
          </w:tcPr>
          <w:p>
            <w:pPr>
              <w:spacing w:after="0"/>
              <w:rPr>
                <w:sz w:val="21"/>
                <w:szCs w:val="21"/>
                <w:color w:val="auto"/>
              </w:rPr>
            </w:pP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9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6,120.9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60" w:type="dxa"/>
            <w:vAlign w:val="bottom"/>
          </w:tcPr>
          <w:p>
            <w:pPr>
              <w:spacing w:after="0" w:line="213" w:lineRule="exact"/>
              <w:rPr>
                <w:sz w:val="20"/>
                <w:szCs w:val="20"/>
                <w:color w:val="auto"/>
              </w:rPr>
            </w:pPr>
            <w:r>
              <w:rPr>
                <w:rFonts w:ascii="Arial" w:cs="Arial" w:eastAsia="Arial" w:hAnsi="Arial"/>
                <w:sz w:val="20"/>
                <w:szCs w:val="20"/>
                <w:b w:val="1"/>
                <w:bCs w:val="1"/>
                <w:color w:val="231F20"/>
              </w:rPr>
              <w:t>LIABILITIES AND EQUITY</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tcPr>
          <w:p>
            <w:pPr>
              <w:ind w:left="260"/>
              <w:spacing w:after="0"/>
              <w:rPr>
                <w:sz w:val="20"/>
                <w:szCs w:val="20"/>
                <w:color w:val="auto"/>
              </w:rPr>
            </w:pPr>
            <w:r>
              <w:rPr>
                <w:rFonts w:ascii="Arial" w:cs="Arial" w:eastAsia="Arial" w:hAnsi="Arial"/>
                <w:sz w:val="20"/>
                <w:szCs w:val="20"/>
                <w:color w:val="231F20"/>
              </w:rPr>
              <w:t>Current liabilities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Short-term debt </w:t>
            </w:r>
            <w:r>
              <w:rPr>
                <w:rFonts w:ascii="Times New Roman" w:cs="Times New Roman" w:eastAsia="Times New Roman" w:hAnsi="Times New Roman"/>
                <w:sz w:val="20"/>
                <w:szCs w:val="20"/>
                <w:color w:val="231F20"/>
              </w:rPr>
              <w:t>.............................................................................................</w:t>
            </w:r>
          </w:p>
        </w:tc>
        <w:tc>
          <w:tcPr>
            <w:tcW w:w="220" w:type="dxa"/>
            <w:vAlign w:val="bottom"/>
          </w:tcPr>
          <w:p>
            <w:pPr>
              <w:jc w:val="right"/>
              <w:spacing w:after="0"/>
              <w:rPr>
                <w:sz w:val="20"/>
                <w:szCs w:val="20"/>
                <w:color w:val="auto"/>
              </w:rPr>
            </w:pPr>
            <w:r>
              <w:rPr>
                <w:rFonts w:ascii="Arial" w:cs="Arial" w:eastAsia="Arial" w:hAnsi="Arial"/>
                <w:sz w:val="20"/>
                <w:szCs w:val="20"/>
                <w:color w:val="231F20"/>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231F20"/>
              </w:rPr>
              <w:t>-</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599.2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Accounts payable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568.1</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421.6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80" w:type="dxa"/>
            <w:vAlign w:val="bottom"/>
            <w:tcBorders>
              <w:bottom w:val="single" w:sz="8" w:color="231F20"/>
            </w:tcBorders>
            <w:gridSpan w:val="2"/>
          </w:tcPr>
          <w:p>
            <w:pPr>
              <w:jc w:val="right"/>
              <w:spacing w:after="0"/>
              <w:rPr>
                <w:sz w:val="20"/>
                <w:szCs w:val="20"/>
                <w:color w:val="auto"/>
              </w:rPr>
            </w:pPr>
            <w:r>
              <w:rPr>
                <w:rFonts w:ascii="Arial" w:cs="Arial" w:eastAsia="Arial" w:hAnsi="Arial"/>
                <w:sz w:val="20"/>
                <w:szCs w:val="20"/>
                <w:color w:val="231F20"/>
              </w:rPr>
              <w:t xml:space="preserve">Other current liabilities </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632.3</w:t>
            </w:r>
          </w:p>
        </w:tc>
        <w:tc>
          <w:tcPr>
            <w:tcW w:w="100" w:type="dxa"/>
            <w:vAlign w:val="bottom"/>
          </w:tcPr>
          <w:p>
            <w:pPr>
              <w:spacing w:after="0"/>
              <w:rPr>
                <w:sz w:val="22"/>
                <w:szCs w:val="22"/>
                <w:color w:val="auto"/>
              </w:rPr>
            </w:pPr>
          </w:p>
        </w:tc>
        <w:tc>
          <w:tcPr>
            <w:tcW w:w="100" w:type="dxa"/>
            <w:vAlign w:val="bottom"/>
            <w:tcBorders>
              <w:bottom w:val="single" w:sz="8" w:color="231F20"/>
              <w:right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523.9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gridSpan w:val="2"/>
          </w:tcPr>
          <w:p>
            <w:pPr>
              <w:jc w:val="right"/>
              <w:spacing w:after="0" w:line="202" w:lineRule="exact"/>
              <w:rPr>
                <w:sz w:val="20"/>
                <w:szCs w:val="20"/>
                <w:color w:val="auto"/>
              </w:rPr>
            </w:pPr>
            <w:r>
              <w:rPr>
                <w:rFonts w:ascii="Arial" w:cs="Arial" w:eastAsia="Arial" w:hAnsi="Arial"/>
                <w:sz w:val="20"/>
                <w:szCs w:val="20"/>
                <w:b w:val="1"/>
                <w:bCs w:val="1"/>
                <w:color w:val="231F20"/>
              </w:rPr>
              <w:t xml:space="preserve">TOTAL CURRENT LIABILITIES </w:t>
            </w:r>
            <w:r>
              <w:rPr>
                <w:rFonts w:ascii="Times New Roman" w:cs="Times New Roman" w:eastAsia="Times New Roman" w:hAnsi="Times New Roman"/>
                <w:sz w:val="20"/>
                <w:szCs w:val="20"/>
                <w:color w:val="231F20"/>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20"/>
                <w:szCs w:val="20"/>
                <w:color w:val="231F20"/>
              </w:rPr>
              <w:t>1,200.4</w:t>
            </w:r>
          </w:p>
        </w:tc>
        <w:tc>
          <w:tcPr>
            <w:tcW w:w="100" w:type="dxa"/>
            <w:vAlign w:val="bottom"/>
          </w:tcPr>
          <w:p>
            <w:pPr>
              <w:spacing w:after="0"/>
              <w:rPr>
                <w:sz w:val="17"/>
                <w:szCs w:val="17"/>
                <w:color w:val="auto"/>
              </w:rPr>
            </w:pPr>
          </w:p>
        </w:tc>
        <w:tc>
          <w:tcPr>
            <w:tcW w:w="10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20"/>
                <w:szCs w:val="20"/>
                <w:color w:val="231F20"/>
              </w:rPr>
              <w:t>1,544.7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Long-term debt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2,670.1</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2,074.3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Deferred income taxes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111.3</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136.9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Accrued defined benefit plans</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47.3</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79.9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Operating lease liabilities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143.3</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95.4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80" w:type="dxa"/>
            <w:vAlign w:val="bottom"/>
            <w:tcBorders>
              <w:bottom w:val="single" w:sz="8" w:color="231F20"/>
            </w:tcBorders>
            <w:gridSpan w:val="2"/>
          </w:tcPr>
          <w:p>
            <w:pPr>
              <w:jc w:val="right"/>
              <w:spacing w:after="0"/>
              <w:rPr>
                <w:sz w:val="20"/>
                <w:szCs w:val="20"/>
                <w:color w:val="auto"/>
              </w:rPr>
            </w:pPr>
            <w:r>
              <w:rPr>
                <w:rFonts w:ascii="Arial" w:cs="Arial" w:eastAsia="Arial" w:hAnsi="Arial"/>
                <w:sz w:val="20"/>
                <w:szCs w:val="20"/>
                <w:color w:val="231F20"/>
              </w:rPr>
              <w:t>Other non-current liabilities</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99.2</w:t>
            </w:r>
          </w:p>
        </w:tc>
        <w:tc>
          <w:tcPr>
            <w:tcW w:w="100" w:type="dxa"/>
            <w:vAlign w:val="bottom"/>
          </w:tcPr>
          <w:p>
            <w:pPr>
              <w:spacing w:after="0"/>
              <w:rPr>
                <w:sz w:val="22"/>
                <w:szCs w:val="22"/>
                <w:color w:val="auto"/>
              </w:rPr>
            </w:pPr>
          </w:p>
        </w:tc>
        <w:tc>
          <w:tcPr>
            <w:tcW w:w="100" w:type="dxa"/>
            <w:vAlign w:val="bottom"/>
            <w:tcBorders>
              <w:bottom w:val="single" w:sz="8" w:color="231F20"/>
              <w:right w:val="single" w:sz="8" w:color="231F20"/>
            </w:tcBorders>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102.8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gridSpan w:val="2"/>
          </w:tcPr>
          <w:p>
            <w:pPr>
              <w:jc w:val="right"/>
              <w:spacing w:after="0" w:line="203" w:lineRule="exact"/>
              <w:rPr>
                <w:sz w:val="20"/>
                <w:szCs w:val="20"/>
                <w:color w:val="auto"/>
              </w:rPr>
            </w:pPr>
            <w:r>
              <w:rPr>
                <w:rFonts w:ascii="Arial" w:cs="Arial" w:eastAsia="Arial" w:hAnsi="Arial"/>
                <w:sz w:val="20"/>
                <w:szCs w:val="20"/>
                <w:b w:val="1"/>
                <w:bCs w:val="1"/>
                <w:color w:val="231F20"/>
              </w:rPr>
              <w:t>TOTAL LIABILITIES</w:t>
            </w:r>
            <w:r>
              <w:rPr>
                <w:rFonts w:ascii="Times New Roman" w:cs="Times New Roman" w:eastAsia="Times New Roman" w:hAnsi="Times New Roman"/>
                <w:sz w:val="20"/>
                <w:szCs w:val="20"/>
                <w:color w:val="231F20"/>
              </w:rPr>
              <w:t>..............................................................................</w:t>
            </w:r>
          </w:p>
        </w:tc>
        <w:tc>
          <w:tcPr>
            <w:tcW w:w="220" w:type="dxa"/>
            <w:vAlign w:val="bottom"/>
          </w:tcPr>
          <w:p>
            <w:pPr>
              <w:spacing w:after="0"/>
              <w:rPr>
                <w:sz w:val="17"/>
                <w:szCs w:val="17"/>
                <w:color w:val="auto"/>
              </w:rPr>
            </w:pPr>
          </w:p>
        </w:tc>
        <w:tc>
          <w:tcPr>
            <w:tcW w:w="1040" w:type="dxa"/>
            <w:vAlign w:val="bottom"/>
          </w:tcPr>
          <w:p>
            <w:pPr>
              <w:jc w:val="right"/>
              <w:spacing w:after="0" w:line="204" w:lineRule="exact"/>
              <w:rPr>
                <w:sz w:val="20"/>
                <w:szCs w:val="20"/>
                <w:color w:val="auto"/>
              </w:rPr>
            </w:pPr>
            <w:r>
              <w:rPr>
                <w:rFonts w:ascii="Arial" w:cs="Arial" w:eastAsia="Arial" w:hAnsi="Arial"/>
                <w:sz w:val="20"/>
                <w:szCs w:val="20"/>
                <w:color w:val="231F20"/>
              </w:rPr>
              <w:t>4,271.6</w:t>
            </w:r>
          </w:p>
        </w:tc>
        <w:tc>
          <w:tcPr>
            <w:tcW w:w="100" w:type="dxa"/>
            <w:vAlign w:val="bottom"/>
          </w:tcPr>
          <w:p>
            <w:pPr>
              <w:spacing w:after="0"/>
              <w:rPr>
                <w:sz w:val="17"/>
                <w:szCs w:val="17"/>
                <w:color w:val="auto"/>
              </w:rPr>
            </w:pPr>
          </w:p>
        </w:tc>
        <w:tc>
          <w:tcPr>
            <w:tcW w:w="10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20"/>
                <w:szCs w:val="20"/>
                <w:color w:val="231F20"/>
              </w:rPr>
              <w:t>4,034.0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tcPr>
          <w:p>
            <w:pPr>
              <w:ind w:left="260"/>
              <w:spacing w:after="0"/>
              <w:rPr>
                <w:sz w:val="20"/>
                <w:szCs w:val="20"/>
                <w:color w:val="auto"/>
              </w:rPr>
            </w:pPr>
            <w:r>
              <w:rPr>
                <w:rFonts w:ascii="Arial" w:cs="Arial" w:eastAsia="Arial" w:hAnsi="Arial"/>
                <w:sz w:val="20"/>
                <w:szCs w:val="20"/>
                <w:color w:val="231F20"/>
              </w:rPr>
              <w:t>Commitments (Note 18) and Contingencies (Note 22)</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tcPr>
          <w:p>
            <w:pPr>
              <w:ind w:left="260"/>
              <w:spacing w:after="0"/>
              <w:rPr>
                <w:sz w:val="20"/>
                <w:szCs w:val="20"/>
                <w:color w:val="auto"/>
              </w:rPr>
            </w:pPr>
            <w:r>
              <w:rPr>
                <w:rFonts w:ascii="Arial" w:cs="Arial" w:eastAsia="Arial" w:hAnsi="Arial"/>
                <w:sz w:val="20"/>
                <w:szCs w:val="20"/>
                <w:color w:val="231F20"/>
              </w:rPr>
              <w:t>Equity</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231F20"/>
              </w:rPr>
              <w:t>1.9</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231F20"/>
              </w:rPr>
              <w:t>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line="232" w:lineRule="exact"/>
              <w:rPr>
                <w:sz w:val="20"/>
                <w:szCs w:val="20"/>
                <w:color w:val="auto"/>
              </w:rPr>
            </w:pPr>
            <w:r>
              <w:rPr>
                <w:rFonts w:ascii="Arial" w:cs="Arial" w:eastAsia="Arial" w:hAnsi="Arial"/>
                <w:sz w:val="20"/>
                <w:szCs w:val="20"/>
                <w:color w:val="231F20"/>
              </w:rPr>
              <w:t xml:space="preserve">Common stock </w:t>
            </w:r>
            <w:r>
              <w:rPr>
                <w:rFonts w:ascii="Arial" w:cs="Arial" w:eastAsia="Arial" w:hAnsi="Arial"/>
                <w:sz w:val="26"/>
                <w:szCs w:val="26"/>
                <w:color w:val="231F20"/>
                <w:vertAlign w:val="superscript"/>
              </w:rPr>
              <w:t>(a)</w:t>
            </w:r>
            <w:r>
              <w:rPr>
                <w:rFonts w:ascii="Arial" w:cs="Arial" w:eastAsia="Arial" w:hAnsi="Arial"/>
                <w:sz w:val="20"/>
                <w:szCs w:val="20"/>
                <w:color w:val="231F20"/>
              </w:rPr>
              <w:t xml:space="preserve">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Paid-in capital</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3,134.5</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3,069.6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Accumulated other comprehensive income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63.3</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37.4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 xml:space="preserve">Retained earnings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231F20"/>
              </w:rPr>
              <w:t>2,605.3</w:t>
            </w:r>
          </w:p>
        </w:tc>
        <w:tc>
          <w:tcPr>
            <w:tcW w:w="10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2,323.8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80" w:type="dxa"/>
            <w:vAlign w:val="bottom"/>
            <w:gridSpan w:val="2"/>
          </w:tcPr>
          <w:p>
            <w:pPr>
              <w:jc w:val="right"/>
              <w:spacing w:after="0"/>
              <w:rPr>
                <w:sz w:val="20"/>
                <w:szCs w:val="20"/>
                <w:color w:val="auto"/>
              </w:rPr>
            </w:pPr>
            <w:r>
              <w:rPr>
                <w:rFonts w:ascii="Arial" w:cs="Arial" w:eastAsia="Arial" w:hAnsi="Arial"/>
                <w:sz w:val="20"/>
                <w:szCs w:val="20"/>
                <w:color w:val="231F20"/>
              </w:rPr>
              <w:t>Treasury stock</w:t>
            </w:r>
            <w:r>
              <w:rPr>
                <w:rFonts w:ascii="Times New Roman" w:cs="Times New Roman" w:eastAsia="Times New Roman" w:hAnsi="Times New Roman"/>
                <w:sz w:val="20"/>
                <w:szCs w:val="20"/>
                <w:color w:val="231F20"/>
              </w:rPr>
              <w:t>...............................................................................................</w:t>
            </w:r>
          </w:p>
        </w:tc>
        <w:tc>
          <w:tcPr>
            <w:tcW w:w="22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20"/>
                <w:szCs w:val="20"/>
                <w:color w:val="231F20"/>
              </w:rPr>
              <w:t>(3,511.6)</w:t>
            </w:r>
          </w:p>
        </w:tc>
        <w:tc>
          <w:tcPr>
            <w:tcW w:w="100" w:type="dxa"/>
            <w:vAlign w:val="bottom"/>
            <w:tcBorders>
              <w:right w:val="single" w:sz="8" w:color="231F20"/>
            </w:tcBorders>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231F20"/>
              </w:rPr>
              <w:t>(3,345.8)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80" w:type="dxa"/>
            <w:vAlign w:val="bottom"/>
            <w:tcBorders>
              <w:top w:val="single" w:sz="8" w:color="231F20"/>
              <w:bottom w:val="single" w:sz="8" w:color="231F20"/>
            </w:tcBorders>
            <w:gridSpan w:val="2"/>
          </w:tcPr>
          <w:p>
            <w:pPr>
              <w:jc w:val="right"/>
              <w:spacing w:after="0" w:line="223" w:lineRule="exact"/>
              <w:rPr>
                <w:sz w:val="20"/>
                <w:szCs w:val="20"/>
                <w:color w:val="auto"/>
              </w:rPr>
            </w:pPr>
            <w:r>
              <w:rPr>
                <w:rFonts w:ascii="Arial" w:cs="Arial" w:eastAsia="Arial" w:hAnsi="Arial"/>
                <w:sz w:val="20"/>
                <w:szCs w:val="20"/>
                <w:b w:val="1"/>
                <w:bCs w:val="1"/>
                <w:color w:val="231F20"/>
              </w:rPr>
              <w:t xml:space="preserve">TOTAL EQUITY </w:t>
            </w:r>
            <w:r>
              <w:rPr>
                <w:rFonts w:ascii="Times New Roman" w:cs="Times New Roman" w:eastAsia="Times New Roman" w:hAnsi="Times New Roman"/>
                <w:sz w:val="20"/>
                <w:szCs w:val="20"/>
                <w:color w:val="231F20"/>
              </w:rPr>
              <w:t>................................................................................</w:t>
            </w:r>
          </w:p>
        </w:tc>
        <w:tc>
          <w:tcPr>
            <w:tcW w:w="220" w:type="dxa"/>
            <w:vAlign w:val="bottom"/>
            <w:tcBorders>
              <w:top w:val="single" w:sz="8" w:color="231F20"/>
              <w:bottom w:val="single" w:sz="8" w:color="231F20"/>
            </w:tcBorders>
          </w:tcPr>
          <w:p>
            <w:pPr>
              <w:spacing w:after="0"/>
              <w:rPr>
                <w:sz w:val="19"/>
                <w:szCs w:val="19"/>
                <w:color w:val="auto"/>
              </w:rPr>
            </w:pPr>
          </w:p>
        </w:tc>
        <w:tc>
          <w:tcPr>
            <w:tcW w:w="1040" w:type="dxa"/>
            <w:vAlign w:val="bottom"/>
            <w:tcBorders>
              <w:top w:val="single" w:sz="8" w:color="231F20"/>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2,293.4</w:t>
            </w:r>
          </w:p>
        </w:tc>
        <w:tc>
          <w:tcPr>
            <w:tcW w:w="100" w:type="dxa"/>
            <w:vAlign w:val="bottom"/>
          </w:tcPr>
          <w:p>
            <w:pPr>
              <w:spacing w:after="0"/>
              <w:rPr>
                <w:sz w:val="19"/>
                <w:szCs w:val="19"/>
                <w:color w:val="auto"/>
              </w:rPr>
            </w:pPr>
          </w:p>
        </w:tc>
        <w:tc>
          <w:tcPr>
            <w:tcW w:w="100" w:type="dxa"/>
            <w:vAlign w:val="bottom"/>
            <w:tcBorders>
              <w:top w:val="single" w:sz="8" w:color="231F20"/>
              <w:bottom w:val="single" w:sz="8" w:color="231F20"/>
              <w:right w:val="single" w:sz="8" w:color="231F20"/>
            </w:tcBorders>
          </w:tcPr>
          <w:p>
            <w:pPr>
              <w:spacing w:after="0"/>
              <w:rPr>
                <w:sz w:val="19"/>
                <w:szCs w:val="19"/>
                <w:color w:val="auto"/>
              </w:rPr>
            </w:pPr>
          </w:p>
        </w:tc>
        <w:tc>
          <w:tcPr>
            <w:tcW w:w="220" w:type="dxa"/>
            <w:vAlign w:val="bottom"/>
            <w:tcBorders>
              <w:top w:val="single" w:sz="8" w:color="231F20"/>
              <w:bottom w:val="single" w:sz="8" w:color="231F20"/>
            </w:tcBorders>
          </w:tcPr>
          <w:p>
            <w:pPr>
              <w:spacing w:after="0"/>
              <w:rPr>
                <w:sz w:val="19"/>
                <w:szCs w:val="19"/>
                <w:color w:val="auto"/>
              </w:rPr>
            </w:pPr>
          </w:p>
        </w:tc>
        <w:tc>
          <w:tcPr>
            <w:tcW w:w="960" w:type="dxa"/>
            <w:vAlign w:val="bottom"/>
            <w:tcBorders>
              <w:top w:val="single" w:sz="8" w:color="231F20"/>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2,086.9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80" w:type="dxa"/>
            <w:vAlign w:val="bottom"/>
            <w:tcBorders>
              <w:bottom w:val="single" w:sz="8" w:color="231F20"/>
            </w:tcBorders>
            <w:gridSpan w:val="2"/>
          </w:tcPr>
          <w:p>
            <w:pPr>
              <w:jc w:val="right"/>
              <w:spacing w:after="0" w:line="223" w:lineRule="exact"/>
              <w:rPr>
                <w:sz w:val="20"/>
                <w:szCs w:val="20"/>
                <w:color w:val="auto"/>
              </w:rPr>
            </w:pPr>
            <w:r>
              <w:rPr>
                <w:rFonts w:ascii="Arial" w:cs="Arial" w:eastAsia="Arial" w:hAnsi="Arial"/>
                <w:sz w:val="20"/>
                <w:szCs w:val="20"/>
                <w:b w:val="1"/>
                <w:bCs w:val="1"/>
                <w:color w:val="231F20"/>
              </w:rPr>
              <w:t xml:space="preserve">TOTAL LIABILITIES AND EQUITY </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89"/>
              </w:rPr>
              <w:t>$</w:t>
            </w:r>
          </w:p>
        </w:tc>
        <w:tc>
          <w:tcPr>
            <w:tcW w:w="10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6,565.0</w:t>
            </w:r>
          </w:p>
        </w:tc>
        <w:tc>
          <w:tcPr>
            <w:tcW w:w="100" w:type="dxa"/>
            <w:vAlign w:val="bottom"/>
          </w:tcPr>
          <w:p>
            <w:pPr>
              <w:spacing w:after="0"/>
              <w:rPr>
                <w:sz w:val="21"/>
                <w:szCs w:val="21"/>
                <w:color w:val="auto"/>
              </w:rPr>
            </w:pPr>
          </w:p>
        </w:tc>
        <w:tc>
          <w:tcPr>
            <w:tcW w:w="100" w:type="dxa"/>
            <w:vAlign w:val="bottom"/>
            <w:tcBorders>
              <w:bottom w:val="single" w:sz="8" w:color="231F20"/>
              <w:right w:val="single" w:sz="8" w:color="231F20"/>
            </w:tcBorders>
          </w:tcPr>
          <w:p>
            <w:pPr>
              <w:spacing w:after="0"/>
              <w:rPr>
                <w:sz w:val="21"/>
                <w:szCs w:val="21"/>
                <w:color w:val="auto"/>
              </w:rPr>
            </w:pP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9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6,120.9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340" w:right="380" w:hanging="314"/>
        <w:spacing w:after="0" w:line="279" w:lineRule="auto"/>
        <w:tabs>
          <w:tab w:leader="none" w:pos="340" w:val="left"/>
        </w:tabs>
        <w:numPr>
          <w:ilvl w:val="0"/>
          <w:numId w:val="20"/>
        </w:numPr>
        <w:rPr>
          <w:rFonts w:ascii="Arial" w:cs="Arial" w:eastAsia="Arial" w:hAnsi="Arial"/>
          <w:sz w:val="10"/>
          <w:szCs w:val="10"/>
          <w:i w:val="1"/>
          <w:iCs w:val="1"/>
          <w:color w:val="231F20"/>
        </w:rPr>
      </w:pPr>
      <w:r>
        <w:rPr>
          <w:rFonts w:ascii="Arial" w:cs="Arial" w:eastAsia="Arial" w:hAnsi="Arial"/>
          <w:sz w:val="16"/>
          <w:szCs w:val="16"/>
          <w:i w:val="1"/>
          <w:iCs w:val="1"/>
          <w:color w:val="231F20"/>
        </w:rPr>
        <w:t>Common stock, par value $0.01 per share, 187.1 million shares and 186.2 million shares issued at December 30, 2023 and December 31, 2022,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231F20"/>
        </w:rPr>
        <w:t>See Notes to Consolidated Financial Statements.</w:t>
      </w:r>
    </w:p>
    <w:p>
      <w:pPr>
        <w:sectPr>
          <w:pgSz w:w="12240" w:h="15840" w:orient="portrait"/>
          <w:cols w:equalWidth="0" w:num="1">
            <w:col w:w="9520"/>
          </w:cols>
          <w:pgMar w:left="1360" w:top="1440" w:right="136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50</w:t>
      </w:r>
    </w:p>
    <w:p>
      <w:pPr>
        <w:sectPr>
          <w:pgSz w:w="12240" w:h="15840" w:orient="portrait"/>
          <w:cols w:equalWidth="0" w:num="1">
            <w:col w:w="9520"/>
          </w:cols>
          <w:pgMar w:left="1360" w:top="1440" w:right="1360" w:bottom="95" w:gutter="0" w:footer="0" w:header="0"/>
          <w:type w:val="continuous"/>
        </w:sectPr>
      </w:pPr>
    </w:p>
    <w:bookmarkStart w:id="58" w:name="page59"/>
    <w:bookmarkEnd w:id="58"/>
    <w:p>
      <w:pPr>
        <w:spacing w:after="0" w:line="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31F20"/>
        </w:rPr>
        <w:t>Consolidated Statements of Cash Flows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31F20"/>
        </w:rPr>
        <w:t>Fortune Brands Innovations, Inc. and Subsidiaries</w:t>
      </w:r>
    </w:p>
    <w:p>
      <w:pPr>
        <w:spacing w:after="0" w:line="200" w:lineRule="exact"/>
        <w:rPr>
          <w:sz w:val="20"/>
          <w:szCs w:val="20"/>
          <w:color w:val="auto"/>
        </w:rPr>
      </w:pPr>
    </w:p>
    <w:p>
      <w:pPr>
        <w:sectPr>
          <w:pgSz w:w="12240" w:h="15840" w:orient="portrait"/>
          <w:cols w:equalWidth="0" w:num="2">
            <w:col w:w="5200" w:space="720"/>
            <w:col w:w="3600"/>
          </w:cols>
          <w:pgMar w:left="1360" w:top="1440" w:right="1360" w:bottom="95" w:gutter="0" w:footer="0" w:header="0"/>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Borders>
              <w:top w:val="single" w:sz="8" w:color="231F20"/>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5500" w:type="dxa"/>
            <w:vAlign w:val="bottom"/>
            <w:tcBorders>
              <w:top w:val="single" w:sz="8" w:color="231F20"/>
              <w:bottom w:val="single" w:sz="8" w:color="231F20"/>
            </w:tcBorders>
          </w:tcPr>
          <w:p>
            <w:pPr>
              <w:spacing w:after="0"/>
              <w:rPr>
                <w:sz w:val="17"/>
                <w:szCs w:val="17"/>
                <w:color w:val="auto"/>
              </w:rPr>
            </w:pPr>
          </w:p>
        </w:tc>
        <w:tc>
          <w:tcPr>
            <w:tcW w:w="260" w:type="dxa"/>
            <w:vAlign w:val="bottom"/>
            <w:tcBorders>
              <w:top w:val="single" w:sz="8" w:color="231F20"/>
              <w:bottom w:val="single" w:sz="8" w:color="231F20"/>
            </w:tcBorders>
          </w:tcPr>
          <w:p>
            <w:pPr>
              <w:spacing w:after="0"/>
              <w:rPr>
                <w:sz w:val="17"/>
                <w:szCs w:val="17"/>
                <w:color w:val="auto"/>
              </w:rPr>
            </w:pPr>
          </w:p>
        </w:tc>
        <w:tc>
          <w:tcPr>
            <w:tcW w:w="1040" w:type="dxa"/>
            <w:vAlign w:val="bottom"/>
            <w:tcBorders>
              <w:top w:val="single" w:sz="8" w:color="231F20"/>
              <w:bottom w:val="single" w:sz="8" w:color="231F20"/>
            </w:tcBorders>
          </w:tcPr>
          <w:p>
            <w:pPr>
              <w:spacing w:after="0"/>
              <w:rPr>
                <w:sz w:val="17"/>
                <w:szCs w:val="17"/>
                <w:color w:val="auto"/>
              </w:rPr>
            </w:pPr>
          </w:p>
        </w:tc>
        <w:tc>
          <w:tcPr>
            <w:tcW w:w="1340" w:type="dxa"/>
            <w:vAlign w:val="bottom"/>
            <w:tcBorders>
              <w:top w:val="single" w:sz="8" w:color="231F20"/>
              <w:bottom w:val="single" w:sz="8" w:color="231F20"/>
            </w:tcBorders>
            <w:gridSpan w:val="2"/>
          </w:tcPr>
          <w:p>
            <w:pPr>
              <w:ind w:left="60"/>
              <w:spacing w:after="0"/>
              <w:rPr>
                <w:sz w:val="20"/>
                <w:szCs w:val="20"/>
                <w:color w:val="auto"/>
              </w:rPr>
            </w:pPr>
            <w:r>
              <w:rPr>
                <w:rFonts w:ascii="Arial" w:cs="Arial" w:eastAsia="Arial" w:hAnsi="Arial"/>
                <w:sz w:val="16"/>
                <w:szCs w:val="16"/>
                <w:color w:val="231F20"/>
              </w:rPr>
              <w:t>For years ended</w:t>
            </w:r>
          </w:p>
        </w:tc>
        <w:tc>
          <w:tcPr>
            <w:tcW w:w="180" w:type="dxa"/>
            <w:vAlign w:val="bottom"/>
            <w:tcBorders>
              <w:top w:val="single" w:sz="8" w:color="231F20"/>
              <w:bottom w:val="single" w:sz="8" w:color="231F20"/>
            </w:tcBorders>
          </w:tcPr>
          <w:p>
            <w:pPr>
              <w:spacing w:after="0"/>
              <w:rPr>
                <w:sz w:val="17"/>
                <w:szCs w:val="17"/>
                <w:color w:val="auto"/>
              </w:rPr>
            </w:pPr>
          </w:p>
        </w:tc>
        <w:tc>
          <w:tcPr>
            <w:tcW w:w="1100" w:type="dxa"/>
            <w:vAlign w:val="bottom"/>
            <w:tcBorders>
              <w:top w:val="single" w:sz="8" w:color="231F20"/>
              <w:bottom w:val="single" w:sz="8" w:color="231F20"/>
            </w:tcBorders>
          </w:tcPr>
          <w:p>
            <w:pPr>
              <w:spacing w:after="0"/>
              <w:rPr>
                <w:sz w:val="17"/>
                <w:szCs w:val="17"/>
                <w:color w:val="auto"/>
              </w:rPr>
            </w:pPr>
          </w:p>
        </w:tc>
        <w:tc>
          <w:tcPr>
            <w:tcW w:w="40" w:type="dxa"/>
            <w:vAlign w:val="bottom"/>
            <w:tcBorders>
              <w:top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tcBorders>
              <w:right w:val="single" w:sz="8" w:color="231F20"/>
            </w:tcBorders>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Borders>
              <w:right w:val="single" w:sz="8" w:color="231F20"/>
            </w:tcBorders>
          </w:tcPr>
          <w:p>
            <w:pPr>
              <w:jc w:val="right"/>
              <w:ind w:right="119"/>
              <w:spacing w:after="0" w:line="142" w:lineRule="exact"/>
              <w:rPr>
                <w:sz w:val="20"/>
                <w:szCs w:val="20"/>
                <w:color w:val="auto"/>
              </w:rPr>
            </w:pPr>
            <w:r>
              <w:rPr>
                <w:rFonts w:ascii="Arial" w:cs="Arial" w:eastAsia="Arial" w:hAnsi="Arial"/>
                <w:sz w:val="16"/>
                <w:szCs w:val="16"/>
                <w:i w:val="1"/>
                <w:iCs w:val="1"/>
                <w:color w:val="231F20"/>
              </w:rPr>
              <w:t>December</w:t>
            </w:r>
          </w:p>
        </w:tc>
        <w:tc>
          <w:tcPr>
            <w:tcW w:w="180" w:type="dxa"/>
            <w:vAlign w:val="bottom"/>
          </w:tcPr>
          <w:p>
            <w:pPr>
              <w:spacing w:after="0"/>
              <w:rPr>
                <w:sz w:val="12"/>
                <w:szCs w:val="12"/>
                <w:color w:val="auto"/>
              </w:rPr>
            </w:pPr>
          </w:p>
        </w:tc>
        <w:tc>
          <w:tcPr>
            <w:tcW w:w="1160" w:type="dxa"/>
            <w:vAlign w:val="bottom"/>
          </w:tcPr>
          <w:p>
            <w:pPr>
              <w:jc w:val="right"/>
              <w:ind w:right="59"/>
              <w:spacing w:after="0" w:line="142" w:lineRule="exact"/>
              <w:rPr>
                <w:sz w:val="20"/>
                <w:szCs w:val="20"/>
                <w:color w:val="auto"/>
              </w:rPr>
            </w:pPr>
            <w:r>
              <w:rPr>
                <w:rFonts w:ascii="Arial" w:cs="Arial" w:eastAsia="Arial" w:hAnsi="Arial"/>
                <w:sz w:val="16"/>
                <w:szCs w:val="16"/>
                <w:color w:val="231F20"/>
                <w:w w:val="99"/>
              </w:rPr>
              <w:t>December 31,</w:t>
            </w:r>
          </w:p>
        </w:tc>
        <w:tc>
          <w:tcPr>
            <w:tcW w:w="180" w:type="dxa"/>
            <w:vAlign w:val="bottom"/>
          </w:tcPr>
          <w:p>
            <w:pPr>
              <w:spacing w:after="0"/>
              <w:rPr>
                <w:sz w:val="12"/>
                <w:szCs w:val="12"/>
                <w:color w:val="auto"/>
              </w:rPr>
            </w:pPr>
          </w:p>
        </w:tc>
        <w:tc>
          <w:tcPr>
            <w:tcW w:w="1100" w:type="dxa"/>
            <w:vAlign w:val="bottom"/>
          </w:tcPr>
          <w:p>
            <w:pPr>
              <w:jc w:val="right"/>
              <w:ind w:right="19"/>
              <w:spacing w:after="0" w:line="142" w:lineRule="exact"/>
              <w:rPr>
                <w:sz w:val="20"/>
                <w:szCs w:val="20"/>
                <w:color w:val="auto"/>
              </w:rPr>
            </w:pPr>
            <w:r>
              <w:rPr>
                <w:rFonts w:ascii="Arial" w:cs="Arial" w:eastAsia="Arial" w:hAnsi="Arial"/>
                <w:sz w:val="16"/>
                <w:szCs w:val="16"/>
                <w:color w:val="231F20"/>
                <w:w w:val="97"/>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00" w:type="dxa"/>
            <w:vAlign w:val="bottom"/>
            <w:tcBorders>
              <w:bottom w:val="single" w:sz="8" w:color="231F20"/>
              <w:right w:val="single" w:sz="8" w:color="231F20"/>
            </w:tcBorders>
          </w:tcPr>
          <w:p>
            <w:pPr>
              <w:spacing w:after="0" w:line="221" w:lineRule="exact"/>
              <w:rPr>
                <w:sz w:val="20"/>
                <w:szCs w:val="20"/>
                <w:color w:val="auto"/>
              </w:rPr>
            </w:pPr>
            <w:r>
              <w:rPr>
                <w:rFonts w:ascii="Arial" w:cs="Arial" w:eastAsia="Arial" w:hAnsi="Arial"/>
                <w:sz w:val="16"/>
                <w:szCs w:val="16"/>
                <w:i w:val="1"/>
                <w:iCs w:val="1"/>
                <w:color w:val="231F20"/>
              </w:rPr>
              <w:t xml:space="preserve">(In millions) </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right w:val="single" w:sz="8" w:color="231F20"/>
            </w:tcBorders>
          </w:tcPr>
          <w:p>
            <w:pPr>
              <w:jc w:val="right"/>
              <w:ind w:right="119"/>
              <w:spacing w:after="0"/>
              <w:rPr>
                <w:sz w:val="20"/>
                <w:szCs w:val="20"/>
                <w:color w:val="auto"/>
              </w:rPr>
            </w:pPr>
            <w:r>
              <w:rPr>
                <w:rFonts w:ascii="Arial" w:cs="Arial" w:eastAsia="Arial" w:hAnsi="Arial"/>
                <w:sz w:val="16"/>
                <w:szCs w:val="16"/>
                <w:i w:val="1"/>
                <w:iCs w:val="1"/>
                <w:color w:val="231F20"/>
              </w:rPr>
              <w:t>30, 2023</w:t>
            </w:r>
          </w:p>
        </w:tc>
        <w:tc>
          <w:tcPr>
            <w:tcW w:w="18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59"/>
              <w:spacing w:after="0"/>
              <w:rPr>
                <w:sz w:val="20"/>
                <w:szCs w:val="20"/>
                <w:color w:val="auto"/>
              </w:rPr>
            </w:pPr>
            <w:r>
              <w:rPr>
                <w:rFonts w:ascii="Arial" w:cs="Arial" w:eastAsia="Arial" w:hAnsi="Arial"/>
                <w:sz w:val="16"/>
                <w:szCs w:val="16"/>
                <w:color w:val="231F20"/>
              </w:rPr>
              <w:t>2022</w:t>
            </w:r>
          </w:p>
        </w:tc>
        <w:tc>
          <w:tcPr>
            <w:tcW w:w="1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tcBorders>
              <w:right w:val="single" w:sz="8" w:color="231F20"/>
            </w:tcBorders>
          </w:tcPr>
          <w:p>
            <w:pPr>
              <w:spacing w:after="0" w:line="142" w:lineRule="exact"/>
              <w:rPr>
                <w:sz w:val="20"/>
                <w:szCs w:val="20"/>
                <w:color w:val="auto"/>
              </w:rPr>
            </w:pPr>
            <w:r>
              <w:rPr>
                <w:rFonts w:ascii="Arial" w:cs="Arial" w:eastAsia="Arial" w:hAnsi="Arial"/>
                <w:sz w:val="16"/>
                <w:szCs w:val="16"/>
                <w:b w:val="1"/>
                <w:bCs w:val="1"/>
                <w:color w:val="231F20"/>
              </w:rPr>
              <w:t>OPERATING ACTIVITIES</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1040" w:type="dxa"/>
            <w:vAlign w:val="bottom"/>
            <w:tcBorders>
              <w:right w:val="single" w:sz="8" w:color="231F20"/>
            </w:tcBorders>
            <w:vMerge w:val="restart"/>
          </w:tcPr>
          <w:p>
            <w:pPr>
              <w:jc w:val="right"/>
              <w:ind w:right="119"/>
              <w:spacing w:after="0"/>
              <w:rPr>
                <w:sz w:val="20"/>
                <w:szCs w:val="20"/>
                <w:color w:val="auto"/>
              </w:rPr>
            </w:pPr>
            <w:r>
              <w:rPr>
                <w:rFonts w:ascii="Arial" w:cs="Arial" w:eastAsia="Arial" w:hAnsi="Arial"/>
                <w:sz w:val="16"/>
                <w:szCs w:val="16"/>
                <w:color w:val="231F20"/>
              </w:rPr>
              <w:t>404.5</w:t>
            </w:r>
          </w:p>
        </w:tc>
        <w:tc>
          <w:tcPr>
            <w:tcW w:w="180" w:type="dxa"/>
            <w:vAlign w:val="bottom"/>
            <w:vMerge w:val="restart"/>
          </w:tcPr>
          <w:p>
            <w:pPr>
              <w:ind w:left="80"/>
              <w:spacing w:after="0"/>
              <w:rPr>
                <w:sz w:val="20"/>
                <w:szCs w:val="20"/>
                <w:color w:val="auto"/>
              </w:rPr>
            </w:pPr>
            <w:r>
              <w:rPr>
                <w:rFonts w:ascii="Arial" w:cs="Arial" w:eastAsia="Arial" w:hAnsi="Arial"/>
                <w:sz w:val="16"/>
                <w:szCs w:val="16"/>
                <w:color w:val="231F20"/>
                <w:w w:val="89"/>
              </w:rPr>
              <w:t>$</w:t>
            </w: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231F20"/>
              </w:rPr>
              <w:t>686.7</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231F20"/>
              </w:rPr>
              <w:t>772.4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tcBorders>
              <w:right w:val="single" w:sz="8" w:color="231F20"/>
            </w:tcBorders>
          </w:tcPr>
          <w:p>
            <w:pPr>
              <w:jc w:val="right"/>
              <w:ind w:right="19"/>
              <w:spacing w:after="0" w:line="205" w:lineRule="exact"/>
              <w:rPr>
                <w:sz w:val="20"/>
                <w:szCs w:val="20"/>
                <w:color w:val="auto"/>
              </w:rPr>
            </w:pPr>
            <w:r>
              <w:rPr>
                <w:rFonts w:ascii="Arial" w:cs="Arial" w:eastAsia="Arial" w:hAnsi="Arial"/>
                <w:sz w:val="16"/>
                <w:szCs w:val="16"/>
                <w:color w:val="231F20"/>
              </w:rPr>
              <w:t>Net income</w:t>
            </w:r>
            <w:r>
              <w:rPr>
                <w:rFonts w:ascii="Times New Roman" w:cs="Times New Roman" w:eastAsia="Times New Roman" w:hAnsi="Times New Roman"/>
                <w:sz w:val="20"/>
                <w:szCs w:val="20"/>
                <w:color w:val="231F20"/>
              </w:rPr>
              <w:t>.......................................................................................</w:t>
            </w:r>
          </w:p>
        </w:tc>
        <w:tc>
          <w:tcPr>
            <w:tcW w:w="260" w:type="dxa"/>
            <w:vAlign w:val="bottom"/>
            <w:vMerge w:val="continue"/>
          </w:tcPr>
          <w:p>
            <w:pPr>
              <w:spacing w:after="0"/>
              <w:rPr>
                <w:sz w:val="17"/>
                <w:szCs w:val="17"/>
                <w:color w:val="auto"/>
              </w:rPr>
            </w:pPr>
          </w:p>
        </w:tc>
        <w:tc>
          <w:tcPr>
            <w:tcW w:w="1040" w:type="dxa"/>
            <w:vAlign w:val="bottom"/>
            <w:tcBorders>
              <w:right w:val="single" w:sz="8" w:color="231F20"/>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5520" w:type="dxa"/>
            <w:vAlign w:val="bottom"/>
            <w:tcBorders>
              <w:right w:val="single" w:sz="8" w:color="231F20"/>
            </w:tcBorders>
            <w:gridSpan w:val="2"/>
          </w:tcPr>
          <w:p>
            <w:pPr>
              <w:spacing w:after="0" w:line="167" w:lineRule="exact"/>
              <w:rPr>
                <w:sz w:val="20"/>
                <w:szCs w:val="20"/>
                <w:color w:val="auto"/>
              </w:rPr>
            </w:pPr>
            <w:r>
              <w:rPr>
                <w:rFonts w:ascii="Arial" w:cs="Arial" w:eastAsia="Arial" w:hAnsi="Arial"/>
                <w:sz w:val="16"/>
                <w:szCs w:val="16"/>
                <w:color w:val="231F20"/>
              </w:rPr>
              <w:t>Non-cash expense (income):</w:t>
            </w:r>
          </w:p>
        </w:tc>
        <w:tc>
          <w:tcPr>
            <w:tcW w:w="260" w:type="dxa"/>
            <w:vAlign w:val="bottom"/>
          </w:tcPr>
          <w:p>
            <w:pPr>
              <w:spacing w:after="0"/>
              <w:rPr>
                <w:sz w:val="14"/>
                <w:szCs w:val="14"/>
                <w:color w:val="auto"/>
              </w:rPr>
            </w:pPr>
          </w:p>
        </w:tc>
        <w:tc>
          <w:tcPr>
            <w:tcW w:w="1040" w:type="dxa"/>
            <w:vAlign w:val="bottom"/>
            <w:tcBorders>
              <w:right w:val="single" w:sz="8" w:color="231F20"/>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Depreciation</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106.7</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126.5</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125.0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Amortization of intangibles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62.1</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65.1</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64.1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Non-cash lease expense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35.1</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45.2</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42.5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Stock-based compensation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34.2</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50.2</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50.2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Restructuring charges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8.0</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(Gain) loss on sale of property, plant and equipment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59"/>
              <w:spacing w:after="0"/>
              <w:rPr>
                <w:sz w:val="20"/>
                <w:szCs w:val="20"/>
                <w:color w:val="auto"/>
              </w:rPr>
            </w:pPr>
            <w:r>
              <w:rPr>
                <w:rFonts w:ascii="Arial" w:cs="Arial" w:eastAsia="Arial" w:hAnsi="Arial"/>
                <w:sz w:val="16"/>
                <w:szCs w:val="16"/>
                <w:color w:val="231F20"/>
              </w:rPr>
              <w:t>(1.0)</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(4.7)</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Loss on equity investments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Asset impairment charges</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33.5</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46.4</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Recognition of actuarial (gain) loss</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59"/>
              <w:spacing w:after="0"/>
              <w:rPr>
                <w:sz w:val="20"/>
                <w:szCs w:val="20"/>
                <w:color w:val="auto"/>
              </w:rPr>
            </w:pPr>
            <w:r>
              <w:rPr>
                <w:rFonts w:ascii="Arial" w:cs="Arial" w:eastAsia="Arial" w:hAnsi="Arial"/>
                <w:sz w:val="16"/>
                <w:szCs w:val="16"/>
                <w:color w:val="231F20"/>
              </w:rPr>
              <w:t>(0.5)</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(1.2)</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Deferred taxes</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59"/>
              <w:spacing w:after="0"/>
              <w:rPr>
                <w:sz w:val="20"/>
                <w:szCs w:val="20"/>
                <w:color w:val="auto"/>
              </w:rPr>
            </w:pPr>
            <w:r>
              <w:rPr>
                <w:rFonts w:ascii="Arial" w:cs="Arial" w:eastAsia="Arial" w:hAnsi="Arial"/>
                <w:sz w:val="16"/>
                <w:szCs w:val="16"/>
                <w:color w:val="231F20"/>
              </w:rPr>
              <w:t>(26.1)</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14.8</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tcBorders>
              <w:right w:val="single" w:sz="8" w:color="231F20"/>
            </w:tcBorders>
          </w:tcPr>
          <w:p>
            <w:pPr>
              <w:jc w:val="right"/>
              <w:ind w:right="19"/>
              <w:spacing w:after="0" w:line="205" w:lineRule="exact"/>
              <w:rPr>
                <w:sz w:val="20"/>
                <w:szCs w:val="20"/>
                <w:color w:val="auto"/>
              </w:rPr>
            </w:pPr>
            <w:r>
              <w:rPr>
                <w:rFonts w:ascii="Arial" w:cs="Arial" w:eastAsia="Arial" w:hAnsi="Arial"/>
                <w:sz w:val="16"/>
                <w:szCs w:val="16"/>
                <w:color w:val="231F20"/>
              </w:rPr>
              <w:t>Amortization of deferred financing costs</w:t>
            </w:r>
            <w:r>
              <w:rPr>
                <w:rFonts w:ascii="Times New Roman" w:cs="Times New Roman" w:eastAsia="Times New Roman" w:hAnsi="Times New Roman"/>
                <w:sz w:val="20"/>
                <w:szCs w:val="20"/>
                <w:color w:val="231F20"/>
              </w:rPr>
              <w:t>...............................................</w:t>
            </w:r>
          </w:p>
        </w:tc>
        <w:tc>
          <w:tcPr>
            <w:tcW w:w="260" w:type="dxa"/>
            <w:vAlign w:val="bottom"/>
          </w:tcPr>
          <w:p>
            <w:pPr>
              <w:spacing w:after="0"/>
              <w:rPr>
                <w:sz w:val="17"/>
                <w:szCs w:val="17"/>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4.1</w:t>
            </w:r>
          </w:p>
        </w:tc>
        <w:tc>
          <w:tcPr>
            <w:tcW w:w="18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3.8</w:t>
            </w:r>
          </w:p>
        </w:tc>
        <w:tc>
          <w:tcPr>
            <w:tcW w:w="1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spacing w:after="0"/>
              <w:rPr>
                <w:sz w:val="20"/>
                <w:szCs w:val="20"/>
                <w:color w:val="auto"/>
              </w:rPr>
            </w:pPr>
            <w:r>
              <w:rPr>
                <w:rFonts w:ascii="Arial" w:cs="Arial" w:eastAsia="Arial" w:hAnsi="Arial"/>
                <w:sz w:val="16"/>
                <w:szCs w:val="16"/>
                <w:color w:val="231F20"/>
              </w:rPr>
              <w:t>Changes in assets and liabilities including effects subsequent to</w:t>
            </w:r>
          </w:p>
        </w:tc>
        <w:tc>
          <w:tcPr>
            <w:tcW w:w="260" w:type="dxa"/>
            <w:vAlign w:val="bottom"/>
          </w:tcPr>
          <w:p>
            <w:pPr>
              <w:spacing w:after="0"/>
              <w:rPr>
                <w:sz w:val="16"/>
                <w:szCs w:val="16"/>
                <w:color w:val="auto"/>
              </w:rPr>
            </w:pPr>
          </w:p>
        </w:tc>
        <w:tc>
          <w:tcPr>
            <w:tcW w:w="1040" w:type="dxa"/>
            <w:vAlign w:val="bottom"/>
            <w:tcBorders>
              <w:right w:val="single" w:sz="8" w:color="231F20"/>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right w:val="single" w:sz="8" w:color="231F20"/>
            </w:tcBorders>
          </w:tcPr>
          <w:p>
            <w:pPr>
              <w:spacing w:after="0" w:line="167" w:lineRule="exact"/>
              <w:rPr>
                <w:sz w:val="20"/>
                <w:szCs w:val="20"/>
                <w:color w:val="auto"/>
              </w:rPr>
            </w:pPr>
            <w:r>
              <w:rPr>
                <w:rFonts w:ascii="Arial" w:cs="Arial" w:eastAsia="Arial" w:hAnsi="Arial"/>
                <w:sz w:val="16"/>
                <w:szCs w:val="16"/>
                <w:color w:val="231F20"/>
              </w:rPr>
              <w:t>acquisitions</w:t>
            </w:r>
          </w:p>
        </w:tc>
        <w:tc>
          <w:tcPr>
            <w:tcW w:w="260" w:type="dxa"/>
            <w:vAlign w:val="bottom"/>
          </w:tcPr>
          <w:p>
            <w:pPr>
              <w:spacing w:after="0"/>
              <w:rPr>
                <w:sz w:val="14"/>
                <w:szCs w:val="14"/>
                <w:color w:val="auto"/>
              </w:rPr>
            </w:pPr>
          </w:p>
        </w:tc>
        <w:tc>
          <w:tcPr>
            <w:tcW w:w="1040" w:type="dxa"/>
            <w:vAlign w:val="bottom"/>
            <w:tcBorders>
              <w:right w:val="single" w:sz="8" w:color="231F20"/>
            </w:tcBorders>
            <w:vMerge w:val="restart"/>
          </w:tcPr>
          <w:p>
            <w:pPr>
              <w:jc w:val="right"/>
              <w:ind w:right="119"/>
              <w:spacing w:after="0"/>
              <w:rPr>
                <w:sz w:val="20"/>
                <w:szCs w:val="20"/>
                <w:color w:val="auto"/>
              </w:rPr>
            </w:pPr>
            <w:r>
              <w:rPr>
                <w:rFonts w:ascii="Arial" w:cs="Arial" w:eastAsia="Arial" w:hAnsi="Arial"/>
                <w:sz w:val="16"/>
                <w:szCs w:val="16"/>
                <w:color w:val="231F20"/>
              </w:rPr>
              <w:t>25.7</w:t>
            </w:r>
          </w:p>
        </w:tc>
        <w:tc>
          <w:tcPr>
            <w:tcW w:w="180" w:type="dxa"/>
            <w:vAlign w:val="bottom"/>
          </w:tcPr>
          <w:p>
            <w:pPr>
              <w:spacing w:after="0"/>
              <w:rPr>
                <w:sz w:val="14"/>
                <w:szCs w:val="14"/>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231F20"/>
              </w:rPr>
              <w:t>66.3</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231F20"/>
              </w:rPr>
              <w:t>(151.5)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Decrease (increase) in accounts receivable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Decrease (increase) in inventories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148.8</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(198.5)</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231F20"/>
              </w:rPr>
              <w:t>(324.3)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Increase (decrease) in accounts payable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101.1</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(161.2)</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137.7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Decrease in other assets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170.0</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14.0</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(Decrease) increase in accrued taxes</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59"/>
              <w:spacing w:after="0"/>
              <w:rPr>
                <w:sz w:val="20"/>
                <w:szCs w:val="20"/>
                <w:color w:val="auto"/>
              </w:rPr>
            </w:pPr>
            <w:r>
              <w:rPr>
                <w:rFonts w:ascii="Arial" w:cs="Arial" w:eastAsia="Arial" w:hAnsi="Arial"/>
                <w:sz w:val="16"/>
                <w:szCs w:val="16"/>
                <w:color w:val="231F20"/>
              </w:rPr>
              <w:t>(17.4)</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(65.5)</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00" w:type="dxa"/>
            <w:vAlign w:val="bottom"/>
            <w:tcBorders>
              <w:bottom w:val="single" w:sz="8" w:color="231F20"/>
              <w:right w:val="single" w:sz="8" w:color="231F20"/>
            </w:tcBorders>
          </w:tcPr>
          <w:p>
            <w:pPr>
              <w:jc w:val="right"/>
              <w:ind w:right="19"/>
              <w:spacing w:after="0" w:line="221" w:lineRule="exact"/>
              <w:rPr>
                <w:sz w:val="20"/>
                <w:szCs w:val="20"/>
                <w:color w:val="auto"/>
              </w:rPr>
            </w:pPr>
            <w:r>
              <w:rPr>
                <w:rFonts w:ascii="Arial" w:cs="Arial" w:eastAsia="Arial" w:hAnsi="Arial"/>
                <w:sz w:val="16"/>
                <w:szCs w:val="16"/>
                <w:color w:val="231F20"/>
              </w:rPr>
              <w:t xml:space="preserve">Decrease in accrued expenses and other liabilities </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right w:val="single" w:sz="8" w:color="231F20"/>
            </w:tcBorders>
          </w:tcPr>
          <w:p>
            <w:pPr>
              <w:jc w:val="right"/>
              <w:ind w:right="59"/>
              <w:spacing w:after="0"/>
              <w:rPr>
                <w:sz w:val="20"/>
                <w:szCs w:val="20"/>
                <w:color w:val="auto"/>
              </w:rPr>
            </w:pPr>
            <w:r>
              <w:rPr>
                <w:rFonts w:ascii="Arial" w:cs="Arial" w:eastAsia="Arial" w:hAnsi="Arial"/>
                <w:sz w:val="16"/>
                <w:szCs w:val="16"/>
                <w:color w:val="231F20"/>
              </w:rPr>
              <w:t>(25.0)</w:t>
            </w:r>
          </w:p>
        </w:tc>
        <w:tc>
          <w:tcPr>
            <w:tcW w:w="18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(129.6)</w:t>
            </w:r>
          </w:p>
        </w:tc>
        <w:tc>
          <w:tcPr>
            <w:tcW w:w="1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(49.5)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bottom w:val="single" w:sz="8" w:color="231F20"/>
              <w:right w:val="single" w:sz="8" w:color="231F20"/>
            </w:tcBorders>
          </w:tcPr>
          <w:p>
            <w:pPr>
              <w:jc w:val="right"/>
              <w:ind w:right="19"/>
              <w:spacing w:after="0" w:line="177" w:lineRule="exact"/>
              <w:rPr>
                <w:sz w:val="20"/>
                <w:szCs w:val="20"/>
                <w:color w:val="auto"/>
              </w:rPr>
            </w:pPr>
            <w:r>
              <w:rPr>
                <w:rFonts w:ascii="Arial" w:cs="Arial" w:eastAsia="Arial" w:hAnsi="Arial"/>
                <w:sz w:val="16"/>
                <w:szCs w:val="16"/>
                <w:b w:val="1"/>
                <w:bCs w:val="1"/>
                <w:color w:val="231F20"/>
              </w:rPr>
              <w:t xml:space="preserve">NET CASH PROVIDED BY OPERATING ACTIVITIES </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right w:val="single" w:sz="8" w:color="231F20"/>
            </w:tcBorders>
          </w:tcPr>
          <w:p>
            <w:pPr>
              <w:jc w:val="right"/>
              <w:ind w:right="119"/>
              <w:spacing w:after="0" w:line="176" w:lineRule="exact"/>
              <w:rPr>
                <w:sz w:val="20"/>
                <w:szCs w:val="20"/>
                <w:color w:val="auto"/>
              </w:rPr>
            </w:pPr>
            <w:r>
              <w:rPr>
                <w:rFonts w:ascii="Arial" w:cs="Arial" w:eastAsia="Arial" w:hAnsi="Arial"/>
                <w:sz w:val="16"/>
                <w:szCs w:val="16"/>
                <w:color w:val="231F20"/>
              </w:rPr>
              <w:t>1,055.8</w:t>
            </w:r>
          </w:p>
        </w:tc>
        <w:tc>
          <w:tcPr>
            <w:tcW w:w="18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566.3</w:t>
            </w:r>
          </w:p>
        </w:tc>
        <w:tc>
          <w:tcPr>
            <w:tcW w:w="1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ind w:right="19"/>
              <w:spacing w:after="0" w:line="176" w:lineRule="exact"/>
              <w:rPr>
                <w:sz w:val="20"/>
                <w:szCs w:val="20"/>
                <w:color w:val="auto"/>
              </w:rPr>
            </w:pPr>
            <w:r>
              <w:rPr>
                <w:rFonts w:ascii="Arial" w:cs="Arial" w:eastAsia="Arial" w:hAnsi="Arial"/>
                <w:sz w:val="16"/>
                <w:szCs w:val="16"/>
                <w:color w:val="231F20"/>
              </w:rPr>
              <w:t>688.7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tcBorders>
              <w:right w:val="single" w:sz="8" w:color="231F20"/>
            </w:tcBorders>
          </w:tcPr>
          <w:p>
            <w:pPr>
              <w:spacing w:after="0" w:line="142" w:lineRule="exact"/>
              <w:rPr>
                <w:sz w:val="20"/>
                <w:szCs w:val="20"/>
                <w:color w:val="auto"/>
              </w:rPr>
            </w:pPr>
            <w:r>
              <w:rPr>
                <w:rFonts w:ascii="Arial" w:cs="Arial" w:eastAsia="Arial" w:hAnsi="Arial"/>
                <w:sz w:val="16"/>
                <w:szCs w:val="16"/>
                <w:b w:val="1"/>
                <w:bCs w:val="1"/>
                <w:color w:val="231F20"/>
              </w:rPr>
              <w:t>INVESTING ACTIVITIES</w:t>
            </w:r>
          </w:p>
        </w:tc>
        <w:tc>
          <w:tcPr>
            <w:tcW w:w="260" w:type="dxa"/>
            <w:vAlign w:val="bottom"/>
          </w:tcPr>
          <w:p>
            <w:pPr>
              <w:spacing w:after="0"/>
              <w:rPr>
                <w:sz w:val="12"/>
                <w:szCs w:val="12"/>
                <w:color w:val="auto"/>
              </w:rPr>
            </w:pPr>
          </w:p>
        </w:tc>
        <w:tc>
          <w:tcPr>
            <w:tcW w:w="1040" w:type="dxa"/>
            <w:vAlign w:val="bottom"/>
            <w:tcBorders>
              <w:right w:val="single" w:sz="8" w:color="231F20"/>
            </w:tcBorders>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Capital expenditures</w:t>
            </w:r>
            <w:r>
              <w:rPr>
                <w:rFonts w:ascii="Arial" w:cs="Arial" w:eastAsia="Arial" w:hAnsi="Arial"/>
                <w:sz w:val="10"/>
                <w:szCs w:val="10"/>
                <w:color w:val="231F20"/>
              </w:rPr>
              <w:t>(a)</w:t>
            </w:r>
            <w:r>
              <w:rPr>
                <w:rFonts w:ascii="Arial" w:cs="Arial" w:eastAsia="Arial" w:hAnsi="Arial"/>
                <w:sz w:val="16"/>
                <w:szCs w:val="16"/>
                <w:color w:val="231F20"/>
              </w:rPr>
              <w:t xml:space="preserve">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59"/>
              <w:spacing w:after="0"/>
              <w:rPr>
                <w:sz w:val="20"/>
                <w:szCs w:val="20"/>
                <w:color w:val="auto"/>
              </w:rPr>
            </w:pPr>
            <w:r>
              <w:rPr>
                <w:rFonts w:ascii="Arial" w:cs="Arial" w:eastAsia="Arial" w:hAnsi="Arial"/>
                <w:sz w:val="16"/>
                <w:szCs w:val="16"/>
                <w:color w:val="231F20"/>
              </w:rPr>
              <w:t>(256.5)</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(246.1)</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231F20"/>
              </w:rPr>
              <w:t>(214.2)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Proceeds from the disposition of assets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2.8</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8.2</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00" w:type="dxa"/>
            <w:vAlign w:val="bottom"/>
            <w:tcBorders>
              <w:bottom w:val="single" w:sz="8" w:color="231F20"/>
              <w:right w:val="single" w:sz="8" w:color="231F20"/>
            </w:tcBorders>
          </w:tcPr>
          <w:p>
            <w:pPr>
              <w:jc w:val="right"/>
              <w:ind w:right="19"/>
              <w:spacing w:after="0" w:line="221" w:lineRule="exact"/>
              <w:rPr>
                <w:sz w:val="20"/>
                <w:szCs w:val="20"/>
                <w:color w:val="auto"/>
              </w:rPr>
            </w:pPr>
            <w:r>
              <w:rPr>
                <w:rFonts w:ascii="Arial" w:cs="Arial" w:eastAsia="Arial" w:hAnsi="Arial"/>
                <w:sz w:val="16"/>
                <w:szCs w:val="16"/>
                <w:color w:val="231F20"/>
              </w:rPr>
              <w:t xml:space="preserve">Cost of acquisitions, net of cash acquired </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right w:val="single" w:sz="8" w:color="231F20"/>
            </w:tcBorders>
          </w:tcPr>
          <w:p>
            <w:pPr>
              <w:jc w:val="right"/>
              <w:ind w:right="59"/>
              <w:spacing w:after="0"/>
              <w:rPr>
                <w:sz w:val="20"/>
                <w:szCs w:val="20"/>
                <w:color w:val="auto"/>
              </w:rPr>
            </w:pPr>
            <w:r>
              <w:rPr>
                <w:rFonts w:ascii="Arial" w:cs="Arial" w:eastAsia="Arial" w:hAnsi="Arial"/>
                <w:sz w:val="16"/>
                <w:szCs w:val="16"/>
                <w:color w:val="231F20"/>
              </w:rPr>
              <w:t>(784.1)</w:t>
            </w:r>
          </w:p>
        </w:tc>
        <w:tc>
          <w:tcPr>
            <w:tcW w:w="18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(217.6)</w:t>
            </w:r>
          </w:p>
        </w:tc>
        <w:tc>
          <w:tcPr>
            <w:tcW w:w="1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bottom w:val="single" w:sz="8" w:color="231F20"/>
              <w:right w:val="single" w:sz="8" w:color="231F20"/>
            </w:tcBorders>
          </w:tcPr>
          <w:p>
            <w:pPr>
              <w:jc w:val="right"/>
              <w:ind w:right="19"/>
              <w:spacing w:after="0" w:line="177" w:lineRule="exact"/>
              <w:rPr>
                <w:sz w:val="20"/>
                <w:szCs w:val="20"/>
                <w:color w:val="auto"/>
              </w:rPr>
            </w:pPr>
            <w:r>
              <w:rPr>
                <w:rFonts w:ascii="Arial" w:cs="Arial" w:eastAsia="Arial" w:hAnsi="Arial"/>
                <w:sz w:val="16"/>
                <w:szCs w:val="16"/>
                <w:b w:val="1"/>
                <w:bCs w:val="1"/>
                <w:color w:val="231F20"/>
                <w:w w:val="99"/>
              </w:rPr>
              <w:t xml:space="preserve">NET CASH USED IN INVESTING ACTIVITIES </w:t>
            </w:r>
            <w:r>
              <w:rPr>
                <w:rFonts w:ascii="Times New Roman" w:cs="Times New Roman" w:eastAsia="Times New Roman" w:hAnsi="Times New Roman"/>
                <w:sz w:val="20"/>
                <w:szCs w:val="20"/>
                <w:color w:val="231F20"/>
                <w:w w:val="99"/>
              </w:rPr>
              <w:t>........................................</w:t>
            </w:r>
          </w:p>
        </w:tc>
        <w:tc>
          <w:tcPr>
            <w:tcW w:w="26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right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(1,037.8)</w:t>
            </w:r>
          </w:p>
        </w:tc>
        <w:tc>
          <w:tcPr>
            <w:tcW w:w="18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19"/>
              <w:spacing w:after="0" w:line="176" w:lineRule="exact"/>
              <w:rPr>
                <w:sz w:val="20"/>
                <w:szCs w:val="20"/>
                <w:color w:val="auto"/>
              </w:rPr>
            </w:pPr>
            <w:r>
              <w:rPr>
                <w:rFonts w:ascii="Arial" w:cs="Arial" w:eastAsia="Arial" w:hAnsi="Arial"/>
                <w:sz w:val="16"/>
                <w:szCs w:val="16"/>
                <w:color w:val="231F20"/>
              </w:rPr>
              <w:t>(455.5)</w:t>
            </w:r>
          </w:p>
        </w:tc>
        <w:tc>
          <w:tcPr>
            <w:tcW w:w="1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(207.1)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tcBorders>
              <w:right w:val="single" w:sz="8" w:color="231F20"/>
            </w:tcBorders>
          </w:tcPr>
          <w:p>
            <w:pPr>
              <w:spacing w:after="0" w:line="142" w:lineRule="exact"/>
              <w:rPr>
                <w:sz w:val="20"/>
                <w:szCs w:val="20"/>
                <w:color w:val="auto"/>
              </w:rPr>
            </w:pPr>
            <w:r>
              <w:rPr>
                <w:rFonts w:ascii="Arial" w:cs="Arial" w:eastAsia="Arial" w:hAnsi="Arial"/>
                <w:sz w:val="16"/>
                <w:szCs w:val="16"/>
                <w:b w:val="1"/>
                <w:bCs w:val="1"/>
                <w:color w:val="231F20"/>
              </w:rPr>
              <w:t>FINANCING ACTIVITIES</w:t>
            </w:r>
          </w:p>
        </w:tc>
        <w:tc>
          <w:tcPr>
            <w:tcW w:w="260" w:type="dxa"/>
            <w:vAlign w:val="bottom"/>
          </w:tcPr>
          <w:p>
            <w:pPr>
              <w:spacing w:after="0"/>
              <w:rPr>
                <w:sz w:val="12"/>
                <w:szCs w:val="12"/>
                <w:color w:val="auto"/>
              </w:rPr>
            </w:pPr>
          </w:p>
        </w:tc>
        <w:tc>
          <w:tcPr>
            <w:tcW w:w="1040" w:type="dxa"/>
            <w:vAlign w:val="bottom"/>
            <w:tcBorders>
              <w:right w:val="single" w:sz="8" w:color="231F20"/>
            </w:tcBorders>
            <w:vMerge w:val="restart"/>
          </w:tcPr>
          <w:p>
            <w:pPr>
              <w:jc w:val="right"/>
              <w:ind w:right="119"/>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2"/>
                <w:szCs w:val="12"/>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231F20"/>
              </w:rPr>
              <w:t>700.0</w:t>
            </w:r>
          </w:p>
        </w:tc>
        <w:tc>
          <w:tcPr>
            <w:tcW w:w="180" w:type="dxa"/>
            <w:vAlign w:val="bottom"/>
          </w:tcPr>
          <w:p>
            <w:pPr>
              <w:spacing w:after="0"/>
              <w:rPr>
                <w:sz w:val="12"/>
                <w:szCs w:val="12"/>
                <w:color w:val="auto"/>
              </w:rPr>
            </w:pP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231F20"/>
              </w:rPr>
              <w:t>400.0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Increase in short-term debt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Repayment of short-term debt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59"/>
              <w:spacing w:after="0"/>
              <w:rPr>
                <w:sz w:val="20"/>
                <w:szCs w:val="20"/>
                <w:color w:val="auto"/>
              </w:rPr>
            </w:pPr>
            <w:r>
              <w:rPr>
                <w:rFonts w:ascii="Arial" w:cs="Arial" w:eastAsia="Arial" w:hAnsi="Arial"/>
                <w:sz w:val="16"/>
                <w:szCs w:val="16"/>
                <w:color w:val="231F20"/>
              </w:rPr>
              <w:t>(600.0)</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(1,100.0)</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Issuance of long-term debt</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1,065.1</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5,975.4</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1,245.0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Repayment of long-term debt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59"/>
              <w:spacing w:after="0"/>
              <w:rPr>
                <w:sz w:val="20"/>
                <w:szCs w:val="20"/>
                <w:color w:val="auto"/>
              </w:rPr>
            </w:pPr>
            <w:r>
              <w:rPr>
                <w:rFonts w:ascii="Arial" w:cs="Arial" w:eastAsia="Arial" w:hAnsi="Arial"/>
                <w:sz w:val="16"/>
                <w:szCs w:val="16"/>
                <w:color w:val="231F20"/>
              </w:rPr>
              <w:t>(470.0)</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(5,612.5)</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231F20"/>
              </w:rPr>
              <w:t>(1,510.0)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Proceeds from the exercise of stock options</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18.0</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1.1</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41.8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Employee withholding taxes paid related to stock-based compensation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59"/>
              <w:spacing w:after="0"/>
              <w:rPr>
                <w:sz w:val="20"/>
                <w:szCs w:val="20"/>
                <w:color w:val="auto"/>
              </w:rPr>
            </w:pPr>
            <w:r>
              <w:rPr>
                <w:rFonts w:ascii="Arial" w:cs="Arial" w:eastAsia="Arial" w:hAnsi="Arial"/>
                <w:sz w:val="16"/>
                <w:szCs w:val="16"/>
                <w:color w:val="231F20"/>
              </w:rPr>
              <w:t>(14.5)</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(27.0)</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231F20"/>
              </w:rPr>
              <w:t>(13.3)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Dividends to stockholders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59"/>
              <w:spacing w:after="0"/>
              <w:rPr>
                <w:sz w:val="20"/>
                <w:szCs w:val="20"/>
                <w:color w:val="auto"/>
              </w:rPr>
            </w:pPr>
            <w:r>
              <w:rPr>
                <w:rFonts w:ascii="Arial" w:cs="Arial" w:eastAsia="Arial" w:hAnsi="Arial"/>
                <w:sz w:val="16"/>
                <w:szCs w:val="16"/>
                <w:color w:val="231F20"/>
              </w:rPr>
              <w:t>(116.8)</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(145.6)</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231F20"/>
              </w:rPr>
              <w:t>(143.0)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Dividends received from MasterBrand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940.0</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Cash retained by Masterbrand at Separation</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(56.3)</w:t>
            </w:r>
          </w:p>
        </w:tc>
        <w:tc>
          <w:tcPr>
            <w:tcW w:w="1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231F20"/>
              </w:rPr>
              <w: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Treasury stock purchases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59"/>
              <w:spacing w:after="0"/>
              <w:rPr>
                <w:sz w:val="20"/>
                <w:szCs w:val="20"/>
                <w:color w:val="auto"/>
              </w:rPr>
            </w:pPr>
            <w:r>
              <w:rPr>
                <w:rFonts w:ascii="Arial" w:cs="Arial" w:eastAsia="Arial" w:hAnsi="Arial"/>
                <w:sz w:val="16"/>
                <w:szCs w:val="16"/>
                <w:color w:val="231F20"/>
              </w:rPr>
              <w:t>(150.0)</w:t>
            </w:r>
          </w:p>
        </w:tc>
        <w:tc>
          <w:tcPr>
            <w:tcW w:w="18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231F20"/>
              </w:rPr>
              <w:t>(580.1)</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231F20"/>
              </w:rPr>
              <w:t>(447.7)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00" w:type="dxa"/>
            <w:vAlign w:val="bottom"/>
            <w:tcBorders>
              <w:bottom w:val="single" w:sz="8" w:color="231F20"/>
              <w:right w:val="single" w:sz="8" w:color="231F20"/>
            </w:tcBorders>
          </w:tcPr>
          <w:p>
            <w:pPr>
              <w:jc w:val="right"/>
              <w:ind w:right="19"/>
              <w:spacing w:after="0" w:line="221" w:lineRule="exact"/>
              <w:rPr>
                <w:sz w:val="20"/>
                <w:szCs w:val="20"/>
                <w:color w:val="auto"/>
              </w:rPr>
            </w:pPr>
            <w:r>
              <w:rPr>
                <w:rFonts w:ascii="Arial" w:cs="Arial" w:eastAsia="Arial" w:hAnsi="Arial"/>
                <w:sz w:val="16"/>
                <w:szCs w:val="16"/>
                <w:color w:val="231F20"/>
              </w:rPr>
              <w:t>Other financing activities, net</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spacing w:after="0"/>
              <w:rPr>
                <w:sz w:val="19"/>
                <w:szCs w:val="19"/>
                <w:color w:val="auto"/>
              </w:rPr>
            </w:pPr>
          </w:p>
        </w:tc>
        <w:tc>
          <w:tcPr>
            <w:tcW w:w="1040" w:type="dxa"/>
            <w:vAlign w:val="bottom"/>
            <w:tcBorders>
              <w:bottom w:val="single" w:sz="8" w:color="231F20"/>
              <w:right w:val="single" w:sz="8" w:color="231F20"/>
            </w:tcBorders>
          </w:tcPr>
          <w:p>
            <w:pPr>
              <w:jc w:val="right"/>
              <w:ind w:right="59"/>
              <w:spacing w:after="0"/>
              <w:rPr>
                <w:sz w:val="20"/>
                <w:szCs w:val="20"/>
                <w:color w:val="auto"/>
              </w:rPr>
            </w:pPr>
            <w:r>
              <w:rPr>
                <w:rFonts w:ascii="Arial" w:cs="Arial" w:eastAsia="Arial" w:hAnsi="Arial"/>
                <w:sz w:val="16"/>
                <w:szCs w:val="16"/>
                <w:color w:val="231F20"/>
              </w:rPr>
              <w:t>(3.1)</w:t>
            </w:r>
          </w:p>
        </w:tc>
        <w:tc>
          <w:tcPr>
            <w:tcW w:w="18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(22.5)</w:t>
            </w:r>
          </w:p>
        </w:tc>
        <w:tc>
          <w:tcPr>
            <w:tcW w:w="180" w:type="dxa"/>
            <w:vAlign w:val="bottom"/>
            <w:tcBorders>
              <w:bottom w:val="single" w:sz="8" w:color="231F20"/>
            </w:tcBorders>
          </w:tcPr>
          <w:p>
            <w:pPr>
              <w:spacing w:after="0"/>
              <w:rPr>
                <w:sz w:val="19"/>
                <w:szCs w:val="19"/>
                <w:color w:val="auto"/>
              </w:rPr>
            </w:pPr>
          </w:p>
        </w:tc>
        <w:tc>
          <w:tcPr>
            <w:tcW w:w="110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bottom w:val="single" w:sz="8" w:color="231F20"/>
              <w:right w:val="single" w:sz="8" w:color="231F20"/>
            </w:tcBorders>
          </w:tcPr>
          <w:p>
            <w:pPr>
              <w:jc w:val="right"/>
              <w:ind w:right="19"/>
              <w:spacing w:after="0" w:line="177" w:lineRule="exact"/>
              <w:rPr>
                <w:sz w:val="20"/>
                <w:szCs w:val="20"/>
                <w:color w:val="auto"/>
              </w:rPr>
            </w:pPr>
            <w:r>
              <w:rPr>
                <w:rFonts w:ascii="Arial" w:cs="Arial" w:eastAsia="Arial" w:hAnsi="Arial"/>
                <w:sz w:val="16"/>
                <w:szCs w:val="16"/>
                <w:b w:val="1"/>
                <w:bCs w:val="1"/>
                <w:color w:val="231F20"/>
              </w:rPr>
              <w:t xml:space="preserve">NET CASH (USED IN) PROVIDED BY FINANCING ACTIVITIES </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right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(271.3)</w:t>
            </w:r>
          </w:p>
        </w:tc>
        <w:tc>
          <w:tcPr>
            <w:tcW w:w="18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72.5</w:t>
            </w:r>
          </w:p>
        </w:tc>
        <w:tc>
          <w:tcPr>
            <w:tcW w:w="1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(428.6)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bottom w:val="single" w:sz="8" w:color="231F20"/>
              <w:right w:val="single" w:sz="8" w:color="231F20"/>
            </w:tcBorders>
          </w:tcPr>
          <w:p>
            <w:pPr>
              <w:jc w:val="right"/>
              <w:ind w:right="19"/>
              <w:spacing w:after="0" w:line="177" w:lineRule="exact"/>
              <w:rPr>
                <w:sz w:val="20"/>
                <w:szCs w:val="20"/>
                <w:color w:val="auto"/>
              </w:rPr>
            </w:pPr>
            <w:r>
              <w:rPr>
                <w:rFonts w:ascii="Arial" w:cs="Arial" w:eastAsia="Arial" w:hAnsi="Arial"/>
                <w:sz w:val="16"/>
                <w:szCs w:val="16"/>
                <w:color w:val="231F20"/>
              </w:rPr>
              <w:t xml:space="preserve">Effect of foreign exchange rate changes on cash </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right w:val="single" w:sz="8" w:color="231F20"/>
            </w:tcBorders>
          </w:tcPr>
          <w:p>
            <w:pPr>
              <w:jc w:val="right"/>
              <w:ind w:right="119"/>
              <w:spacing w:after="0" w:line="176" w:lineRule="exact"/>
              <w:rPr>
                <w:sz w:val="20"/>
                <w:szCs w:val="20"/>
                <w:color w:val="auto"/>
              </w:rPr>
            </w:pPr>
            <w:r>
              <w:rPr>
                <w:rFonts w:ascii="Arial" w:cs="Arial" w:eastAsia="Arial" w:hAnsi="Arial"/>
                <w:sz w:val="16"/>
                <w:szCs w:val="16"/>
                <w:color w:val="231F20"/>
              </w:rPr>
              <w:t>0.5</w:t>
            </w:r>
          </w:p>
        </w:tc>
        <w:tc>
          <w:tcPr>
            <w:tcW w:w="180" w:type="dxa"/>
            <w:vAlign w:val="bottom"/>
            <w:tcBorders>
              <w:bottom w:val="single" w:sz="8" w:color="231F20"/>
            </w:tcBorders>
          </w:tcPr>
          <w:p>
            <w:pPr>
              <w:spacing w:after="0"/>
              <w:rPr>
                <w:sz w:val="15"/>
                <w:szCs w:val="15"/>
                <w:color w:val="auto"/>
              </w:rPr>
            </w:pPr>
          </w:p>
        </w:tc>
        <w:tc>
          <w:tcPr>
            <w:tcW w:w="1160" w:type="dxa"/>
            <w:vAlign w:val="bottom"/>
            <w:tcBorders>
              <w:bottom w:val="single" w:sz="8" w:color="231F20"/>
            </w:tcBorders>
          </w:tcPr>
          <w:p>
            <w:pPr>
              <w:jc w:val="right"/>
              <w:ind w:right="19"/>
              <w:spacing w:after="0" w:line="176" w:lineRule="exact"/>
              <w:rPr>
                <w:sz w:val="20"/>
                <w:szCs w:val="20"/>
                <w:color w:val="auto"/>
              </w:rPr>
            </w:pPr>
            <w:r>
              <w:rPr>
                <w:rFonts w:ascii="Arial" w:cs="Arial" w:eastAsia="Arial" w:hAnsi="Arial"/>
                <w:sz w:val="16"/>
                <w:szCs w:val="16"/>
                <w:color w:val="231F20"/>
              </w:rPr>
              <w:t>(11.1)</w:t>
            </w:r>
          </w:p>
        </w:tc>
        <w:tc>
          <w:tcPr>
            <w:tcW w:w="180" w:type="dxa"/>
            <w:vAlign w:val="bottom"/>
            <w:tcBorders>
              <w:bottom w:val="single" w:sz="8" w:color="231F20"/>
            </w:tcBorders>
          </w:tcPr>
          <w:p>
            <w:pPr>
              <w:spacing w:after="0"/>
              <w:rPr>
                <w:sz w:val="15"/>
                <w:szCs w:val="15"/>
                <w:color w:val="auto"/>
              </w:rPr>
            </w:pPr>
          </w:p>
        </w:tc>
        <w:tc>
          <w:tcPr>
            <w:tcW w:w="110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bottom w:val="single" w:sz="8" w:color="231F20"/>
              <w:right w:val="single" w:sz="8" w:color="231F20"/>
            </w:tcBorders>
          </w:tcPr>
          <w:p>
            <w:pPr>
              <w:jc w:val="right"/>
              <w:ind w:right="19"/>
              <w:spacing w:after="0" w:line="177" w:lineRule="exact"/>
              <w:rPr>
                <w:sz w:val="20"/>
                <w:szCs w:val="20"/>
                <w:color w:val="auto"/>
              </w:rPr>
            </w:pPr>
            <w:r>
              <w:rPr>
                <w:rFonts w:ascii="Arial" w:cs="Arial" w:eastAsia="Arial" w:hAnsi="Arial"/>
                <w:sz w:val="16"/>
                <w:szCs w:val="16"/>
                <w:b w:val="1"/>
                <w:bCs w:val="1"/>
                <w:color w:val="231F20"/>
              </w:rPr>
              <w:t>NET (DECREASE) INCREASE IN CASH AND CASH EQUIVALENTS</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w:t>
            </w:r>
          </w:p>
        </w:tc>
        <w:tc>
          <w:tcPr>
            <w:tcW w:w="1040" w:type="dxa"/>
            <w:vAlign w:val="bottom"/>
            <w:tcBorders>
              <w:bottom w:val="single" w:sz="8" w:color="231F20"/>
              <w:right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(252.8)</w:t>
            </w:r>
          </w:p>
        </w:tc>
        <w:tc>
          <w:tcPr>
            <w:tcW w:w="180" w:type="dxa"/>
            <w:vAlign w:val="bottom"/>
            <w:tcBorders>
              <w:bottom w:val="single" w:sz="8" w:color="231F20"/>
            </w:tcBorders>
          </w:tcPr>
          <w:p>
            <w:pPr>
              <w:ind w:left="80"/>
              <w:spacing w:after="0" w:line="176" w:lineRule="exact"/>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172.2</w:t>
            </w:r>
          </w:p>
        </w:tc>
        <w:tc>
          <w:tcPr>
            <w:tcW w:w="1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w:t>
            </w:r>
          </w:p>
        </w:tc>
        <w:tc>
          <w:tcPr>
            <w:tcW w:w="1100" w:type="dxa"/>
            <w:vAlign w:val="bottom"/>
            <w:tcBorders>
              <w:bottom w:val="single" w:sz="8" w:color="231F20"/>
            </w:tcBorders>
          </w:tcPr>
          <w:p>
            <w:pPr>
              <w:jc w:val="right"/>
              <w:ind w:right="19"/>
              <w:spacing w:after="0" w:line="176" w:lineRule="exact"/>
              <w:rPr>
                <w:sz w:val="20"/>
                <w:szCs w:val="20"/>
                <w:color w:val="auto"/>
              </w:rPr>
            </w:pPr>
            <w:r>
              <w:rPr>
                <w:rFonts w:ascii="Arial" w:cs="Arial" w:eastAsia="Arial" w:hAnsi="Arial"/>
                <w:sz w:val="16"/>
                <w:szCs w:val="16"/>
                <w:color w:val="231F20"/>
              </w:rPr>
              <w:t>51.1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5500" w:type="dxa"/>
            <w:vAlign w:val="bottom"/>
            <w:tcBorders>
              <w:bottom w:val="single" w:sz="8" w:color="231F20"/>
              <w:right w:val="single" w:sz="8" w:color="231F20"/>
            </w:tcBorders>
          </w:tcPr>
          <w:p>
            <w:pPr>
              <w:jc w:val="right"/>
              <w:ind w:right="19"/>
              <w:spacing w:after="0" w:line="177" w:lineRule="exact"/>
              <w:rPr>
                <w:sz w:val="20"/>
                <w:szCs w:val="20"/>
                <w:color w:val="auto"/>
              </w:rPr>
            </w:pPr>
            <w:r>
              <w:rPr>
                <w:rFonts w:ascii="Arial" w:cs="Arial" w:eastAsia="Arial" w:hAnsi="Arial"/>
                <w:sz w:val="16"/>
                <w:szCs w:val="16"/>
                <w:color w:val="231F20"/>
              </w:rPr>
              <w:t>Cash, cash equivalents and restricted cash</w:t>
            </w:r>
            <w:r>
              <w:rPr>
                <w:rFonts w:ascii="Arial" w:cs="Arial" w:eastAsia="Arial" w:hAnsi="Arial"/>
                <w:sz w:val="10"/>
                <w:szCs w:val="10"/>
                <w:color w:val="231F20"/>
              </w:rPr>
              <w:t>(b)</w:t>
            </w:r>
            <w:r>
              <w:rPr>
                <w:rFonts w:ascii="Arial" w:cs="Arial" w:eastAsia="Arial" w:hAnsi="Arial"/>
                <w:sz w:val="16"/>
                <w:szCs w:val="16"/>
                <w:color w:val="231F20"/>
              </w:rPr>
              <w:t xml:space="preserve"> at beginning of year </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w:t>
            </w:r>
          </w:p>
        </w:tc>
        <w:tc>
          <w:tcPr>
            <w:tcW w:w="1040" w:type="dxa"/>
            <w:vAlign w:val="bottom"/>
            <w:tcBorders>
              <w:bottom w:val="single" w:sz="8" w:color="231F20"/>
              <w:right w:val="single" w:sz="8" w:color="231F20"/>
            </w:tcBorders>
          </w:tcPr>
          <w:p>
            <w:pPr>
              <w:jc w:val="right"/>
              <w:ind w:right="119"/>
              <w:spacing w:after="0" w:line="176" w:lineRule="exact"/>
              <w:rPr>
                <w:sz w:val="20"/>
                <w:szCs w:val="20"/>
                <w:color w:val="auto"/>
              </w:rPr>
            </w:pPr>
            <w:r>
              <w:rPr>
                <w:rFonts w:ascii="Arial" w:cs="Arial" w:eastAsia="Arial" w:hAnsi="Arial"/>
                <w:sz w:val="16"/>
                <w:szCs w:val="16"/>
                <w:color w:val="231F20"/>
              </w:rPr>
              <w:t>648.3</w:t>
            </w:r>
          </w:p>
        </w:tc>
        <w:tc>
          <w:tcPr>
            <w:tcW w:w="180" w:type="dxa"/>
            <w:vAlign w:val="bottom"/>
            <w:tcBorders>
              <w:bottom w:val="single" w:sz="8" w:color="231F20"/>
            </w:tcBorders>
          </w:tcPr>
          <w:p>
            <w:pPr>
              <w:ind w:left="80"/>
              <w:spacing w:after="0" w:line="176" w:lineRule="exact"/>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476.1</w:t>
            </w:r>
          </w:p>
        </w:tc>
        <w:tc>
          <w:tcPr>
            <w:tcW w:w="1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w:t>
            </w:r>
          </w:p>
        </w:tc>
        <w:tc>
          <w:tcPr>
            <w:tcW w:w="1100" w:type="dxa"/>
            <w:vAlign w:val="bottom"/>
            <w:tcBorders>
              <w:bottom w:val="single" w:sz="8" w:color="231F20"/>
            </w:tcBorders>
          </w:tcPr>
          <w:p>
            <w:pPr>
              <w:jc w:val="right"/>
              <w:ind w:right="19"/>
              <w:spacing w:after="0" w:line="176" w:lineRule="exact"/>
              <w:rPr>
                <w:sz w:val="20"/>
                <w:szCs w:val="20"/>
                <w:color w:val="auto"/>
              </w:rPr>
            </w:pPr>
            <w:r>
              <w:rPr>
                <w:rFonts w:ascii="Arial" w:cs="Arial" w:eastAsia="Arial" w:hAnsi="Arial"/>
                <w:sz w:val="16"/>
                <w:szCs w:val="16"/>
                <w:color w:val="231F20"/>
              </w:rPr>
              <w:t>425.0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5520" w:type="dxa"/>
            <w:vAlign w:val="bottom"/>
            <w:tcBorders>
              <w:bottom w:val="single" w:sz="8" w:color="231F20"/>
              <w:right w:val="single" w:sz="8" w:color="231F20"/>
            </w:tcBorders>
            <w:gridSpan w:val="2"/>
          </w:tcPr>
          <w:p>
            <w:pPr>
              <w:spacing w:after="0" w:line="177" w:lineRule="exact"/>
              <w:rPr>
                <w:sz w:val="20"/>
                <w:szCs w:val="20"/>
                <w:color w:val="auto"/>
              </w:rPr>
            </w:pPr>
            <w:r>
              <w:rPr>
                <w:rFonts w:ascii="Arial" w:cs="Arial" w:eastAsia="Arial" w:hAnsi="Arial"/>
                <w:sz w:val="16"/>
                <w:szCs w:val="16"/>
                <w:color w:val="231F20"/>
              </w:rPr>
              <w:t>Cash, cash equivalents and restricted cash</w:t>
            </w:r>
            <w:r>
              <w:rPr>
                <w:rFonts w:ascii="Arial" w:cs="Arial" w:eastAsia="Arial" w:hAnsi="Arial"/>
                <w:sz w:val="10"/>
                <w:szCs w:val="10"/>
                <w:color w:val="231F20"/>
              </w:rPr>
              <w:t>(b)</w:t>
            </w:r>
            <w:r>
              <w:rPr>
                <w:rFonts w:ascii="Arial" w:cs="Arial" w:eastAsia="Arial" w:hAnsi="Arial"/>
                <w:sz w:val="16"/>
                <w:szCs w:val="16"/>
                <w:color w:val="231F20"/>
              </w:rPr>
              <w:t xml:space="preserve"> at end of year</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w:t>
            </w:r>
          </w:p>
        </w:tc>
        <w:tc>
          <w:tcPr>
            <w:tcW w:w="1040" w:type="dxa"/>
            <w:vAlign w:val="bottom"/>
            <w:tcBorders>
              <w:bottom w:val="single" w:sz="8" w:color="231F20"/>
              <w:right w:val="single" w:sz="8" w:color="231F20"/>
            </w:tcBorders>
          </w:tcPr>
          <w:p>
            <w:pPr>
              <w:jc w:val="right"/>
              <w:ind w:right="119"/>
              <w:spacing w:after="0" w:line="176" w:lineRule="exact"/>
              <w:rPr>
                <w:sz w:val="20"/>
                <w:szCs w:val="20"/>
                <w:color w:val="auto"/>
              </w:rPr>
            </w:pPr>
            <w:r>
              <w:rPr>
                <w:rFonts w:ascii="Arial" w:cs="Arial" w:eastAsia="Arial" w:hAnsi="Arial"/>
                <w:sz w:val="16"/>
                <w:szCs w:val="16"/>
                <w:color w:val="231F20"/>
              </w:rPr>
              <w:t>395.5</w:t>
            </w:r>
          </w:p>
        </w:tc>
        <w:tc>
          <w:tcPr>
            <w:tcW w:w="180" w:type="dxa"/>
            <w:vAlign w:val="bottom"/>
            <w:tcBorders>
              <w:bottom w:val="single" w:sz="8" w:color="231F20"/>
            </w:tcBorders>
          </w:tcPr>
          <w:p>
            <w:pPr>
              <w:ind w:left="80"/>
              <w:spacing w:after="0" w:line="176" w:lineRule="exact"/>
              <w:rPr>
                <w:sz w:val="20"/>
                <w:szCs w:val="20"/>
                <w:color w:val="auto"/>
              </w:rPr>
            </w:pPr>
            <w:r>
              <w:rPr>
                <w:rFonts w:ascii="Arial" w:cs="Arial" w:eastAsia="Arial" w:hAnsi="Arial"/>
                <w:sz w:val="16"/>
                <w:szCs w:val="16"/>
                <w:color w:val="231F20"/>
                <w:w w:val="89"/>
              </w:rPr>
              <w:t>$</w:t>
            </w:r>
          </w:p>
        </w:tc>
        <w:tc>
          <w:tcPr>
            <w:tcW w:w="1160" w:type="dxa"/>
            <w:vAlign w:val="bottom"/>
            <w:tcBorders>
              <w:bottom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648.3</w:t>
            </w:r>
          </w:p>
        </w:tc>
        <w:tc>
          <w:tcPr>
            <w:tcW w:w="1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w:t>
            </w:r>
          </w:p>
        </w:tc>
        <w:tc>
          <w:tcPr>
            <w:tcW w:w="1100" w:type="dxa"/>
            <w:vAlign w:val="bottom"/>
            <w:tcBorders>
              <w:bottom w:val="single" w:sz="8" w:color="231F20"/>
            </w:tcBorders>
          </w:tcPr>
          <w:p>
            <w:pPr>
              <w:jc w:val="right"/>
              <w:ind w:right="19"/>
              <w:spacing w:after="0" w:line="176" w:lineRule="exact"/>
              <w:rPr>
                <w:sz w:val="20"/>
                <w:szCs w:val="20"/>
                <w:color w:val="auto"/>
              </w:rPr>
            </w:pPr>
            <w:r>
              <w:rPr>
                <w:rFonts w:ascii="Arial" w:cs="Arial" w:eastAsia="Arial" w:hAnsi="Arial"/>
                <w:sz w:val="16"/>
                <w:szCs w:val="16"/>
                <w:color w:val="231F20"/>
              </w:rPr>
              <w:t>476.1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520" w:type="dxa"/>
            <w:vAlign w:val="bottom"/>
            <w:tcBorders>
              <w:right w:val="single" w:sz="8" w:color="231F20"/>
            </w:tcBorders>
            <w:gridSpan w:val="2"/>
          </w:tcPr>
          <w:p>
            <w:pPr>
              <w:spacing w:after="0" w:line="152" w:lineRule="exact"/>
              <w:rPr>
                <w:sz w:val="20"/>
                <w:szCs w:val="20"/>
                <w:color w:val="auto"/>
              </w:rPr>
            </w:pPr>
            <w:r>
              <w:rPr>
                <w:rFonts w:ascii="Arial" w:cs="Arial" w:eastAsia="Arial" w:hAnsi="Arial"/>
                <w:sz w:val="16"/>
                <w:szCs w:val="16"/>
                <w:color w:val="231F20"/>
              </w:rPr>
              <w:t>Cash paid during the year for</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1040" w:type="dxa"/>
            <w:vAlign w:val="bottom"/>
            <w:tcBorders>
              <w:right w:val="single" w:sz="8" w:color="231F20"/>
            </w:tcBorders>
            <w:vMerge w:val="restart"/>
          </w:tcPr>
          <w:p>
            <w:pPr>
              <w:jc w:val="right"/>
              <w:ind w:right="119"/>
              <w:spacing w:after="0"/>
              <w:rPr>
                <w:sz w:val="20"/>
                <w:szCs w:val="20"/>
                <w:color w:val="auto"/>
              </w:rPr>
            </w:pPr>
            <w:r>
              <w:rPr>
                <w:rFonts w:ascii="Arial" w:cs="Arial" w:eastAsia="Arial" w:hAnsi="Arial"/>
                <w:sz w:val="16"/>
                <w:szCs w:val="16"/>
                <w:color w:val="231F20"/>
              </w:rPr>
              <w:t>121.4</w:t>
            </w:r>
          </w:p>
        </w:tc>
        <w:tc>
          <w:tcPr>
            <w:tcW w:w="180" w:type="dxa"/>
            <w:vAlign w:val="bottom"/>
            <w:vMerge w:val="restart"/>
          </w:tcPr>
          <w:p>
            <w:pPr>
              <w:ind w:left="80"/>
              <w:spacing w:after="0"/>
              <w:rPr>
                <w:sz w:val="20"/>
                <w:szCs w:val="20"/>
                <w:color w:val="auto"/>
              </w:rPr>
            </w:pPr>
            <w:r>
              <w:rPr>
                <w:rFonts w:ascii="Arial" w:cs="Arial" w:eastAsia="Arial" w:hAnsi="Arial"/>
                <w:sz w:val="16"/>
                <w:szCs w:val="16"/>
                <w:color w:val="231F20"/>
                <w:w w:val="89"/>
              </w:rPr>
              <w:t>$</w:t>
            </w: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color w:val="231F20"/>
              </w:rPr>
              <w:t>102.9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color w:val="231F20"/>
              </w:rPr>
              <w:t>76.8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Interest </w:t>
            </w:r>
            <w:r>
              <w:rPr>
                <w:rFonts w:ascii="Times New Roman" w:cs="Times New Roman" w:eastAsia="Times New Roman" w:hAnsi="Times New Roman"/>
                <w:sz w:val="20"/>
                <w:szCs w:val="20"/>
                <w:color w:val="231F20"/>
              </w:rPr>
              <w:t>............................................................................................</w:t>
            </w:r>
          </w:p>
        </w:tc>
        <w:tc>
          <w:tcPr>
            <w:tcW w:w="260" w:type="dxa"/>
            <w:vAlign w:val="bottom"/>
            <w:vMerge w:val="continue"/>
          </w:tcPr>
          <w:p>
            <w:pPr>
              <w:spacing w:after="0"/>
              <w:rPr>
                <w:sz w:val="16"/>
                <w:szCs w:val="16"/>
                <w:color w:val="auto"/>
              </w:rPr>
            </w:pPr>
          </w:p>
        </w:tc>
        <w:tc>
          <w:tcPr>
            <w:tcW w:w="1040" w:type="dxa"/>
            <w:vAlign w:val="bottom"/>
            <w:tcBorders>
              <w:right w:val="single" w:sz="8" w:color="231F20"/>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tcBorders>
              <w:right w:val="single" w:sz="8" w:color="231F20"/>
            </w:tcBorders>
          </w:tcPr>
          <w:p>
            <w:pPr>
              <w:jc w:val="right"/>
              <w:ind w:right="19"/>
              <w:spacing w:after="0" w:line="186" w:lineRule="exact"/>
              <w:rPr>
                <w:sz w:val="20"/>
                <w:szCs w:val="20"/>
                <w:color w:val="auto"/>
              </w:rPr>
            </w:pPr>
            <w:r>
              <w:rPr>
                <w:rFonts w:ascii="Arial" w:cs="Arial" w:eastAsia="Arial" w:hAnsi="Arial"/>
                <w:sz w:val="16"/>
                <w:szCs w:val="16"/>
                <w:color w:val="231F20"/>
              </w:rPr>
              <w:t xml:space="preserve">Income taxes paid directly to taxing authorities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1040" w:type="dxa"/>
            <w:vAlign w:val="bottom"/>
            <w:tcBorders>
              <w:right w:val="single" w:sz="8" w:color="231F20"/>
            </w:tcBorders>
          </w:tcPr>
          <w:p>
            <w:pPr>
              <w:jc w:val="right"/>
              <w:ind w:right="119"/>
              <w:spacing w:after="0"/>
              <w:rPr>
                <w:sz w:val="20"/>
                <w:szCs w:val="20"/>
                <w:color w:val="auto"/>
              </w:rPr>
            </w:pPr>
            <w:r>
              <w:rPr>
                <w:rFonts w:ascii="Arial" w:cs="Arial" w:eastAsia="Arial" w:hAnsi="Arial"/>
                <w:sz w:val="16"/>
                <w:szCs w:val="16"/>
                <w:color w:val="231F20"/>
              </w:rPr>
              <w:t>120.3</w:t>
            </w:r>
          </w:p>
        </w:tc>
        <w:tc>
          <w:tcPr>
            <w:tcW w:w="18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231F20"/>
              </w:rPr>
              <w:t>278.3</w:t>
            </w: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228.8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00" w:type="dxa"/>
            <w:vAlign w:val="bottom"/>
            <w:tcBorders>
              <w:bottom w:val="single" w:sz="8" w:color="231F20"/>
              <w:right w:val="single" w:sz="8" w:color="231F20"/>
            </w:tcBorders>
          </w:tcPr>
          <w:p>
            <w:pPr>
              <w:jc w:val="right"/>
              <w:ind w:right="19"/>
              <w:spacing w:after="0" w:line="221" w:lineRule="exact"/>
              <w:rPr>
                <w:sz w:val="20"/>
                <w:szCs w:val="20"/>
                <w:color w:val="auto"/>
              </w:rPr>
            </w:pPr>
            <w:r>
              <w:rPr>
                <w:rFonts w:ascii="Arial" w:cs="Arial" w:eastAsia="Arial" w:hAnsi="Arial"/>
                <w:sz w:val="16"/>
                <w:szCs w:val="16"/>
                <w:color w:val="231F20"/>
                <w:w w:val="99"/>
              </w:rPr>
              <w:t xml:space="preserve">Dividends declared but not paid </w:t>
            </w:r>
            <w:r>
              <w:rPr>
                <w:rFonts w:ascii="Times New Roman" w:cs="Times New Roman" w:eastAsia="Times New Roman" w:hAnsi="Times New Roman"/>
                <w:sz w:val="20"/>
                <w:szCs w:val="20"/>
                <w:color w:val="231F20"/>
                <w:w w:val="99"/>
              </w:rPr>
              <w:t>..............................................................</w:t>
            </w:r>
          </w:p>
        </w:tc>
        <w:tc>
          <w:tcPr>
            <w:tcW w:w="26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right w:val="single" w:sz="8" w:color="231F20"/>
            </w:tcBorders>
          </w:tcPr>
          <w:p>
            <w:pPr>
              <w:jc w:val="right"/>
              <w:ind w:right="119"/>
              <w:spacing w:after="0"/>
              <w:rPr>
                <w:sz w:val="20"/>
                <w:szCs w:val="20"/>
                <w:color w:val="auto"/>
              </w:rPr>
            </w:pPr>
            <w:r>
              <w:rPr>
                <w:rFonts w:ascii="Arial" w:cs="Arial" w:eastAsia="Arial" w:hAnsi="Arial"/>
                <w:sz w:val="16"/>
                <w:szCs w:val="16"/>
                <w:color w:val="231F20"/>
              </w:rPr>
              <w:t>30.3</w:t>
            </w:r>
          </w:p>
        </w:tc>
        <w:tc>
          <w:tcPr>
            <w:tcW w:w="18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ind w:right="59"/>
              <w:spacing w:after="0"/>
              <w:rPr>
                <w:sz w:val="20"/>
                <w:szCs w:val="20"/>
                <w:color w:val="auto"/>
              </w:rPr>
            </w:pPr>
            <w:r>
              <w:rPr>
                <w:rFonts w:ascii="Arial" w:cs="Arial" w:eastAsia="Arial" w:hAnsi="Arial"/>
                <w:sz w:val="16"/>
                <w:szCs w:val="16"/>
                <w:color w:val="231F20"/>
              </w:rPr>
              <w:t>29.4</w:t>
            </w:r>
          </w:p>
        </w:tc>
        <w:tc>
          <w:tcPr>
            <w:tcW w:w="180" w:type="dxa"/>
            <w:vAlign w:val="bottom"/>
            <w:tcBorders>
              <w:bottom w:val="single" w:sz="8" w:color="231F20"/>
            </w:tcBorders>
          </w:tcPr>
          <w:p>
            <w:pPr>
              <w:spacing w:after="0"/>
              <w:rPr>
                <w:sz w:val="21"/>
                <w:szCs w:val="21"/>
                <w:color w:val="auto"/>
              </w:rPr>
            </w:pPr>
          </w:p>
        </w:tc>
        <w:tc>
          <w:tcPr>
            <w:tcW w:w="11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37.8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380" w:hanging="314"/>
        <w:spacing w:after="0" w:line="279" w:lineRule="auto"/>
        <w:tabs>
          <w:tab w:leader="none" w:pos="340" w:val="left"/>
        </w:tabs>
        <w:numPr>
          <w:ilvl w:val="0"/>
          <w:numId w:val="21"/>
        </w:numPr>
        <w:rPr>
          <w:rFonts w:ascii="Arial" w:cs="Arial" w:eastAsia="Arial" w:hAnsi="Arial"/>
          <w:sz w:val="10"/>
          <w:szCs w:val="10"/>
          <w:i w:val="1"/>
          <w:iCs w:val="1"/>
          <w:color w:val="231F20"/>
        </w:rPr>
      </w:pPr>
      <w:r>
        <w:rPr>
          <w:rFonts w:ascii="Arial" w:cs="Arial" w:eastAsia="Arial" w:hAnsi="Arial"/>
          <w:sz w:val="16"/>
          <w:szCs w:val="16"/>
          <w:i w:val="1"/>
          <w:iCs w:val="1"/>
          <w:color w:val="231F20"/>
        </w:rPr>
        <w:t>Capital expenditures of $34.1 million, $14.2 million and $19.6 million that have not been paid as of December 30, 2023, December 31, 2022 and December 31, 2021, respectively, were excluded from the Consolidated Statement of Cash Flows.</w:t>
      </w:r>
    </w:p>
    <w:p>
      <w:pPr>
        <w:spacing w:after="0" w:line="65" w:lineRule="exact"/>
        <w:rPr>
          <w:rFonts w:ascii="Arial" w:cs="Arial" w:eastAsia="Arial" w:hAnsi="Arial"/>
          <w:sz w:val="10"/>
          <w:szCs w:val="10"/>
          <w:i w:val="1"/>
          <w:iCs w:val="1"/>
          <w:color w:val="231F20"/>
        </w:rPr>
      </w:pPr>
    </w:p>
    <w:p>
      <w:pPr>
        <w:ind w:left="340" w:right="260" w:hanging="314"/>
        <w:spacing w:after="0" w:line="255" w:lineRule="auto"/>
        <w:tabs>
          <w:tab w:leader="none" w:pos="340" w:val="left"/>
        </w:tabs>
        <w:numPr>
          <w:ilvl w:val="0"/>
          <w:numId w:val="21"/>
        </w:numPr>
        <w:rPr>
          <w:rFonts w:ascii="Arial" w:cs="Arial" w:eastAsia="Arial" w:hAnsi="Arial"/>
          <w:sz w:val="10"/>
          <w:szCs w:val="10"/>
          <w:i w:val="1"/>
          <w:iCs w:val="1"/>
          <w:color w:val="231F20"/>
        </w:rPr>
      </w:pPr>
      <w:r>
        <w:rPr>
          <w:rFonts w:ascii="Arial" w:cs="Arial" w:eastAsia="Arial" w:hAnsi="Arial"/>
          <w:sz w:val="16"/>
          <w:szCs w:val="16"/>
          <w:i w:val="1"/>
          <w:iCs w:val="1"/>
          <w:color w:val="231F20"/>
        </w:rPr>
        <w:t>Restricted cash of $26.9 million and $2.2 million is included in Other current assets and Other assets, respectively, as of December 30, 2023, $2.1 million and $3.7 million is included in Other current assets and Other assets, respectively, as of December 31, 2022 and $1.3 million and $3.3 million is included in Other current assets and Other assets, respectively, as of December 31, 2021 within our Consolidated Balance Sheet.</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231F20"/>
        </w:rPr>
        <w:t>The Consolidated Statements of Cash Flows presented above include cash flows from continuing and discontinued operations.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231F20"/>
        </w:rPr>
        <w:t>Refer to Note 5, Discontinued Operations, for additional details.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231F20"/>
        </w:rPr>
        <w:t>See Notes to Consolidated Financial Statements.</w:t>
      </w:r>
    </w:p>
    <w:p>
      <w:pPr>
        <w:sectPr>
          <w:pgSz w:w="12240" w:h="15840" w:orient="portrait"/>
          <w:cols w:equalWidth="0" w:num="1">
            <w:col w:w="9520"/>
          </w:cols>
          <w:pgMar w:left="1360" w:top="1440" w:right="1360" w:bottom="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51</w:t>
      </w:r>
    </w:p>
    <w:p>
      <w:pPr>
        <w:sectPr>
          <w:pgSz w:w="12240" w:h="15840" w:orient="portrait"/>
          <w:cols w:equalWidth="0" w:num="1">
            <w:col w:w="9520"/>
          </w:cols>
          <w:pgMar w:left="1360" w:top="1440" w:right="1360" w:bottom="95" w:gutter="0" w:footer="0" w:header="0"/>
          <w:type w:val="continuous"/>
        </w:sectPr>
      </w:pPr>
    </w:p>
    <w:bookmarkStart w:id="59" w:name="page60"/>
    <w:bookmarkEnd w:id="59"/>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3360" w:type="dxa"/>
            <w:vAlign w:val="bottom"/>
            <w:gridSpan w:val="3"/>
          </w:tcPr>
          <w:p>
            <w:pPr>
              <w:spacing w:after="0"/>
              <w:rPr>
                <w:sz w:val="20"/>
                <w:szCs w:val="20"/>
                <w:color w:val="auto"/>
              </w:rPr>
            </w:pPr>
            <w:r>
              <w:rPr>
                <w:rFonts w:ascii="Arial" w:cs="Arial" w:eastAsia="Arial" w:hAnsi="Arial"/>
                <w:sz w:val="20"/>
                <w:szCs w:val="20"/>
                <w:b w:val="1"/>
                <w:bCs w:val="1"/>
                <w:color w:val="231F20"/>
              </w:rPr>
              <w:t>Consolidated Statements of Equity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8"/>
          </w:tcPr>
          <w:p>
            <w:pPr>
              <w:jc w:val="center"/>
              <w:ind w:left="479"/>
              <w:spacing w:after="0"/>
              <w:rPr>
                <w:sz w:val="20"/>
                <w:szCs w:val="20"/>
                <w:color w:val="auto"/>
              </w:rPr>
            </w:pPr>
            <w:r>
              <w:rPr>
                <w:rFonts w:ascii="Arial" w:cs="Arial" w:eastAsia="Arial" w:hAnsi="Arial"/>
                <w:sz w:val="16"/>
                <w:szCs w:val="16"/>
                <w:color w:val="231F20"/>
              </w:rPr>
              <w:t>Fortune Brands Innovations, Inc. and Subsidiaries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tcBorders>
              <w:bottom w:val="single" w:sz="8" w:color="231F20"/>
            </w:tcBorders>
          </w:tcPr>
          <w:p>
            <w:pPr>
              <w:spacing w:after="0"/>
              <w:rPr>
                <w:sz w:val="15"/>
                <w:szCs w:val="15"/>
                <w:color w:val="auto"/>
              </w:rPr>
            </w:pPr>
          </w:p>
        </w:tc>
        <w:tc>
          <w:tcPr>
            <w:tcW w:w="260" w:type="dxa"/>
            <w:vAlign w:val="bottom"/>
            <w:tcBorders>
              <w:bottom w:val="single" w:sz="8" w:color="231F20"/>
            </w:tcBorders>
          </w:tcPr>
          <w:p>
            <w:pPr>
              <w:spacing w:after="0"/>
              <w:rPr>
                <w:sz w:val="15"/>
                <w:szCs w:val="15"/>
                <w:color w:val="auto"/>
              </w:rPr>
            </w:pPr>
          </w:p>
        </w:tc>
        <w:tc>
          <w:tcPr>
            <w:tcW w:w="720" w:type="dxa"/>
            <w:vAlign w:val="bottom"/>
            <w:tcBorders>
              <w:bottom w:val="single" w:sz="8" w:color="231F20"/>
            </w:tcBorders>
          </w:tcPr>
          <w:p>
            <w:pPr>
              <w:spacing w:after="0"/>
              <w:rPr>
                <w:sz w:val="15"/>
                <w:szCs w:val="15"/>
                <w:color w:val="auto"/>
              </w:rPr>
            </w:pPr>
          </w:p>
        </w:tc>
        <w:tc>
          <w:tcPr>
            <w:tcW w:w="28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1320" w:type="dxa"/>
            <w:vAlign w:val="bottom"/>
            <w:tcBorders>
              <w:bottom w:val="single" w:sz="8" w:color="231F20"/>
            </w:tcBorders>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780" w:type="dxa"/>
            <w:vAlign w:val="bottom"/>
            <w:tcBorders>
              <w:bottom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740" w:type="dxa"/>
            <w:vAlign w:val="bottom"/>
            <w:tcBorders>
              <w:bottom w:val="single" w:sz="8" w:color="231F20"/>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line="161" w:lineRule="exact"/>
              <w:rPr>
                <w:sz w:val="20"/>
                <w:szCs w:val="20"/>
                <w:color w:val="auto"/>
              </w:rPr>
            </w:pPr>
            <w:r>
              <w:rPr>
                <w:rFonts w:ascii="Arial" w:cs="Arial" w:eastAsia="Arial" w:hAnsi="Arial"/>
                <w:sz w:val="16"/>
                <w:szCs w:val="16"/>
                <w:color w:val="231F20"/>
              </w:rPr>
              <w:t>Accumulated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Other</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line="167" w:lineRule="exact"/>
              <w:rPr>
                <w:sz w:val="20"/>
                <w:szCs w:val="20"/>
                <w:color w:val="auto"/>
              </w:rPr>
            </w:pPr>
            <w:r>
              <w:rPr>
                <w:rFonts w:ascii="Arial" w:cs="Arial" w:eastAsia="Arial" w:hAnsi="Arial"/>
                <w:sz w:val="16"/>
                <w:szCs w:val="16"/>
                <w:color w:val="231F20"/>
              </w:rPr>
              <w:t>Common</w:t>
            </w:r>
          </w:p>
        </w:tc>
        <w:tc>
          <w:tcPr>
            <w:tcW w:w="280" w:type="dxa"/>
            <w:vAlign w:val="bottom"/>
          </w:tcPr>
          <w:p>
            <w:pPr>
              <w:spacing w:after="0"/>
              <w:rPr>
                <w:sz w:val="14"/>
                <w:szCs w:val="14"/>
                <w:color w:val="auto"/>
              </w:rPr>
            </w:pPr>
          </w:p>
        </w:tc>
        <w:tc>
          <w:tcPr>
            <w:tcW w:w="740" w:type="dxa"/>
            <w:vAlign w:val="bottom"/>
          </w:tcPr>
          <w:p>
            <w:pPr>
              <w:jc w:val="right"/>
              <w:spacing w:after="0" w:line="167" w:lineRule="exact"/>
              <w:rPr>
                <w:sz w:val="20"/>
                <w:szCs w:val="20"/>
                <w:color w:val="auto"/>
              </w:rPr>
            </w:pPr>
            <w:r>
              <w:rPr>
                <w:rFonts w:ascii="Arial" w:cs="Arial" w:eastAsia="Arial" w:hAnsi="Arial"/>
                <w:sz w:val="16"/>
                <w:szCs w:val="16"/>
                <w:color w:val="231F20"/>
              </w:rPr>
              <w:t>Paid-In</w:t>
            </w:r>
          </w:p>
        </w:tc>
        <w:tc>
          <w:tcPr>
            <w:tcW w:w="240" w:type="dxa"/>
            <w:vAlign w:val="bottom"/>
          </w:tcPr>
          <w:p>
            <w:pPr>
              <w:spacing w:after="0"/>
              <w:rPr>
                <w:sz w:val="14"/>
                <w:szCs w:val="14"/>
                <w:color w:val="auto"/>
              </w:rPr>
            </w:pPr>
          </w:p>
        </w:tc>
        <w:tc>
          <w:tcPr>
            <w:tcW w:w="1320" w:type="dxa"/>
            <w:vAlign w:val="bottom"/>
          </w:tcPr>
          <w:p>
            <w:pPr>
              <w:jc w:val="right"/>
              <w:spacing w:after="0" w:line="167" w:lineRule="exact"/>
              <w:rPr>
                <w:sz w:val="20"/>
                <w:szCs w:val="20"/>
                <w:color w:val="auto"/>
              </w:rPr>
            </w:pPr>
            <w:r>
              <w:rPr>
                <w:rFonts w:ascii="Arial" w:cs="Arial" w:eastAsia="Arial" w:hAnsi="Arial"/>
                <w:sz w:val="16"/>
                <w:szCs w:val="16"/>
                <w:color w:val="231F20"/>
              </w:rPr>
              <w:t>Comprehensive</w:t>
            </w:r>
          </w:p>
        </w:tc>
        <w:tc>
          <w:tcPr>
            <w:tcW w:w="160" w:type="dxa"/>
            <w:vAlign w:val="bottom"/>
          </w:tcPr>
          <w:p>
            <w:pPr>
              <w:spacing w:after="0"/>
              <w:rPr>
                <w:sz w:val="14"/>
                <w:szCs w:val="14"/>
                <w:color w:val="auto"/>
              </w:rPr>
            </w:pPr>
          </w:p>
        </w:tc>
        <w:tc>
          <w:tcPr>
            <w:tcW w:w="780" w:type="dxa"/>
            <w:vAlign w:val="bottom"/>
          </w:tcPr>
          <w:p>
            <w:pPr>
              <w:jc w:val="right"/>
              <w:spacing w:after="0" w:line="167" w:lineRule="exact"/>
              <w:rPr>
                <w:sz w:val="20"/>
                <w:szCs w:val="20"/>
                <w:color w:val="auto"/>
              </w:rPr>
            </w:pPr>
            <w:r>
              <w:rPr>
                <w:rFonts w:ascii="Arial" w:cs="Arial" w:eastAsia="Arial" w:hAnsi="Arial"/>
                <w:sz w:val="16"/>
                <w:szCs w:val="16"/>
                <w:color w:val="231F20"/>
              </w:rPr>
              <w:t>Retained</w:t>
            </w:r>
          </w:p>
        </w:tc>
        <w:tc>
          <w:tcPr>
            <w:tcW w:w="160" w:type="dxa"/>
            <w:vAlign w:val="bottom"/>
          </w:tcPr>
          <w:p>
            <w:pPr>
              <w:spacing w:after="0"/>
              <w:rPr>
                <w:sz w:val="14"/>
                <w:szCs w:val="14"/>
                <w:color w:val="auto"/>
              </w:rPr>
            </w:pPr>
          </w:p>
        </w:tc>
        <w:tc>
          <w:tcPr>
            <w:tcW w:w="780" w:type="dxa"/>
            <w:vAlign w:val="bottom"/>
          </w:tcPr>
          <w:p>
            <w:pPr>
              <w:jc w:val="right"/>
              <w:spacing w:after="0" w:line="167" w:lineRule="exact"/>
              <w:rPr>
                <w:sz w:val="20"/>
                <w:szCs w:val="20"/>
                <w:color w:val="auto"/>
              </w:rPr>
            </w:pPr>
            <w:r>
              <w:rPr>
                <w:rFonts w:ascii="Arial" w:cs="Arial" w:eastAsia="Arial" w:hAnsi="Arial"/>
                <w:sz w:val="16"/>
                <w:szCs w:val="16"/>
                <w:color w:val="231F20"/>
              </w:rPr>
              <w:t>Treasury</w:t>
            </w:r>
          </w:p>
        </w:tc>
        <w:tc>
          <w:tcPr>
            <w:tcW w:w="180" w:type="dxa"/>
            <w:vAlign w:val="bottom"/>
          </w:tcPr>
          <w:p>
            <w:pPr>
              <w:spacing w:after="0"/>
              <w:rPr>
                <w:sz w:val="14"/>
                <w:szCs w:val="14"/>
                <w:color w:val="auto"/>
              </w:rPr>
            </w:pPr>
          </w:p>
        </w:tc>
        <w:tc>
          <w:tcPr>
            <w:tcW w:w="760" w:type="dxa"/>
            <w:vAlign w:val="bottom"/>
            <w:gridSpan w:val="2"/>
          </w:tcPr>
          <w:p>
            <w:pPr>
              <w:jc w:val="right"/>
              <w:ind w:right="100"/>
              <w:spacing w:after="0" w:line="167" w:lineRule="exact"/>
              <w:rPr>
                <w:sz w:val="20"/>
                <w:szCs w:val="20"/>
                <w:color w:val="auto"/>
              </w:rPr>
            </w:pPr>
            <w:r>
              <w:rPr>
                <w:rFonts w:ascii="Arial" w:cs="Arial" w:eastAsia="Arial" w:hAnsi="Arial"/>
                <w:sz w:val="16"/>
                <w:szCs w:val="16"/>
                <w:color w:val="231F20"/>
              </w:rPr>
              <w:t>Total</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tcPr>
          <w:p>
            <w:pPr>
              <w:spacing w:after="0" w:line="221" w:lineRule="exact"/>
              <w:rPr>
                <w:sz w:val="20"/>
                <w:szCs w:val="20"/>
                <w:color w:val="auto"/>
              </w:rPr>
            </w:pPr>
            <w:r>
              <w:rPr>
                <w:rFonts w:ascii="Arial" w:cs="Arial" w:eastAsia="Arial" w:hAnsi="Arial"/>
                <w:sz w:val="16"/>
                <w:szCs w:val="16"/>
                <w:i w:val="1"/>
                <w:iCs w:val="1"/>
                <w:color w:val="231F20"/>
              </w:rPr>
              <w:t>(In millions, except per share amounts)</w:t>
            </w:r>
            <w:r>
              <w:rPr>
                <w:rFonts w:ascii="Times New Roman" w:cs="Times New Roman" w:eastAsia="Times New Roman" w:hAnsi="Times New Roman"/>
                <w:sz w:val="20"/>
                <w:szCs w:val="20"/>
                <w:color w:val="231F20"/>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Stock</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(Loss) Income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Earnings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Stock</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231F20"/>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Borders>
              <w:top w:val="single" w:sz="8" w:color="231F20"/>
              <w:bottom w:val="single" w:sz="8" w:color="231F20"/>
            </w:tcBorders>
          </w:tcPr>
          <w:p>
            <w:pPr>
              <w:spacing w:after="0" w:line="177" w:lineRule="exact"/>
              <w:rPr>
                <w:sz w:val="20"/>
                <w:szCs w:val="20"/>
                <w:color w:val="auto"/>
              </w:rPr>
            </w:pPr>
            <w:r>
              <w:rPr>
                <w:rFonts w:ascii="Arial" w:cs="Arial" w:eastAsia="Arial" w:hAnsi="Arial"/>
                <w:sz w:val="16"/>
                <w:szCs w:val="16"/>
                <w:color w:val="231F20"/>
              </w:rPr>
              <w:t>Balance at December 31, 2020</w:t>
            </w:r>
            <w:r>
              <w:rPr>
                <w:rFonts w:ascii="Times New Roman" w:cs="Times New Roman" w:eastAsia="Times New Roman" w:hAnsi="Times New Roman"/>
                <w:sz w:val="20"/>
                <w:szCs w:val="20"/>
                <w:color w:val="231F20"/>
              </w:rPr>
              <w:t>.................</w:t>
            </w:r>
          </w:p>
        </w:tc>
        <w:tc>
          <w:tcPr>
            <w:tcW w:w="260" w:type="dxa"/>
            <w:vAlign w:val="bottom"/>
            <w:tcBorders>
              <w:top w:val="single" w:sz="8" w:color="231F20"/>
              <w:bottom w:val="single" w:sz="8" w:color="231F20"/>
            </w:tcBorders>
          </w:tcPr>
          <w:p>
            <w:pPr>
              <w:jc w:val="right"/>
              <w:ind w:right="79"/>
              <w:spacing w:after="0" w:line="176" w:lineRule="exact"/>
              <w:rPr>
                <w:sz w:val="20"/>
                <w:szCs w:val="20"/>
                <w:color w:val="auto"/>
              </w:rPr>
            </w:pPr>
            <w:r>
              <w:rPr>
                <w:rFonts w:ascii="Arial" w:cs="Arial" w:eastAsia="Arial" w:hAnsi="Arial"/>
                <w:sz w:val="16"/>
                <w:szCs w:val="16"/>
                <w:color w:val="231F20"/>
                <w:w w:val="89"/>
              </w:rPr>
              <w:t>$</w:t>
            </w:r>
          </w:p>
        </w:tc>
        <w:tc>
          <w:tcPr>
            <w:tcW w:w="720" w:type="dxa"/>
            <w:vAlign w:val="bottom"/>
            <w:tcBorders>
              <w:top w:val="single" w:sz="8" w:color="231F20"/>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1.8</w:t>
            </w:r>
          </w:p>
        </w:tc>
        <w:tc>
          <w:tcPr>
            <w:tcW w:w="280" w:type="dxa"/>
            <w:vAlign w:val="bottom"/>
            <w:tcBorders>
              <w:top w:val="single" w:sz="8" w:color="231F20"/>
              <w:bottom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w:t>
            </w:r>
          </w:p>
        </w:tc>
        <w:tc>
          <w:tcPr>
            <w:tcW w:w="740" w:type="dxa"/>
            <w:vAlign w:val="bottom"/>
            <w:tcBorders>
              <w:top w:val="single" w:sz="8" w:color="231F20"/>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2,926.3</w:t>
            </w:r>
          </w:p>
        </w:tc>
        <w:tc>
          <w:tcPr>
            <w:tcW w:w="240" w:type="dxa"/>
            <w:vAlign w:val="bottom"/>
            <w:tcBorders>
              <w:top w:val="single" w:sz="8" w:color="231F20"/>
              <w:bottom w:val="single" w:sz="8" w:color="231F20"/>
            </w:tcBorders>
          </w:tcPr>
          <w:p>
            <w:pPr>
              <w:jc w:val="right"/>
              <w:ind w:right="39"/>
              <w:spacing w:after="0" w:line="176" w:lineRule="exact"/>
              <w:rPr>
                <w:sz w:val="20"/>
                <w:szCs w:val="20"/>
                <w:color w:val="auto"/>
              </w:rPr>
            </w:pPr>
            <w:r>
              <w:rPr>
                <w:rFonts w:ascii="Arial" w:cs="Arial" w:eastAsia="Arial" w:hAnsi="Arial"/>
                <w:sz w:val="16"/>
                <w:szCs w:val="16"/>
                <w:color w:val="231F20"/>
              </w:rPr>
              <w:t>$</w:t>
            </w:r>
          </w:p>
        </w:tc>
        <w:tc>
          <w:tcPr>
            <w:tcW w:w="1320" w:type="dxa"/>
            <w:vAlign w:val="bottom"/>
            <w:tcBorders>
              <w:top w:val="single" w:sz="8" w:color="231F20"/>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(55.1)</w:t>
            </w:r>
          </w:p>
        </w:tc>
        <w:tc>
          <w:tcPr>
            <w:tcW w:w="160" w:type="dxa"/>
            <w:vAlign w:val="bottom"/>
            <w:tcBorders>
              <w:top w:val="single" w:sz="8" w:color="231F20"/>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w w:val="89"/>
              </w:rPr>
              <w:t>$</w:t>
            </w:r>
          </w:p>
        </w:tc>
        <w:tc>
          <w:tcPr>
            <w:tcW w:w="780" w:type="dxa"/>
            <w:vAlign w:val="bottom"/>
            <w:tcBorders>
              <w:top w:val="single" w:sz="8" w:color="231F20"/>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2,180.2</w:t>
            </w:r>
          </w:p>
        </w:tc>
        <w:tc>
          <w:tcPr>
            <w:tcW w:w="160" w:type="dxa"/>
            <w:vAlign w:val="bottom"/>
            <w:tcBorders>
              <w:top w:val="single" w:sz="8" w:color="231F20"/>
              <w:bottom w:val="single" w:sz="8" w:color="231F20"/>
            </w:tcBorders>
          </w:tcPr>
          <w:p>
            <w:pPr>
              <w:jc w:val="center"/>
              <w:spacing w:after="0" w:line="176" w:lineRule="exact"/>
              <w:rPr>
                <w:sz w:val="20"/>
                <w:szCs w:val="20"/>
                <w:color w:val="auto"/>
              </w:rPr>
            </w:pPr>
            <w:r>
              <w:rPr>
                <w:rFonts w:ascii="Arial" w:cs="Arial" w:eastAsia="Arial" w:hAnsi="Arial"/>
                <w:sz w:val="16"/>
                <w:szCs w:val="16"/>
                <w:color w:val="231F20"/>
                <w:w w:val="89"/>
              </w:rPr>
              <w:t>$</w:t>
            </w:r>
          </w:p>
        </w:tc>
        <w:tc>
          <w:tcPr>
            <w:tcW w:w="780" w:type="dxa"/>
            <w:vAlign w:val="bottom"/>
            <w:tcBorders>
              <w:top w:val="single" w:sz="8" w:color="231F20"/>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(2,277.7)</w:t>
            </w:r>
          </w:p>
        </w:tc>
        <w:tc>
          <w:tcPr>
            <w:tcW w:w="180" w:type="dxa"/>
            <w:vAlign w:val="bottom"/>
            <w:tcBorders>
              <w:top w:val="single" w:sz="8" w:color="231F20"/>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w:t>
            </w:r>
          </w:p>
        </w:tc>
        <w:tc>
          <w:tcPr>
            <w:tcW w:w="740" w:type="dxa"/>
            <w:vAlign w:val="bottom"/>
            <w:tcBorders>
              <w:top w:val="single" w:sz="8" w:color="231F20"/>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2,775.5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80" w:type="dxa"/>
            <w:vAlign w:val="bottom"/>
          </w:tcPr>
          <w:p>
            <w:pPr>
              <w:spacing w:after="0" w:line="152" w:lineRule="exact"/>
              <w:rPr>
                <w:sz w:val="20"/>
                <w:szCs w:val="20"/>
                <w:color w:val="auto"/>
              </w:rPr>
            </w:pPr>
            <w:r>
              <w:rPr>
                <w:rFonts w:ascii="Arial" w:cs="Arial" w:eastAsia="Arial" w:hAnsi="Arial"/>
                <w:sz w:val="16"/>
                <w:szCs w:val="16"/>
                <w:color w:val="231F20"/>
              </w:rPr>
              <w:t>Comprehensive income:</w:t>
            </w:r>
          </w:p>
        </w:tc>
        <w:tc>
          <w:tcPr>
            <w:tcW w:w="2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231F20"/>
              </w:rPr>
              <w:t>772.4</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231F20"/>
              </w:rPr>
              <w:t>772.4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rPr>
              <w:t xml:space="preserve">Net income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rPr>
              <w:t xml:space="preserve">Other comprehensive income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30.5</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30.5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w w:val="99"/>
              </w:rPr>
              <w:t xml:space="preserve">Stock options exercised </w:t>
            </w:r>
            <w:r>
              <w:rPr>
                <w:rFonts w:ascii="Times New Roman" w:cs="Times New Roman" w:eastAsia="Times New Roman" w:hAnsi="Times New Roman"/>
                <w:sz w:val="20"/>
                <w:szCs w:val="20"/>
                <w:color w:val="231F20"/>
                <w:w w:val="99"/>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0.1</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41.8</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41.9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w w:val="99"/>
              </w:rPr>
              <w:t xml:space="preserve">Stock-based compensation </w:t>
            </w:r>
            <w:r>
              <w:rPr>
                <w:rFonts w:ascii="Times New Roman" w:cs="Times New Roman" w:eastAsia="Times New Roman" w:hAnsi="Times New Roman"/>
                <w:sz w:val="20"/>
                <w:szCs w:val="20"/>
                <w:color w:val="231F20"/>
                <w:w w:val="99"/>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50.2</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(13.3)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36.9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rPr>
              <w:t>Treasury stock purchase</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(447.7)</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(447.7)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tcBorders>
              <w:bottom w:val="single" w:sz="8" w:color="231F20"/>
            </w:tcBorders>
          </w:tcPr>
          <w:p>
            <w:pPr>
              <w:jc w:val="right"/>
              <w:spacing w:after="0" w:line="221" w:lineRule="exact"/>
              <w:rPr>
                <w:sz w:val="20"/>
                <w:szCs w:val="20"/>
                <w:color w:val="auto"/>
              </w:rPr>
            </w:pPr>
            <w:r>
              <w:rPr>
                <w:rFonts w:ascii="Arial" w:cs="Arial" w:eastAsia="Arial" w:hAnsi="Arial"/>
                <w:sz w:val="16"/>
                <w:szCs w:val="16"/>
                <w:color w:val="231F20"/>
                <w:w w:val="99"/>
              </w:rPr>
              <w:t xml:space="preserve">Dividends ($1.06 per Common share) </w:t>
            </w:r>
            <w:r>
              <w:rPr>
                <w:rFonts w:ascii="Times New Roman" w:cs="Times New Roman" w:eastAsia="Times New Roman" w:hAnsi="Times New Roman"/>
                <w:sz w:val="20"/>
                <w:szCs w:val="20"/>
                <w:color w:val="231F20"/>
                <w:w w:val="99"/>
              </w:rPr>
              <w:t>.......</w:t>
            </w:r>
          </w:p>
        </w:tc>
        <w:tc>
          <w:tcPr>
            <w:tcW w:w="26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28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1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(144.7)</w:t>
            </w:r>
          </w:p>
        </w:tc>
        <w:tc>
          <w:tcPr>
            <w:tcW w:w="1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18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Borders>
              <w:bottom w:val="single" w:sz="8" w:color="231F20"/>
            </w:tcBorders>
          </w:tcPr>
          <w:p>
            <w:pPr>
              <w:jc w:val="right"/>
              <w:spacing w:after="0" w:line="177" w:lineRule="exact"/>
              <w:rPr>
                <w:sz w:val="20"/>
                <w:szCs w:val="20"/>
                <w:color w:val="auto"/>
              </w:rPr>
            </w:pPr>
            <w:r>
              <w:rPr>
                <w:rFonts w:ascii="Arial" w:cs="Arial" w:eastAsia="Arial" w:hAnsi="Arial"/>
                <w:sz w:val="16"/>
                <w:szCs w:val="16"/>
                <w:color w:val="231F20"/>
              </w:rPr>
              <w:t>Balance at December 31, 2021</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jc w:val="right"/>
              <w:ind w:right="79"/>
              <w:spacing w:after="0" w:line="176" w:lineRule="exact"/>
              <w:rPr>
                <w:sz w:val="20"/>
                <w:szCs w:val="20"/>
                <w:color w:val="auto"/>
              </w:rPr>
            </w:pPr>
            <w:r>
              <w:rPr>
                <w:rFonts w:ascii="Arial" w:cs="Arial" w:eastAsia="Arial" w:hAnsi="Arial"/>
                <w:sz w:val="16"/>
                <w:szCs w:val="16"/>
                <w:color w:val="231F20"/>
                <w:w w:val="89"/>
              </w:rPr>
              <w:t>$</w:t>
            </w:r>
          </w:p>
        </w:tc>
        <w:tc>
          <w:tcPr>
            <w:tcW w:w="72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1.9</w:t>
            </w:r>
          </w:p>
        </w:tc>
        <w:tc>
          <w:tcPr>
            <w:tcW w:w="280" w:type="dxa"/>
            <w:vAlign w:val="bottom"/>
            <w:tcBorders>
              <w:bottom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w:t>
            </w:r>
          </w:p>
        </w:tc>
        <w:tc>
          <w:tcPr>
            <w:tcW w:w="74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3,018.3</w:t>
            </w:r>
          </w:p>
        </w:tc>
        <w:tc>
          <w:tcPr>
            <w:tcW w:w="240" w:type="dxa"/>
            <w:vAlign w:val="bottom"/>
            <w:tcBorders>
              <w:bottom w:val="single" w:sz="8" w:color="231F20"/>
            </w:tcBorders>
          </w:tcPr>
          <w:p>
            <w:pPr>
              <w:jc w:val="right"/>
              <w:ind w:right="39"/>
              <w:spacing w:after="0" w:line="176" w:lineRule="exact"/>
              <w:rPr>
                <w:sz w:val="20"/>
                <w:szCs w:val="20"/>
                <w:color w:val="auto"/>
              </w:rPr>
            </w:pPr>
            <w:r>
              <w:rPr>
                <w:rFonts w:ascii="Arial" w:cs="Arial" w:eastAsia="Arial" w:hAnsi="Arial"/>
                <w:sz w:val="16"/>
                <w:szCs w:val="16"/>
                <w:color w:val="231F20"/>
              </w:rPr>
              <w:t>$</w:t>
            </w:r>
          </w:p>
        </w:tc>
        <w:tc>
          <w:tcPr>
            <w:tcW w:w="132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(24.6)</w:t>
            </w:r>
          </w:p>
        </w:tc>
        <w:tc>
          <w:tcPr>
            <w:tcW w:w="16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w w:val="89"/>
              </w:rPr>
              <w:t>$</w:t>
            </w:r>
          </w:p>
        </w:tc>
        <w:tc>
          <w:tcPr>
            <w:tcW w:w="7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2,807.9</w:t>
            </w:r>
          </w:p>
        </w:tc>
        <w:tc>
          <w:tcPr>
            <w:tcW w:w="160" w:type="dxa"/>
            <w:vAlign w:val="bottom"/>
            <w:tcBorders>
              <w:bottom w:val="single" w:sz="8" w:color="231F20"/>
            </w:tcBorders>
          </w:tcPr>
          <w:p>
            <w:pPr>
              <w:jc w:val="center"/>
              <w:spacing w:after="0" w:line="176" w:lineRule="exact"/>
              <w:rPr>
                <w:sz w:val="20"/>
                <w:szCs w:val="20"/>
                <w:color w:val="auto"/>
              </w:rPr>
            </w:pPr>
            <w:r>
              <w:rPr>
                <w:rFonts w:ascii="Arial" w:cs="Arial" w:eastAsia="Arial" w:hAnsi="Arial"/>
                <w:sz w:val="16"/>
                <w:szCs w:val="16"/>
                <w:color w:val="231F20"/>
                <w:w w:val="89"/>
              </w:rPr>
              <w:t>$</w:t>
            </w:r>
          </w:p>
        </w:tc>
        <w:tc>
          <w:tcPr>
            <w:tcW w:w="7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(2,738.7)</w:t>
            </w:r>
          </w:p>
        </w:tc>
        <w:tc>
          <w:tcPr>
            <w:tcW w:w="1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w:t>
            </w:r>
          </w:p>
        </w:tc>
        <w:tc>
          <w:tcPr>
            <w:tcW w:w="74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3,064.8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80" w:type="dxa"/>
            <w:vAlign w:val="bottom"/>
          </w:tcPr>
          <w:p>
            <w:pPr>
              <w:spacing w:after="0" w:line="152" w:lineRule="exact"/>
              <w:rPr>
                <w:sz w:val="20"/>
                <w:szCs w:val="20"/>
                <w:color w:val="auto"/>
              </w:rPr>
            </w:pPr>
            <w:r>
              <w:rPr>
                <w:rFonts w:ascii="Arial" w:cs="Arial" w:eastAsia="Arial" w:hAnsi="Arial"/>
                <w:sz w:val="16"/>
                <w:szCs w:val="16"/>
                <w:color w:val="231F20"/>
              </w:rPr>
              <w:t>Comprehensive income:</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231F20"/>
                <w:w w:val="89"/>
              </w:rPr>
              <w:t>$</w:t>
            </w:r>
          </w:p>
        </w:tc>
        <w:tc>
          <w:tcPr>
            <w:tcW w:w="1000" w:type="dxa"/>
            <w:vAlign w:val="bottom"/>
            <w:gridSpan w:val="2"/>
            <w:vMerge w:val="restart"/>
          </w:tcPr>
          <w:p>
            <w:pPr>
              <w:jc w:val="right"/>
              <w:ind w:right="59"/>
              <w:spacing w:after="0"/>
              <w:rPr>
                <w:sz w:val="20"/>
                <w:szCs w:val="20"/>
                <w:color w:val="auto"/>
              </w:rPr>
            </w:pPr>
            <w:r>
              <w:rPr>
                <w:rFonts w:ascii="Arial" w:cs="Arial" w:eastAsia="Arial" w:hAnsi="Arial"/>
                <w:sz w:val="16"/>
                <w:szCs w:val="16"/>
                <w:color w:val="231F20"/>
              </w:rPr>
              <w:t>— $</w:t>
            </w:r>
          </w:p>
        </w:tc>
        <w:tc>
          <w:tcPr>
            <w:tcW w:w="980" w:type="dxa"/>
            <w:vAlign w:val="bottom"/>
            <w:gridSpan w:val="2"/>
            <w:vMerge w:val="restart"/>
          </w:tcPr>
          <w:p>
            <w:pPr>
              <w:jc w:val="right"/>
              <w:ind w:right="19"/>
              <w:spacing w:after="0"/>
              <w:rPr>
                <w:sz w:val="20"/>
                <w:szCs w:val="20"/>
                <w:color w:val="auto"/>
              </w:rPr>
            </w:pPr>
            <w:r>
              <w:rPr>
                <w:rFonts w:ascii="Arial" w:cs="Arial" w:eastAsia="Arial" w:hAnsi="Arial"/>
                <w:sz w:val="16"/>
                <w:szCs w:val="16"/>
                <w:color w:val="231F20"/>
              </w:rPr>
              <w:t>— $</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231F20"/>
              </w:rPr>
              <w:t>— $</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231F20"/>
              </w:rPr>
              <w:t>686.7</w:t>
            </w:r>
          </w:p>
        </w:tc>
        <w:tc>
          <w:tcPr>
            <w:tcW w:w="160" w:type="dxa"/>
            <w:vAlign w:val="bottom"/>
            <w:vMerge w:val="restart"/>
          </w:tcPr>
          <w:p>
            <w:pPr>
              <w:jc w:val="center"/>
              <w:spacing w:after="0"/>
              <w:rPr>
                <w:sz w:val="20"/>
                <w:szCs w:val="20"/>
                <w:color w:val="auto"/>
              </w:rPr>
            </w:pPr>
            <w:r>
              <w:rPr>
                <w:rFonts w:ascii="Arial" w:cs="Arial" w:eastAsia="Arial" w:hAnsi="Arial"/>
                <w:sz w:val="16"/>
                <w:szCs w:val="16"/>
                <w:color w:val="231F20"/>
                <w:w w:val="89"/>
              </w:rPr>
              <w:t>$</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231F20"/>
              </w:rPr>
              <w:t>— $</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231F20"/>
              </w:rPr>
              <w:t>686.7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rPr>
              <w:t xml:space="preserve">Net income </w:t>
            </w:r>
            <w:r>
              <w:rPr>
                <w:rFonts w:ascii="Times New Roman" w:cs="Times New Roman" w:eastAsia="Times New Roman" w:hAnsi="Times New Roman"/>
                <w:sz w:val="20"/>
                <w:szCs w:val="20"/>
                <w:color w:val="231F20"/>
              </w:rPr>
              <w:t>.......................................</w:t>
            </w:r>
          </w:p>
        </w:tc>
        <w:tc>
          <w:tcPr>
            <w:tcW w:w="26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rPr>
              <w:t xml:space="preserve">Other comprehensive income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53.7</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53.7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w w:val="99"/>
              </w:rPr>
              <w:t xml:space="preserve">Distribution of MasterBrand </w:t>
            </w:r>
            <w:r>
              <w:rPr>
                <w:rFonts w:ascii="Times New Roman" w:cs="Times New Roman" w:eastAsia="Times New Roman" w:hAnsi="Times New Roman"/>
                <w:sz w:val="20"/>
                <w:szCs w:val="20"/>
                <w:color w:val="231F20"/>
                <w:w w:val="99"/>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8.3</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(1,973.5)</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(1,965.2)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w w:val="99"/>
              </w:rPr>
              <w:t xml:space="preserve">Dividends received from MasterBrand </w:t>
            </w:r>
            <w:r>
              <w:rPr>
                <w:rFonts w:ascii="Times New Roman" w:cs="Times New Roman" w:eastAsia="Times New Roman" w:hAnsi="Times New Roman"/>
                <w:sz w:val="20"/>
                <w:szCs w:val="20"/>
                <w:color w:val="231F20"/>
                <w:w w:val="99"/>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940.0</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940.0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w w:val="99"/>
              </w:rPr>
              <w:t xml:space="preserve">Stock options exercised </w:t>
            </w:r>
            <w:r>
              <w:rPr>
                <w:rFonts w:ascii="Times New Roman" w:cs="Times New Roman" w:eastAsia="Times New Roman" w:hAnsi="Times New Roman"/>
                <w:sz w:val="20"/>
                <w:szCs w:val="20"/>
                <w:color w:val="231F20"/>
                <w:w w:val="99"/>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1.1</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w w:val="99"/>
              </w:rPr>
              <w:t xml:space="preserve">Stock-based compensation </w:t>
            </w:r>
            <w:r>
              <w:rPr>
                <w:rFonts w:ascii="Times New Roman" w:cs="Times New Roman" w:eastAsia="Times New Roman" w:hAnsi="Times New Roman"/>
                <w:sz w:val="20"/>
                <w:szCs w:val="20"/>
                <w:color w:val="231F20"/>
                <w:w w:val="99"/>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50.2</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(27.0)</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23.2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rPr>
              <w:t>Treasury stock purchase</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(580.1)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(580.1)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tcBorders>
              <w:bottom w:val="single" w:sz="8" w:color="231F20"/>
            </w:tcBorders>
          </w:tcPr>
          <w:p>
            <w:pPr>
              <w:jc w:val="right"/>
              <w:spacing w:after="0" w:line="221" w:lineRule="exact"/>
              <w:rPr>
                <w:sz w:val="20"/>
                <w:szCs w:val="20"/>
                <w:color w:val="auto"/>
              </w:rPr>
            </w:pPr>
            <w:r>
              <w:rPr>
                <w:rFonts w:ascii="Arial" w:cs="Arial" w:eastAsia="Arial" w:hAnsi="Arial"/>
                <w:sz w:val="16"/>
                <w:szCs w:val="16"/>
                <w:color w:val="231F20"/>
                <w:w w:val="99"/>
              </w:rPr>
              <w:t xml:space="preserve">Dividends ($1.07 per Common share) </w:t>
            </w:r>
            <w:r>
              <w:rPr>
                <w:rFonts w:ascii="Times New Roman" w:cs="Times New Roman" w:eastAsia="Times New Roman" w:hAnsi="Times New Roman"/>
                <w:sz w:val="20"/>
                <w:szCs w:val="20"/>
                <w:color w:val="231F20"/>
                <w:w w:val="99"/>
              </w:rPr>
              <w:t>.......</w:t>
            </w:r>
          </w:p>
        </w:tc>
        <w:tc>
          <w:tcPr>
            <w:tcW w:w="26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28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1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(137.3)</w:t>
            </w:r>
          </w:p>
        </w:tc>
        <w:tc>
          <w:tcPr>
            <w:tcW w:w="1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18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Borders>
              <w:bottom w:val="single" w:sz="8" w:color="231F20"/>
            </w:tcBorders>
          </w:tcPr>
          <w:p>
            <w:pPr>
              <w:jc w:val="right"/>
              <w:spacing w:after="0" w:line="177" w:lineRule="exact"/>
              <w:rPr>
                <w:sz w:val="20"/>
                <w:szCs w:val="20"/>
                <w:color w:val="auto"/>
              </w:rPr>
            </w:pPr>
            <w:r>
              <w:rPr>
                <w:rFonts w:ascii="Arial" w:cs="Arial" w:eastAsia="Arial" w:hAnsi="Arial"/>
                <w:sz w:val="16"/>
                <w:szCs w:val="16"/>
                <w:color w:val="231F20"/>
              </w:rPr>
              <w:t>Balance at December 31, 2022</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jc w:val="right"/>
              <w:ind w:right="79"/>
              <w:spacing w:after="0" w:line="176" w:lineRule="exact"/>
              <w:rPr>
                <w:sz w:val="20"/>
                <w:szCs w:val="20"/>
                <w:color w:val="auto"/>
              </w:rPr>
            </w:pPr>
            <w:r>
              <w:rPr>
                <w:rFonts w:ascii="Arial" w:cs="Arial" w:eastAsia="Arial" w:hAnsi="Arial"/>
                <w:sz w:val="16"/>
                <w:szCs w:val="16"/>
                <w:color w:val="231F20"/>
                <w:w w:val="89"/>
              </w:rPr>
              <w:t>$</w:t>
            </w:r>
          </w:p>
        </w:tc>
        <w:tc>
          <w:tcPr>
            <w:tcW w:w="72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1.9</w:t>
            </w:r>
          </w:p>
        </w:tc>
        <w:tc>
          <w:tcPr>
            <w:tcW w:w="280" w:type="dxa"/>
            <w:vAlign w:val="bottom"/>
            <w:tcBorders>
              <w:bottom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w:t>
            </w:r>
          </w:p>
        </w:tc>
        <w:tc>
          <w:tcPr>
            <w:tcW w:w="74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3,069.6</w:t>
            </w:r>
          </w:p>
        </w:tc>
        <w:tc>
          <w:tcPr>
            <w:tcW w:w="240" w:type="dxa"/>
            <w:vAlign w:val="bottom"/>
            <w:tcBorders>
              <w:bottom w:val="single" w:sz="8" w:color="231F20"/>
            </w:tcBorders>
          </w:tcPr>
          <w:p>
            <w:pPr>
              <w:jc w:val="right"/>
              <w:ind w:right="39"/>
              <w:spacing w:after="0" w:line="176" w:lineRule="exact"/>
              <w:rPr>
                <w:sz w:val="20"/>
                <w:szCs w:val="20"/>
                <w:color w:val="auto"/>
              </w:rPr>
            </w:pPr>
            <w:r>
              <w:rPr>
                <w:rFonts w:ascii="Arial" w:cs="Arial" w:eastAsia="Arial" w:hAnsi="Arial"/>
                <w:sz w:val="16"/>
                <w:szCs w:val="16"/>
                <w:color w:val="231F20"/>
              </w:rPr>
              <w:t>$</w:t>
            </w:r>
          </w:p>
        </w:tc>
        <w:tc>
          <w:tcPr>
            <w:tcW w:w="132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37.4</w:t>
            </w:r>
          </w:p>
        </w:tc>
        <w:tc>
          <w:tcPr>
            <w:tcW w:w="16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w w:val="89"/>
              </w:rPr>
              <w:t>$</w:t>
            </w:r>
          </w:p>
        </w:tc>
        <w:tc>
          <w:tcPr>
            <w:tcW w:w="7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2,323.8</w:t>
            </w:r>
          </w:p>
        </w:tc>
        <w:tc>
          <w:tcPr>
            <w:tcW w:w="160" w:type="dxa"/>
            <w:vAlign w:val="bottom"/>
            <w:tcBorders>
              <w:bottom w:val="single" w:sz="8" w:color="231F20"/>
            </w:tcBorders>
          </w:tcPr>
          <w:p>
            <w:pPr>
              <w:jc w:val="center"/>
              <w:spacing w:after="0" w:line="176" w:lineRule="exact"/>
              <w:rPr>
                <w:sz w:val="20"/>
                <w:szCs w:val="20"/>
                <w:color w:val="auto"/>
              </w:rPr>
            </w:pPr>
            <w:r>
              <w:rPr>
                <w:rFonts w:ascii="Arial" w:cs="Arial" w:eastAsia="Arial" w:hAnsi="Arial"/>
                <w:sz w:val="16"/>
                <w:szCs w:val="16"/>
                <w:color w:val="231F20"/>
                <w:w w:val="89"/>
              </w:rPr>
              <w:t>$</w:t>
            </w:r>
          </w:p>
        </w:tc>
        <w:tc>
          <w:tcPr>
            <w:tcW w:w="7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(3,345.8)</w:t>
            </w:r>
          </w:p>
        </w:tc>
        <w:tc>
          <w:tcPr>
            <w:tcW w:w="1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w:t>
            </w:r>
          </w:p>
        </w:tc>
        <w:tc>
          <w:tcPr>
            <w:tcW w:w="74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2,086.9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80" w:type="dxa"/>
            <w:vAlign w:val="bottom"/>
          </w:tcPr>
          <w:p>
            <w:pPr>
              <w:spacing w:after="0" w:line="152" w:lineRule="exact"/>
              <w:rPr>
                <w:sz w:val="20"/>
                <w:szCs w:val="20"/>
                <w:color w:val="auto"/>
              </w:rPr>
            </w:pPr>
            <w:r>
              <w:rPr>
                <w:rFonts w:ascii="Arial" w:cs="Arial" w:eastAsia="Arial" w:hAnsi="Arial"/>
                <w:sz w:val="16"/>
                <w:szCs w:val="16"/>
                <w:color w:val="231F20"/>
              </w:rPr>
              <w:t>Comprehensive income:</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rPr>
              <w:t xml:space="preserve">Net income </w:t>
            </w:r>
            <w:r>
              <w:rPr>
                <w:rFonts w:ascii="Times New Roman" w:cs="Times New Roman" w:eastAsia="Times New Roman" w:hAnsi="Times New Roman"/>
                <w:sz w:val="20"/>
                <w:szCs w:val="20"/>
                <w:color w:val="231F20"/>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231F20"/>
                <w:w w:val="89"/>
              </w:rPr>
              <w:t>$</w:t>
            </w:r>
          </w:p>
        </w:tc>
        <w:tc>
          <w:tcPr>
            <w:tcW w:w="1000" w:type="dxa"/>
            <w:vAlign w:val="bottom"/>
            <w:gridSpan w:val="2"/>
          </w:tcPr>
          <w:p>
            <w:pPr>
              <w:jc w:val="right"/>
              <w:ind w:right="59"/>
              <w:spacing w:after="0"/>
              <w:rPr>
                <w:sz w:val="20"/>
                <w:szCs w:val="20"/>
                <w:color w:val="auto"/>
              </w:rPr>
            </w:pPr>
            <w:r>
              <w:rPr>
                <w:rFonts w:ascii="Arial" w:cs="Arial" w:eastAsia="Arial" w:hAnsi="Arial"/>
                <w:sz w:val="16"/>
                <w:szCs w:val="16"/>
                <w:color w:val="231F20"/>
              </w:rPr>
              <w:t>— $</w:t>
            </w:r>
          </w:p>
        </w:tc>
        <w:tc>
          <w:tcPr>
            <w:tcW w:w="980" w:type="dxa"/>
            <w:vAlign w:val="bottom"/>
            <w:gridSpan w:val="2"/>
          </w:tcPr>
          <w:p>
            <w:pPr>
              <w:jc w:val="right"/>
              <w:ind w:right="19"/>
              <w:spacing w:after="0"/>
              <w:rPr>
                <w:sz w:val="20"/>
                <w:szCs w:val="20"/>
                <w:color w:val="auto"/>
              </w:rPr>
            </w:pPr>
            <w:r>
              <w:rPr>
                <w:rFonts w:ascii="Arial" w:cs="Arial" w:eastAsia="Arial" w:hAnsi="Arial"/>
                <w:sz w:val="16"/>
                <w:szCs w:val="16"/>
                <w:color w:val="231F20"/>
              </w:rPr>
              <w:t>— $</w:t>
            </w:r>
          </w:p>
        </w:tc>
        <w:tc>
          <w:tcPr>
            <w:tcW w:w="1480" w:type="dxa"/>
            <w:vAlign w:val="bottom"/>
            <w:gridSpan w:val="2"/>
          </w:tcPr>
          <w:p>
            <w:pPr>
              <w:jc w:val="right"/>
              <w:spacing w:after="0"/>
              <w:rPr>
                <w:sz w:val="20"/>
                <w:szCs w:val="20"/>
                <w:color w:val="auto"/>
              </w:rPr>
            </w:pPr>
            <w:r>
              <w:rPr>
                <w:rFonts w:ascii="Arial" w:cs="Arial" w:eastAsia="Arial" w:hAnsi="Arial"/>
                <w:sz w:val="16"/>
                <w:szCs w:val="16"/>
                <w:color w:val="231F20"/>
              </w:rPr>
              <w:t>— $</w:t>
            </w:r>
          </w:p>
        </w:tc>
        <w:tc>
          <w:tcPr>
            <w:tcW w:w="780" w:type="dxa"/>
            <w:vAlign w:val="bottom"/>
          </w:tcPr>
          <w:p>
            <w:pPr>
              <w:jc w:val="right"/>
              <w:spacing w:after="0"/>
              <w:rPr>
                <w:sz w:val="20"/>
                <w:szCs w:val="20"/>
                <w:color w:val="auto"/>
              </w:rPr>
            </w:pPr>
            <w:r>
              <w:rPr>
                <w:rFonts w:ascii="Arial" w:cs="Arial" w:eastAsia="Arial" w:hAnsi="Arial"/>
                <w:sz w:val="16"/>
                <w:szCs w:val="16"/>
                <w:color w:val="231F20"/>
              </w:rPr>
              <w:t>404.5</w:t>
            </w:r>
          </w:p>
        </w:tc>
        <w:tc>
          <w:tcPr>
            <w:tcW w:w="160" w:type="dxa"/>
            <w:vAlign w:val="bottom"/>
          </w:tcPr>
          <w:p>
            <w:pPr>
              <w:jc w:val="center"/>
              <w:spacing w:after="0"/>
              <w:rPr>
                <w:sz w:val="20"/>
                <w:szCs w:val="20"/>
                <w:color w:val="auto"/>
              </w:rPr>
            </w:pPr>
            <w:r>
              <w:rPr>
                <w:rFonts w:ascii="Arial" w:cs="Arial" w:eastAsia="Arial" w:hAnsi="Arial"/>
                <w:sz w:val="16"/>
                <w:szCs w:val="16"/>
                <w:color w:val="231F20"/>
                <w:w w:val="89"/>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231F20"/>
              </w:rPr>
              <w:t>— $</w:t>
            </w:r>
          </w:p>
        </w:tc>
        <w:tc>
          <w:tcPr>
            <w:tcW w:w="740" w:type="dxa"/>
            <w:vAlign w:val="bottom"/>
          </w:tcPr>
          <w:p>
            <w:pPr>
              <w:jc w:val="right"/>
              <w:spacing w:after="0"/>
              <w:rPr>
                <w:sz w:val="20"/>
                <w:szCs w:val="20"/>
                <w:color w:val="auto"/>
              </w:rPr>
            </w:pPr>
            <w:r>
              <w:rPr>
                <w:rFonts w:ascii="Arial" w:cs="Arial" w:eastAsia="Arial" w:hAnsi="Arial"/>
                <w:sz w:val="16"/>
                <w:szCs w:val="16"/>
                <w:color w:val="231F20"/>
              </w:rPr>
              <w:t>404.5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rPr>
              <w:t xml:space="preserve">Other comprehensive income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19.7</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19.7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rPr>
              <w:t xml:space="preserve">Other </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12.7</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6.2</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(5.3)</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13.6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w w:val="99"/>
              </w:rPr>
              <w:t xml:space="preserve">Stock options exercised </w:t>
            </w:r>
            <w:r>
              <w:rPr>
                <w:rFonts w:ascii="Times New Roman" w:cs="Times New Roman" w:eastAsia="Times New Roman" w:hAnsi="Times New Roman"/>
                <w:sz w:val="20"/>
                <w:szCs w:val="20"/>
                <w:color w:val="231F20"/>
                <w:w w:val="99"/>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18.0</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18.0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w w:val="99"/>
              </w:rPr>
              <w:t xml:space="preserve">Stock-based compensation </w:t>
            </w:r>
            <w:r>
              <w:rPr>
                <w:rFonts w:ascii="Times New Roman" w:cs="Times New Roman" w:eastAsia="Times New Roman" w:hAnsi="Times New Roman"/>
                <w:sz w:val="20"/>
                <w:szCs w:val="20"/>
                <w:color w:val="231F20"/>
                <w:w w:val="99"/>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34.2</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(14.5)</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19.7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jc w:val="right"/>
              <w:spacing w:after="0" w:line="186" w:lineRule="exact"/>
              <w:rPr>
                <w:sz w:val="20"/>
                <w:szCs w:val="20"/>
                <w:color w:val="auto"/>
              </w:rPr>
            </w:pPr>
            <w:r>
              <w:rPr>
                <w:rFonts w:ascii="Arial" w:cs="Arial" w:eastAsia="Arial" w:hAnsi="Arial"/>
                <w:sz w:val="16"/>
                <w:szCs w:val="16"/>
                <w:color w:val="231F20"/>
              </w:rPr>
              <w:t>Treasury stock purchase</w:t>
            </w:r>
            <w:r>
              <w:rPr>
                <w:rFonts w:ascii="Times New Roman" w:cs="Times New Roman" w:eastAsia="Times New Roman" w:hAnsi="Times New Roman"/>
                <w:sz w:val="20"/>
                <w:szCs w:val="20"/>
                <w:color w:val="231F20"/>
              </w:rPr>
              <w:t>..........................</w:t>
            </w: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231F20"/>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31F20"/>
              </w:rPr>
              <w:t>(151.3)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231F20"/>
              </w:rPr>
              <w:t>(151.3)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tcBorders>
              <w:bottom w:val="single" w:sz="8" w:color="231F20"/>
            </w:tcBorders>
          </w:tcPr>
          <w:p>
            <w:pPr>
              <w:jc w:val="right"/>
              <w:spacing w:after="0" w:line="221" w:lineRule="exact"/>
              <w:rPr>
                <w:sz w:val="20"/>
                <w:szCs w:val="20"/>
                <w:color w:val="auto"/>
              </w:rPr>
            </w:pPr>
            <w:r>
              <w:rPr>
                <w:rFonts w:ascii="Arial" w:cs="Arial" w:eastAsia="Arial" w:hAnsi="Arial"/>
                <w:sz w:val="16"/>
                <w:szCs w:val="16"/>
                <w:color w:val="231F20"/>
                <w:w w:val="99"/>
              </w:rPr>
              <w:t xml:space="preserve">Dividends ($0.93 per Common share) </w:t>
            </w:r>
            <w:r>
              <w:rPr>
                <w:rFonts w:ascii="Times New Roman" w:cs="Times New Roman" w:eastAsia="Times New Roman" w:hAnsi="Times New Roman"/>
                <w:sz w:val="20"/>
                <w:szCs w:val="20"/>
                <w:color w:val="231F20"/>
                <w:w w:val="99"/>
              </w:rPr>
              <w:t>.......</w:t>
            </w:r>
          </w:p>
        </w:tc>
        <w:tc>
          <w:tcPr>
            <w:tcW w:w="26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28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240" w:type="dxa"/>
            <w:vAlign w:val="bottom"/>
            <w:tcBorders>
              <w:bottom w:val="single" w:sz="8" w:color="231F20"/>
            </w:tcBorders>
          </w:tcPr>
          <w:p>
            <w:pPr>
              <w:spacing w:after="0"/>
              <w:rPr>
                <w:sz w:val="19"/>
                <w:szCs w:val="19"/>
                <w:color w:val="auto"/>
              </w:rPr>
            </w:pP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1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(117.7)</w:t>
            </w:r>
          </w:p>
        </w:tc>
        <w:tc>
          <w:tcPr>
            <w:tcW w:w="1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w:t>
            </w:r>
          </w:p>
        </w:tc>
        <w:tc>
          <w:tcPr>
            <w:tcW w:w="18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Borders>
              <w:bottom w:val="single" w:sz="8" w:color="231F20"/>
            </w:tcBorders>
          </w:tcPr>
          <w:p>
            <w:pPr>
              <w:jc w:val="right"/>
              <w:spacing w:after="0" w:line="177" w:lineRule="exact"/>
              <w:rPr>
                <w:sz w:val="20"/>
                <w:szCs w:val="20"/>
                <w:color w:val="auto"/>
              </w:rPr>
            </w:pPr>
            <w:r>
              <w:rPr>
                <w:rFonts w:ascii="Arial" w:cs="Arial" w:eastAsia="Arial" w:hAnsi="Arial"/>
                <w:sz w:val="16"/>
                <w:szCs w:val="16"/>
                <w:color w:val="231F20"/>
              </w:rPr>
              <w:t>Balance at December 30, 2023</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jc w:val="right"/>
              <w:ind w:right="79"/>
              <w:spacing w:after="0" w:line="176" w:lineRule="exact"/>
              <w:rPr>
                <w:sz w:val="20"/>
                <w:szCs w:val="20"/>
                <w:color w:val="auto"/>
              </w:rPr>
            </w:pPr>
            <w:r>
              <w:rPr>
                <w:rFonts w:ascii="Arial" w:cs="Arial" w:eastAsia="Arial" w:hAnsi="Arial"/>
                <w:sz w:val="16"/>
                <w:szCs w:val="16"/>
                <w:color w:val="231F20"/>
                <w:w w:val="89"/>
              </w:rPr>
              <w:t>$</w:t>
            </w:r>
          </w:p>
        </w:tc>
        <w:tc>
          <w:tcPr>
            <w:tcW w:w="72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1.9</w:t>
            </w:r>
          </w:p>
        </w:tc>
        <w:tc>
          <w:tcPr>
            <w:tcW w:w="280" w:type="dxa"/>
            <w:vAlign w:val="bottom"/>
            <w:tcBorders>
              <w:bottom w:val="single" w:sz="8" w:color="231F20"/>
            </w:tcBorders>
          </w:tcPr>
          <w:p>
            <w:pPr>
              <w:jc w:val="right"/>
              <w:ind w:right="59"/>
              <w:spacing w:after="0" w:line="176" w:lineRule="exact"/>
              <w:rPr>
                <w:sz w:val="20"/>
                <w:szCs w:val="20"/>
                <w:color w:val="auto"/>
              </w:rPr>
            </w:pPr>
            <w:r>
              <w:rPr>
                <w:rFonts w:ascii="Arial" w:cs="Arial" w:eastAsia="Arial" w:hAnsi="Arial"/>
                <w:sz w:val="16"/>
                <w:szCs w:val="16"/>
                <w:color w:val="231F20"/>
              </w:rPr>
              <w:t>$</w:t>
            </w:r>
          </w:p>
        </w:tc>
        <w:tc>
          <w:tcPr>
            <w:tcW w:w="74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3,134.5</w:t>
            </w:r>
          </w:p>
        </w:tc>
        <w:tc>
          <w:tcPr>
            <w:tcW w:w="240" w:type="dxa"/>
            <w:vAlign w:val="bottom"/>
            <w:tcBorders>
              <w:bottom w:val="single" w:sz="8" w:color="231F20"/>
            </w:tcBorders>
          </w:tcPr>
          <w:p>
            <w:pPr>
              <w:jc w:val="right"/>
              <w:ind w:right="39"/>
              <w:spacing w:after="0" w:line="176" w:lineRule="exact"/>
              <w:rPr>
                <w:sz w:val="20"/>
                <w:szCs w:val="20"/>
                <w:color w:val="auto"/>
              </w:rPr>
            </w:pPr>
            <w:r>
              <w:rPr>
                <w:rFonts w:ascii="Arial" w:cs="Arial" w:eastAsia="Arial" w:hAnsi="Arial"/>
                <w:sz w:val="16"/>
                <w:szCs w:val="16"/>
                <w:color w:val="231F20"/>
              </w:rPr>
              <w:t>$</w:t>
            </w:r>
          </w:p>
        </w:tc>
        <w:tc>
          <w:tcPr>
            <w:tcW w:w="132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63.3</w:t>
            </w:r>
          </w:p>
        </w:tc>
        <w:tc>
          <w:tcPr>
            <w:tcW w:w="16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w w:val="89"/>
              </w:rPr>
              <w:t>$</w:t>
            </w:r>
          </w:p>
        </w:tc>
        <w:tc>
          <w:tcPr>
            <w:tcW w:w="7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2,605.3</w:t>
            </w:r>
          </w:p>
        </w:tc>
        <w:tc>
          <w:tcPr>
            <w:tcW w:w="160" w:type="dxa"/>
            <w:vAlign w:val="bottom"/>
            <w:tcBorders>
              <w:bottom w:val="single" w:sz="8" w:color="231F20"/>
            </w:tcBorders>
          </w:tcPr>
          <w:p>
            <w:pPr>
              <w:jc w:val="center"/>
              <w:spacing w:after="0" w:line="176" w:lineRule="exact"/>
              <w:rPr>
                <w:sz w:val="20"/>
                <w:szCs w:val="20"/>
                <w:color w:val="auto"/>
              </w:rPr>
            </w:pPr>
            <w:r>
              <w:rPr>
                <w:rFonts w:ascii="Arial" w:cs="Arial" w:eastAsia="Arial" w:hAnsi="Arial"/>
                <w:sz w:val="16"/>
                <w:szCs w:val="16"/>
                <w:color w:val="231F20"/>
                <w:w w:val="89"/>
              </w:rPr>
              <w:t>$</w:t>
            </w:r>
          </w:p>
        </w:tc>
        <w:tc>
          <w:tcPr>
            <w:tcW w:w="7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(3,511.6)</w:t>
            </w:r>
          </w:p>
        </w:tc>
        <w:tc>
          <w:tcPr>
            <w:tcW w:w="18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w:t>
            </w:r>
          </w:p>
        </w:tc>
        <w:tc>
          <w:tcPr>
            <w:tcW w:w="740" w:type="dxa"/>
            <w:vAlign w:val="bottom"/>
            <w:tcBorders>
              <w:bottom w:val="single" w:sz="8" w:color="231F20"/>
            </w:tcBorders>
          </w:tcPr>
          <w:p>
            <w:pPr>
              <w:jc w:val="right"/>
              <w:spacing w:after="0" w:line="176" w:lineRule="exact"/>
              <w:rPr>
                <w:sz w:val="20"/>
                <w:szCs w:val="20"/>
                <w:color w:val="auto"/>
              </w:rPr>
            </w:pPr>
            <w:r>
              <w:rPr>
                <w:rFonts w:ascii="Arial" w:cs="Arial" w:eastAsia="Arial" w:hAnsi="Arial"/>
                <w:sz w:val="16"/>
                <w:szCs w:val="16"/>
                <w:color w:val="231F20"/>
              </w:rPr>
              <w:t>2,293.4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231F20"/>
        </w:rPr>
        <w:t>See Notes to Consolidated Financial Statements.</w:t>
      </w:r>
    </w:p>
    <w:p>
      <w:pPr>
        <w:sectPr>
          <w:pgSz w:w="12240" w:h="15840" w:orient="portrait"/>
          <w:cols w:equalWidth="0" w:num="1">
            <w:col w:w="9480"/>
          </w:cols>
          <w:pgMar w:left="1380" w:top="1440"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52</w:t>
      </w:r>
    </w:p>
    <w:p>
      <w:pPr>
        <w:sectPr>
          <w:pgSz w:w="12240" w:h="15840" w:orient="portrait"/>
          <w:cols w:equalWidth="0" w:num="1">
            <w:col w:w="9480"/>
          </w:cols>
          <w:pgMar w:left="1380" w:top="1440" w:right="1380" w:bottom="95"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color w:val="231F20"/>
        </w:rPr>
        <w:t>Notes to Consolidated Financial Statements</w:t>
      </w:r>
    </w:p>
    <w:p>
      <w:pPr>
        <w:spacing w:after="0" w:line="172" w:lineRule="exact"/>
        <w:rPr>
          <w:sz w:val="20"/>
          <w:szCs w:val="20"/>
          <w:color w:val="auto"/>
        </w:rPr>
      </w:pPr>
    </w:p>
    <w:p>
      <w:pPr>
        <w:ind w:left="400" w:hanging="394"/>
        <w:spacing w:after="0"/>
        <w:tabs>
          <w:tab w:leader="none" w:pos="400" w:val="left"/>
        </w:tabs>
        <w:numPr>
          <w:ilvl w:val="0"/>
          <w:numId w:val="22"/>
        </w:numPr>
        <w:rPr>
          <w:rFonts w:ascii="Arial" w:cs="Arial" w:eastAsia="Arial" w:hAnsi="Arial"/>
          <w:sz w:val="20"/>
          <w:szCs w:val="20"/>
          <w:b w:val="1"/>
          <w:bCs w:val="1"/>
          <w:color w:val="231F20"/>
        </w:rPr>
      </w:pPr>
      <w:r>
        <w:rPr>
          <w:rFonts w:ascii="Arial" w:cs="Arial" w:eastAsia="Arial" w:hAnsi="Arial"/>
          <w:sz w:val="20"/>
          <w:szCs w:val="20"/>
          <w:b w:val="1"/>
          <w:bCs w:val="1"/>
          <w:color w:val="231F20"/>
        </w:rPr>
        <w:t>Background and Basis of Presentation</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231F20"/>
        </w:rPr>
        <w:t>The Company is a leading innovation company focused on creating smarter, safer and more beautiful homes and lives with a portfolio of leading branded products used for residential home repair, remodeling, new construction and security applications. References to “Fortune Brands,” “the Company,” “we,” “our” and “us” refer to Fortune Brands Innovations, Inc. and its consolidated subsidiaries as a whole, unless the context otherwise requires.</w:t>
      </w:r>
    </w:p>
    <w:p>
      <w:pPr>
        <w:spacing w:after="0" w:line="128" w:lineRule="exact"/>
        <w:rPr>
          <w:sz w:val="20"/>
          <w:szCs w:val="20"/>
          <w:color w:val="auto"/>
        </w:rPr>
      </w:pPr>
    </w:p>
    <w:p>
      <w:pPr>
        <w:ind w:right="80"/>
        <w:spacing w:after="0" w:line="238" w:lineRule="auto"/>
        <w:rPr>
          <w:sz w:val="20"/>
          <w:szCs w:val="20"/>
          <w:color w:val="auto"/>
        </w:rPr>
      </w:pPr>
      <w:r>
        <w:rPr>
          <w:rFonts w:ascii="Arial" w:cs="Arial" w:eastAsia="Arial" w:hAnsi="Arial"/>
          <w:sz w:val="20"/>
          <w:szCs w:val="20"/>
          <w:b w:val="1"/>
          <w:bCs w:val="1"/>
          <w:color w:val="231F20"/>
        </w:rPr>
        <w:t xml:space="preserve">Basis of Presentation </w:t>
      </w:r>
      <w:r>
        <w:rPr>
          <w:rFonts w:ascii="Arial" w:cs="Arial" w:eastAsia="Arial" w:hAnsi="Arial"/>
          <w:sz w:val="20"/>
          <w:szCs w:val="20"/>
          <w:color w:val="231F20"/>
        </w:rPr>
        <w:t>The consolidated financial statements in this Annual Report on Form 10-K have</w:t>
      </w:r>
      <w:r>
        <w:rPr>
          <w:rFonts w:ascii="Arial" w:cs="Arial" w:eastAsia="Arial" w:hAnsi="Arial"/>
          <w:sz w:val="20"/>
          <w:szCs w:val="20"/>
          <w:b w:val="1"/>
          <w:bCs w:val="1"/>
          <w:color w:val="231F20"/>
        </w:rPr>
        <w:t xml:space="preserve"> </w:t>
      </w:r>
      <w:r>
        <w:rPr>
          <w:rFonts w:ascii="Arial" w:cs="Arial" w:eastAsia="Arial" w:hAnsi="Arial"/>
          <w:sz w:val="20"/>
          <w:szCs w:val="20"/>
          <w:color w:val="231F20"/>
        </w:rPr>
        <w:t>been derived from the accounts of the Company and its wholly-owned subsidiaries. Effective January 1, 2023, the Company changed its fiscal year end from December 31 to a 52- or 53-week fiscal year closing on the Saturday closest but not subsequent to December 31 of each year. These notes contain references to the years 2023, 2022 and 2021, which represents fiscal years ended December 30, 2023, December 31, 2022 and December 31, 2021, respectively.</w:t>
      </w:r>
    </w:p>
    <w:p>
      <w:pPr>
        <w:spacing w:after="0" w:line="132"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231F20"/>
        </w:rPr>
        <w:t>In June 2023, we acquired the Emtek and Schaub premium and luxury door and cabinet hardware business (the "Emtek and Schaub Business") and the U.S. and Canadian Yale and August residential smart locks business (the "Yale and August Business", and, collectively with the Emtek and Schaub Business, the "ASSA Businesses") from ASSA ABLOY, Inc. and its affiliates ("ASSA"). The Company completed the acquisition for a total purchase price of approximately $809.3 million, subject to post-closing adjustments, net of cash acquired of $16.3 million. As of the date of this filing, legal title to international operations in Vietnam has not yet transferred, but we expect a deferred closing, which will include a payment of approximately $23.5 million (which amount is already included in the overall purchase price but for which the cash payment has not yet been made) shortly following receipt of local regulatory approval. In preparation for the deferred closing, $23.5 million is classified as restricted cash within Other current assets and the corresponding payable is included within Other current liabilities. We financed the transaction with cash on hand. The results of the Emtek and Schaub Business are reported as part of the Water segment, and the results of the Yale and August Business are reported as part of the Security segment.</w:t>
      </w:r>
    </w:p>
    <w:p>
      <w:pPr>
        <w:spacing w:after="0" w:line="137"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color w:val="231F20"/>
        </w:rPr>
        <w:t>Effective in the first quarter of 2023, the Company revised its segment reporting from two reportable segments, Water Innovations and Outdoors &amp; Security, to three reportable segments, Water, Outdoors and Security. The change in segment reporting was made to align with changes made in the manner our chief operating decision maker reviews the Company’s operating results in assessing performance and allocating resources. Comparative prior periods amounts have been recast to conform to the new segment presentation.</w:t>
      </w:r>
    </w:p>
    <w:p>
      <w:pPr>
        <w:spacing w:after="0" w:line="128" w:lineRule="exact"/>
        <w:rPr>
          <w:sz w:val="20"/>
          <w:szCs w:val="20"/>
          <w:color w:val="auto"/>
        </w:rPr>
      </w:pPr>
    </w:p>
    <w:p>
      <w:pPr>
        <w:spacing w:after="0" w:line="234" w:lineRule="auto"/>
        <w:rPr>
          <w:sz w:val="20"/>
          <w:szCs w:val="20"/>
          <w:color w:val="auto"/>
        </w:rPr>
      </w:pPr>
      <w:r>
        <w:rPr>
          <w:rFonts w:ascii="Arial" w:cs="Arial" w:eastAsia="Arial" w:hAnsi="Arial"/>
          <w:sz w:val="20"/>
          <w:szCs w:val="20"/>
          <w:color w:val="231F20"/>
        </w:rPr>
        <w:t>On December 14, 2022, the Company completed the spin-off of its Cabinets business, MasterBrand, Inc. ("MasterBrand") via a tax-free spin-off transaction (the "Separation"). The Separation created two independent, publicly traded companies. Immediately following completion of the Separation, the Company changed its name from “Fortune Brands Home &amp; Security, Inc.” to “Fortune Brands Innovations, Inc.” and its stock ticker symbol changed from “FBHS” to “FBIN” to better reflect its focus on activities core to brands and innovation. As a result of the Separation, our former Cabinets segment was disposed of and the operating results of the Cabinets business are reported as discontinued operations for all periods presented within this Annual Report on Form 10-K. All amounts, percentages and disclosures for all periods presented reflect only the continuing operations of the Company unless otherwise noted. See Note 5, Discontinued Operations, for additional information.</w:t>
      </w:r>
    </w:p>
    <w:p>
      <w:pPr>
        <w:spacing w:after="0" w:line="142" w:lineRule="exact"/>
        <w:rPr>
          <w:sz w:val="20"/>
          <w:szCs w:val="20"/>
          <w:color w:val="auto"/>
        </w:rPr>
      </w:pPr>
    </w:p>
    <w:p>
      <w:pPr>
        <w:ind w:right="280"/>
        <w:spacing w:after="0" w:line="265" w:lineRule="auto"/>
        <w:rPr>
          <w:sz w:val="20"/>
          <w:szCs w:val="20"/>
          <w:color w:val="auto"/>
        </w:rPr>
      </w:pPr>
      <w:r>
        <w:rPr>
          <w:rFonts w:ascii="Arial" w:cs="Arial" w:eastAsia="Arial" w:hAnsi="Arial"/>
          <w:sz w:val="20"/>
          <w:szCs w:val="20"/>
          <w:color w:val="231F20"/>
        </w:rPr>
        <w:t>In July 2022, we acquired 100% of the outstanding equity of Aqualisa Holdings (International) Ltd. (“Aqualisa”), a leading U.K. manufacturer of shower products known for premium, innovative and smart digital shower systems, for a purchase price of $156.0 million, net of cash acquired of $4.8 million.</w:t>
      </w:r>
    </w:p>
    <w:p>
      <w:pPr>
        <w:spacing w:after="0" w:line="169" w:lineRule="exact"/>
        <w:rPr>
          <w:sz w:val="20"/>
          <w:szCs w:val="20"/>
          <w:color w:val="auto"/>
        </w:rPr>
      </w:pPr>
    </w:p>
    <w:p>
      <w:pPr>
        <w:ind w:right="240"/>
        <w:spacing w:after="0" w:line="265" w:lineRule="auto"/>
        <w:rPr>
          <w:sz w:val="20"/>
          <w:szCs w:val="20"/>
          <w:color w:val="auto"/>
        </w:rPr>
      </w:pPr>
      <w:r>
        <w:rPr>
          <w:rFonts w:ascii="Arial" w:cs="Arial" w:eastAsia="Arial" w:hAnsi="Arial"/>
          <w:sz w:val="20"/>
          <w:szCs w:val="20"/>
          <w:color w:val="231F20"/>
        </w:rPr>
        <w:t>In January 2022, we acquired 100% of the outstanding equity of Solar Innovations LLC and an affiliated entity (together, “Solar”), a leading producer of wide-opening exterior door systems and outdoor enclosures, for a purchase price of $61.6 million, net of cash acquired of $4.8 million.</w:t>
      </w:r>
    </w:p>
    <w:p>
      <w:pPr>
        <w:sectPr>
          <w:pgSz w:w="12240" w:h="15840" w:orient="portrait"/>
          <w:cols w:equalWidth="0" w:num="1">
            <w:col w:w="9480"/>
          </w:cols>
          <w:pgMar w:left="1380" w:top="1334"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53</w:t>
      </w:r>
    </w:p>
    <w:p>
      <w:pPr>
        <w:sectPr>
          <w:pgSz w:w="12240" w:h="15840" w:orient="portrait"/>
          <w:cols w:equalWidth="0" w:num="1">
            <w:col w:w="9480"/>
          </w:cols>
          <w:pgMar w:left="1380" w:top="1334" w:right="1380" w:bottom="95" w:gutter="0" w:footer="0" w:header="0"/>
          <w:type w:val="continuous"/>
        </w:sectPr>
      </w:pPr>
    </w:p>
    <w:bookmarkStart w:id="61" w:name="page62"/>
    <w:bookmarkEnd w:id="61"/>
    <w:p>
      <w:pPr>
        <w:spacing w:after="0" w:line="251" w:lineRule="auto"/>
        <w:rPr>
          <w:sz w:val="20"/>
          <w:szCs w:val="20"/>
          <w:color w:val="auto"/>
        </w:rPr>
      </w:pPr>
      <w:r>
        <w:rPr>
          <w:rFonts w:ascii="Arial" w:cs="Arial" w:eastAsia="Arial" w:hAnsi="Arial"/>
          <w:sz w:val="20"/>
          <w:szCs w:val="20"/>
          <w:color w:val="231F20"/>
        </w:rPr>
        <w:t>In January 2020, we entered into an agreement to acquire the outstanding shares of Flo Technologies ("Flo") in a multi-phase transaction. As part of this agreement, we acquired a majority of Flo’s outstanding shares during 2020 and entered into a forward contract to purchase all remaining shares of Flo during the first quarter of 2022. On January 30, 2022, we made a final cash payment of $16.7 million to the legacy minority shareholders to acquire such shares which is reflected within Other financing, net in our consolidated statements of cash flows.</w:t>
      </w:r>
    </w:p>
    <w:p>
      <w:pPr>
        <w:spacing w:after="0" w:line="170" w:lineRule="exact"/>
        <w:rPr>
          <w:sz w:val="20"/>
          <w:szCs w:val="20"/>
          <w:color w:val="auto"/>
        </w:rPr>
      </w:pPr>
    </w:p>
    <w:p>
      <w:pPr>
        <w:ind w:left="400" w:hanging="394"/>
        <w:spacing w:after="0"/>
        <w:tabs>
          <w:tab w:leader="none" w:pos="400" w:val="left"/>
        </w:tabs>
        <w:numPr>
          <w:ilvl w:val="0"/>
          <w:numId w:val="23"/>
        </w:numPr>
        <w:rPr>
          <w:rFonts w:ascii="Arial" w:cs="Arial" w:eastAsia="Arial" w:hAnsi="Arial"/>
          <w:sz w:val="20"/>
          <w:szCs w:val="20"/>
          <w:b w:val="1"/>
          <w:bCs w:val="1"/>
          <w:color w:val="231F20"/>
        </w:rPr>
      </w:pPr>
      <w:r>
        <w:rPr>
          <w:rFonts w:ascii="Arial" w:cs="Arial" w:eastAsia="Arial" w:hAnsi="Arial"/>
          <w:sz w:val="20"/>
          <w:szCs w:val="20"/>
          <w:b w:val="1"/>
          <w:bCs w:val="1"/>
          <w:color w:val="231F20"/>
        </w:rPr>
        <w:t>Significant Accounting Policies</w:t>
      </w:r>
    </w:p>
    <w:p>
      <w:pPr>
        <w:spacing w:after="0" w:line="171"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b w:val="1"/>
          <w:bCs w:val="1"/>
          <w:color w:val="231F20"/>
        </w:rPr>
        <w:t xml:space="preserve">Use of Estimates </w:t>
      </w:r>
      <w:r>
        <w:rPr>
          <w:rFonts w:ascii="Arial" w:cs="Arial" w:eastAsia="Arial" w:hAnsi="Arial"/>
          <w:sz w:val="20"/>
          <w:szCs w:val="20"/>
          <w:color w:val="231F20"/>
        </w:rPr>
        <w:t>The presentation of financial statements in accordance with U.S. generally accepted</w:t>
      </w:r>
      <w:r>
        <w:rPr>
          <w:rFonts w:ascii="Arial" w:cs="Arial" w:eastAsia="Arial" w:hAnsi="Arial"/>
          <w:sz w:val="20"/>
          <w:szCs w:val="20"/>
          <w:b w:val="1"/>
          <w:bCs w:val="1"/>
          <w:color w:val="231F20"/>
        </w:rPr>
        <w:t xml:space="preserve"> </w:t>
      </w:r>
      <w:r>
        <w:rPr>
          <w:rFonts w:ascii="Arial" w:cs="Arial" w:eastAsia="Arial" w:hAnsi="Arial"/>
          <w:sz w:val="20"/>
          <w:szCs w:val="20"/>
          <w:color w:val="231F20"/>
        </w:rPr>
        <w:t>accounting principles (“GAAP”) requires us to make estimates and assumptions that affect reported amounts and related disclosures. Actual results in future periods could differ from those estimates.</w:t>
      </w:r>
    </w:p>
    <w:p>
      <w:pPr>
        <w:spacing w:after="0" w:line="112" w:lineRule="exact"/>
        <w:rPr>
          <w:sz w:val="20"/>
          <w:szCs w:val="20"/>
          <w:color w:val="auto"/>
        </w:rPr>
      </w:pPr>
    </w:p>
    <w:p>
      <w:pPr>
        <w:ind w:right="180"/>
        <w:spacing w:after="0" w:line="277" w:lineRule="auto"/>
        <w:rPr>
          <w:sz w:val="20"/>
          <w:szCs w:val="20"/>
          <w:color w:val="auto"/>
        </w:rPr>
      </w:pPr>
      <w:r>
        <w:rPr>
          <w:rFonts w:ascii="Arial" w:cs="Arial" w:eastAsia="Arial" w:hAnsi="Arial"/>
          <w:sz w:val="20"/>
          <w:szCs w:val="20"/>
          <w:b w:val="1"/>
          <w:bCs w:val="1"/>
          <w:color w:val="231F20"/>
        </w:rPr>
        <w:t xml:space="preserve">Cash and Cash Equivalents </w:t>
      </w:r>
      <w:r>
        <w:rPr>
          <w:rFonts w:ascii="Arial" w:cs="Arial" w:eastAsia="Arial" w:hAnsi="Arial"/>
          <w:sz w:val="20"/>
          <w:szCs w:val="20"/>
          <w:color w:val="231F20"/>
        </w:rPr>
        <w:t>Highly liquid investments with an original maturity of three months or less</w:t>
      </w:r>
      <w:r>
        <w:rPr>
          <w:rFonts w:ascii="Arial" w:cs="Arial" w:eastAsia="Arial" w:hAnsi="Arial"/>
          <w:sz w:val="20"/>
          <w:szCs w:val="20"/>
          <w:b w:val="1"/>
          <w:bCs w:val="1"/>
          <w:color w:val="231F20"/>
        </w:rPr>
        <w:t xml:space="preserve"> </w:t>
      </w:r>
      <w:r>
        <w:rPr>
          <w:rFonts w:ascii="Arial" w:cs="Arial" w:eastAsia="Arial" w:hAnsi="Arial"/>
          <w:sz w:val="20"/>
          <w:szCs w:val="20"/>
          <w:color w:val="231F20"/>
        </w:rPr>
        <w:t>are included in cash and cash equivalents.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 xml:space="preserve">Allowances for Credit Losses </w:t>
      </w:r>
      <w:r>
        <w:rPr>
          <w:rFonts w:ascii="Arial" w:cs="Arial" w:eastAsia="Arial" w:hAnsi="Arial"/>
          <w:sz w:val="20"/>
          <w:szCs w:val="20"/>
          <w:color w:val="231F20"/>
        </w:rPr>
        <w:t>Trade receivables are recorded at the stated amount, less allowances for</w:t>
      </w:r>
      <w:r>
        <w:rPr>
          <w:rFonts w:ascii="Arial" w:cs="Arial" w:eastAsia="Arial" w:hAnsi="Arial"/>
          <w:sz w:val="20"/>
          <w:szCs w:val="20"/>
          <w:b w:val="1"/>
          <w:bCs w:val="1"/>
          <w:color w:val="231F20"/>
        </w:rPr>
        <w:t xml:space="preserve"> </w:t>
      </w:r>
      <w:r>
        <w:rPr>
          <w:rFonts w:ascii="Arial" w:cs="Arial" w:eastAsia="Arial" w:hAnsi="Arial"/>
          <w:sz w:val="20"/>
          <w:szCs w:val="20"/>
          <w:color w:val="231F20"/>
        </w:rPr>
        <w:t>discounts and credit losses. The allowances represent estimated uncollectible receivables associated with potential customer defaults on contractual obligations (usually due to customers’ potential insolvency) or discounts related to early payment of accounts receivables by our customers. The allowances for credit losses include provisions for certain customers where a risk of default has been specifically identified. In addition, the allowances include a provision for expected customer defaults on a general formula basis when it cannot yet be associated with specific customers. Expected credit losses are estimated using various factors, including the length of time the receivables are past due, historical collection experience and existing economic conditions. In accordance with this policy, our allowance for credit losses was $7.7 million and $5.5 million as of December 30, 2023 and December 31, 2022, respectively.</w:t>
      </w:r>
    </w:p>
    <w:p>
      <w:pPr>
        <w:spacing w:after="0" w:line="292" w:lineRule="exact"/>
        <w:rPr>
          <w:sz w:val="20"/>
          <w:szCs w:val="20"/>
          <w:color w:val="auto"/>
        </w:rPr>
      </w:pPr>
    </w:p>
    <w:p>
      <w:pPr>
        <w:ind w:right="200"/>
        <w:spacing w:after="0"/>
        <w:rPr>
          <w:sz w:val="20"/>
          <w:szCs w:val="20"/>
          <w:color w:val="auto"/>
        </w:rPr>
      </w:pPr>
      <w:r>
        <w:rPr>
          <w:rFonts w:ascii="Arial" w:cs="Arial" w:eastAsia="Arial" w:hAnsi="Arial"/>
          <w:sz w:val="20"/>
          <w:szCs w:val="20"/>
          <w:b w:val="1"/>
          <w:bCs w:val="1"/>
          <w:color w:val="231F20"/>
        </w:rPr>
        <w:t xml:space="preserve">Inventories </w:t>
      </w:r>
      <w:r>
        <w:rPr>
          <w:rFonts w:ascii="Arial" w:cs="Arial" w:eastAsia="Arial" w:hAnsi="Arial"/>
          <w:sz w:val="20"/>
          <w:szCs w:val="20"/>
          <w:color w:val="231F20"/>
        </w:rPr>
        <w:t>We use first-in, first-out inventory method. Inventory provisions are recorded to reduce</w:t>
      </w:r>
      <w:r>
        <w:rPr>
          <w:rFonts w:ascii="Arial" w:cs="Arial" w:eastAsia="Arial" w:hAnsi="Arial"/>
          <w:sz w:val="20"/>
          <w:szCs w:val="20"/>
          <w:b w:val="1"/>
          <w:bCs w:val="1"/>
          <w:color w:val="231F20"/>
        </w:rPr>
        <w:t xml:space="preserve"> </w:t>
      </w:r>
      <w:r>
        <w:rPr>
          <w:rFonts w:ascii="Arial" w:cs="Arial" w:eastAsia="Arial" w:hAnsi="Arial"/>
          <w:sz w:val="20"/>
          <w:szCs w:val="20"/>
          <w:color w:val="231F20"/>
        </w:rPr>
        <w:t>inventory to the net realizable dollar value for obsolete or slow moving inventory based on assumptions about future demand and marketability of products, the impact of new product introductions, inventory levels and turns, product spoilage and specific identification of items, such as product discontinuance, engineering/material changes, or regulatory-related changes.</w:t>
      </w:r>
    </w:p>
    <w:p>
      <w:pPr>
        <w:spacing w:after="0" w:line="147" w:lineRule="exact"/>
        <w:rPr>
          <w:sz w:val="20"/>
          <w:szCs w:val="20"/>
          <w:color w:val="auto"/>
        </w:rPr>
      </w:pPr>
    </w:p>
    <w:p>
      <w:pPr>
        <w:spacing w:after="0" w:line="228" w:lineRule="auto"/>
        <w:rPr>
          <w:sz w:val="20"/>
          <w:szCs w:val="20"/>
          <w:color w:val="auto"/>
        </w:rPr>
      </w:pPr>
      <w:r>
        <w:rPr>
          <w:rFonts w:ascii="Arial" w:cs="Arial" w:eastAsia="Arial" w:hAnsi="Arial"/>
          <w:sz w:val="20"/>
          <w:szCs w:val="20"/>
          <w:b w:val="1"/>
          <w:bCs w:val="1"/>
          <w:color w:val="231F20"/>
        </w:rPr>
        <w:t xml:space="preserve">Property, Plant and Equipment </w:t>
      </w:r>
      <w:r>
        <w:rPr>
          <w:rFonts w:ascii="Arial" w:cs="Arial" w:eastAsia="Arial" w:hAnsi="Arial"/>
          <w:sz w:val="20"/>
          <w:szCs w:val="20"/>
          <w:color w:val="231F20"/>
        </w:rPr>
        <w:t>Property, plant and equipment are carried at cost. Depreciation is</w:t>
      </w:r>
      <w:r>
        <w:rPr>
          <w:rFonts w:ascii="Arial" w:cs="Arial" w:eastAsia="Arial" w:hAnsi="Arial"/>
          <w:sz w:val="20"/>
          <w:szCs w:val="20"/>
          <w:b w:val="1"/>
          <w:bCs w:val="1"/>
          <w:color w:val="231F20"/>
        </w:rPr>
        <w:t xml:space="preserve"> </w:t>
      </w:r>
      <w:r>
        <w:rPr>
          <w:rFonts w:ascii="Arial" w:cs="Arial" w:eastAsia="Arial" w:hAnsi="Arial"/>
          <w:sz w:val="20"/>
          <w:szCs w:val="20"/>
          <w:color w:val="231F20"/>
        </w:rPr>
        <w:t>provided, principally on a straight-line basis, over the estimated useful lives of the assets. Gains or losses resulting from dispositions are included in operating income. Betterments and renewals, which improve and extend the life of an asset, are capitalized; maintenance and repair costs are expensed as incurred. Assets held for use to be disposed of at a future date are depreciated over the remaining useful life. Assets to be sold are written down to fair value less costs to sell at the time the assets are being actively marketed for sale. Estimated useful lives of the related assets are as follows:</w:t>
      </w:r>
    </w:p>
    <w:p>
      <w:pPr>
        <w:spacing w:after="0" w:line="169" w:lineRule="exact"/>
        <w:rPr>
          <w:sz w:val="20"/>
          <w:szCs w:val="20"/>
          <w:color w:val="auto"/>
        </w:rPr>
      </w:pPr>
    </w:p>
    <w:tbl>
      <w:tblPr>
        <w:tblLayout w:type="fixed"/>
        <w:tblInd w:w="1760" w:type="dxa"/>
        <w:tblCellMar>
          <w:top w:w="0" w:type="dxa"/>
          <w:left w:w="0" w:type="dxa"/>
          <w:bottom w:w="0" w:type="dxa"/>
          <w:right w:w="0" w:type="dxa"/>
        </w:tblCellMar>
      </w:tblPr>
      <w:tr>
        <w:trPr>
          <w:trHeight w:val="233"/>
        </w:trPr>
        <w:tc>
          <w:tcPr>
            <w:tcW w:w="4060" w:type="dxa"/>
            <w:vAlign w:val="bottom"/>
          </w:tcPr>
          <w:p>
            <w:pPr>
              <w:spacing w:after="0"/>
              <w:rPr>
                <w:sz w:val="20"/>
                <w:szCs w:val="20"/>
                <w:color w:val="auto"/>
              </w:rPr>
            </w:pPr>
            <w:r>
              <w:rPr>
                <w:rFonts w:ascii="Arial" w:cs="Arial" w:eastAsia="Arial" w:hAnsi="Arial"/>
                <w:sz w:val="20"/>
                <w:szCs w:val="20"/>
                <w:color w:val="231F20"/>
              </w:rPr>
              <w:t>Buildings and leasehold improvements</w:t>
            </w:r>
          </w:p>
        </w:tc>
        <w:tc>
          <w:tcPr>
            <w:tcW w:w="1900" w:type="dxa"/>
            <w:vAlign w:val="bottom"/>
          </w:tcPr>
          <w:p>
            <w:pPr>
              <w:jc w:val="right"/>
              <w:spacing w:after="0"/>
              <w:rPr>
                <w:sz w:val="20"/>
                <w:szCs w:val="20"/>
                <w:color w:val="auto"/>
              </w:rPr>
            </w:pPr>
            <w:r>
              <w:rPr>
                <w:rFonts w:ascii="Arial" w:cs="Arial" w:eastAsia="Arial" w:hAnsi="Arial"/>
                <w:sz w:val="20"/>
                <w:szCs w:val="20"/>
                <w:color w:val="231F20"/>
              </w:rPr>
              <w:t>15 to 40 years</w:t>
            </w:r>
          </w:p>
        </w:tc>
      </w:tr>
      <w:tr>
        <w:trPr>
          <w:trHeight w:val="233"/>
        </w:trPr>
        <w:tc>
          <w:tcPr>
            <w:tcW w:w="4060" w:type="dxa"/>
            <w:vAlign w:val="bottom"/>
          </w:tcPr>
          <w:p>
            <w:pPr>
              <w:spacing w:after="0"/>
              <w:rPr>
                <w:sz w:val="20"/>
                <w:szCs w:val="20"/>
                <w:color w:val="auto"/>
              </w:rPr>
            </w:pPr>
            <w:r>
              <w:rPr>
                <w:rFonts w:ascii="Arial" w:cs="Arial" w:eastAsia="Arial" w:hAnsi="Arial"/>
                <w:sz w:val="20"/>
                <w:szCs w:val="20"/>
                <w:color w:val="231F20"/>
              </w:rPr>
              <w:t>Machinery and equipment</w:t>
            </w:r>
          </w:p>
        </w:tc>
        <w:tc>
          <w:tcPr>
            <w:tcW w:w="1900" w:type="dxa"/>
            <w:vAlign w:val="bottom"/>
          </w:tcPr>
          <w:p>
            <w:pPr>
              <w:jc w:val="right"/>
              <w:spacing w:after="0"/>
              <w:rPr>
                <w:sz w:val="20"/>
                <w:szCs w:val="20"/>
                <w:color w:val="auto"/>
              </w:rPr>
            </w:pPr>
            <w:r>
              <w:rPr>
                <w:rFonts w:ascii="Arial" w:cs="Arial" w:eastAsia="Arial" w:hAnsi="Arial"/>
                <w:sz w:val="20"/>
                <w:szCs w:val="20"/>
                <w:color w:val="231F20"/>
              </w:rPr>
              <w:t>3 to 15 years</w:t>
            </w:r>
          </w:p>
        </w:tc>
      </w:tr>
      <w:tr>
        <w:trPr>
          <w:trHeight w:val="273"/>
        </w:trPr>
        <w:tc>
          <w:tcPr>
            <w:tcW w:w="4060" w:type="dxa"/>
            <w:vAlign w:val="bottom"/>
          </w:tcPr>
          <w:p>
            <w:pPr>
              <w:spacing w:after="0"/>
              <w:rPr>
                <w:sz w:val="20"/>
                <w:szCs w:val="20"/>
                <w:color w:val="auto"/>
              </w:rPr>
            </w:pPr>
            <w:r>
              <w:rPr>
                <w:rFonts w:ascii="Arial" w:cs="Arial" w:eastAsia="Arial" w:hAnsi="Arial"/>
                <w:sz w:val="20"/>
                <w:szCs w:val="20"/>
                <w:color w:val="231F20"/>
              </w:rPr>
              <w:t>Software</w:t>
            </w:r>
          </w:p>
        </w:tc>
        <w:tc>
          <w:tcPr>
            <w:tcW w:w="1900" w:type="dxa"/>
            <w:vAlign w:val="bottom"/>
          </w:tcPr>
          <w:p>
            <w:pPr>
              <w:jc w:val="right"/>
              <w:spacing w:after="0"/>
              <w:rPr>
                <w:sz w:val="20"/>
                <w:szCs w:val="20"/>
                <w:color w:val="auto"/>
              </w:rPr>
            </w:pPr>
            <w:r>
              <w:rPr>
                <w:rFonts w:ascii="Arial" w:cs="Arial" w:eastAsia="Arial" w:hAnsi="Arial"/>
                <w:sz w:val="20"/>
                <w:szCs w:val="20"/>
                <w:color w:val="231F20"/>
              </w:rPr>
              <w:t>3 to 7 years</w:t>
            </w:r>
          </w:p>
        </w:tc>
      </w:tr>
    </w:tbl>
    <w:p>
      <w:pPr>
        <w:spacing w:after="0" w:line="146" w:lineRule="exact"/>
        <w:rPr>
          <w:sz w:val="20"/>
          <w:szCs w:val="20"/>
          <w:color w:val="auto"/>
        </w:rPr>
      </w:pPr>
    </w:p>
    <w:p>
      <w:pPr>
        <w:ind w:right="20"/>
        <w:spacing w:after="0" w:line="226" w:lineRule="auto"/>
        <w:rPr>
          <w:sz w:val="20"/>
          <w:szCs w:val="20"/>
          <w:color w:val="auto"/>
        </w:rPr>
      </w:pPr>
      <w:r>
        <w:rPr>
          <w:rFonts w:ascii="Arial" w:cs="Arial" w:eastAsia="Arial" w:hAnsi="Arial"/>
          <w:sz w:val="20"/>
          <w:szCs w:val="20"/>
          <w:b w:val="1"/>
          <w:bCs w:val="1"/>
          <w:color w:val="231F20"/>
        </w:rPr>
        <w:t xml:space="preserve">Long-lived Assets </w:t>
      </w:r>
      <w:r>
        <w:rPr>
          <w:rFonts w:ascii="Arial" w:cs="Arial" w:eastAsia="Arial" w:hAnsi="Arial"/>
          <w:sz w:val="20"/>
          <w:szCs w:val="20"/>
          <w:color w:val="231F20"/>
        </w:rPr>
        <w:t>In accordance with Accounting Standards Codification ("ASC") requirements for</w:t>
      </w:r>
      <w:r>
        <w:rPr>
          <w:rFonts w:ascii="Arial" w:cs="Arial" w:eastAsia="Arial" w:hAnsi="Arial"/>
          <w:sz w:val="20"/>
          <w:szCs w:val="20"/>
          <w:b w:val="1"/>
          <w:bCs w:val="1"/>
          <w:color w:val="231F20"/>
        </w:rPr>
        <w:t xml:space="preserve"> </w:t>
      </w:r>
      <w:r>
        <w:rPr>
          <w:rFonts w:ascii="Arial" w:cs="Arial" w:eastAsia="Arial" w:hAnsi="Arial"/>
          <w:sz w:val="20"/>
          <w:szCs w:val="20"/>
          <w:color w:val="231F20"/>
        </w:rPr>
        <w:t>Property, Plant and Equipment, a long-lived asset (including amortizable identifiable intangible assets) or asset group held for use is tested for recoverability whenever events or changes in circumstances indicate that its carrying amount may not be recoverable. When such events occur, we compare the sum of the undiscounted cash flows expected to result from the use and eventual disposition of the asset or asset group to the carrying amount of a long-lived asset or asset group. The cash flows are based on our best estimate of future cash flows derived from the most recent business projections. If this comparison indicates that there is an impairment, the amount of the impairment is calculated based on fair value. Fair value is estimated primarily using discounted expected future cash flows on a market-participant basis.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231F20"/>
        </w:rPr>
        <w:t>No material impairments related to long-lived assets were recorded in 2023, 2022 or 2021.</w:t>
      </w:r>
    </w:p>
    <w:p>
      <w:pPr>
        <w:sectPr>
          <w:pgSz w:w="12240" w:h="15840" w:orient="portrait"/>
          <w:cols w:equalWidth="0" w:num="1">
            <w:col w:w="9420"/>
          </w:cols>
          <w:pgMar w:left="1380" w:top="1346" w:right="144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54</w:t>
      </w:r>
    </w:p>
    <w:p>
      <w:pPr>
        <w:sectPr>
          <w:pgSz w:w="12240" w:h="15840" w:orient="portrait"/>
          <w:cols w:equalWidth="0" w:num="1">
            <w:col w:w="9420"/>
          </w:cols>
          <w:pgMar w:left="1380" w:top="1346" w:right="1440" w:bottom="95" w:gutter="0" w:footer="0" w:header="0"/>
          <w:type w:val="continuous"/>
        </w:sectPr>
      </w:pPr>
    </w:p>
    <w:bookmarkStart w:id="62" w:name="page63"/>
    <w:bookmarkEnd w:id="62"/>
    <w:p>
      <w:pPr>
        <w:ind w:right="60"/>
        <w:spacing w:after="0" w:line="225" w:lineRule="auto"/>
        <w:rPr>
          <w:sz w:val="20"/>
          <w:szCs w:val="20"/>
          <w:color w:val="auto"/>
        </w:rPr>
      </w:pPr>
      <w:r>
        <w:rPr>
          <w:rFonts w:ascii="Arial" w:cs="Arial" w:eastAsia="Arial" w:hAnsi="Arial"/>
          <w:sz w:val="20"/>
          <w:szCs w:val="20"/>
          <w:b w:val="1"/>
          <w:bCs w:val="1"/>
          <w:color w:val="231F20"/>
        </w:rPr>
        <w:t xml:space="preserve">Leases </w:t>
      </w:r>
      <w:r>
        <w:rPr>
          <w:rFonts w:ascii="Arial" w:cs="Arial" w:eastAsia="Arial" w:hAnsi="Arial"/>
          <w:sz w:val="20"/>
          <w:szCs w:val="20"/>
          <w:color w:val="231F20"/>
        </w:rPr>
        <w:t>Operating lease assets and operating lease liabilities are recognized based on the present value</w:t>
      </w:r>
      <w:r>
        <w:rPr>
          <w:rFonts w:ascii="Arial" w:cs="Arial" w:eastAsia="Arial" w:hAnsi="Arial"/>
          <w:sz w:val="20"/>
          <w:szCs w:val="20"/>
          <w:b w:val="1"/>
          <w:bCs w:val="1"/>
          <w:color w:val="231F20"/>
        </w:rPr>
        <w:t xml:space="preserve"> </w:t>
      </w:r>
      <w:r>
        <w:rPr>
          <w:rFonts w:ascii="Arial" w:cs="Arial" w:eastAsia="Arial" w:hAnsi="Arial"/>
          <w:sz w:val="20"/>
          <w:szCs w:val="20"/>
          <w:color w:val="231F20"/>
        </w:rPr>
        <w:t>of the future lease payments over the lease term at commencement date. As most of our lease contracts do not provide an explicit interest rate, we use our incremental borrowing rate in determining the present value of future lease payments. Our incremental borrowing rates include estimates related to the impact of collateralization and the economic environment where the leased asset is located. The operating lease assets also include any prepaid lease payments and initial direct costs incurred, but exclude lease incentives received at lease commencement. Our lease terms include options to extend or terminate the lease when it is reasonably certain that we will exercise that option. Our leases have remaining lease terms of one to 10 years, some of which may include options to extend or terminate the lease. Operating lease expense is recognized on a straight-line basis over the lease term.</w:t>
      </w:r>
    </w:p>
    <w:p>
      <w:pPr>
        <w:spacing w:after="0" w:line="124"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231F20"/>
        </w:rPr>
        <w:t>We do not recognize leases with an initial term of twelve months or less on the balance sheet and instead recognize the related lease payments as expense in the consolidated statements of income on a straight-line basis over the lease term. We account for lease and non-lease components as a single lease component for all asset classes. Additionally, for certain equipment leases, we apply a portfolio approach and account for multiple lease components as a single lease component.</w:t>
      </w:r>
    </w:p>
    <w:p>
      <w:pPr>
        <w:spacing w:after="0" w:line="122" w:lineRule="exact"/>
        <w:rPr>
          <w:sz w:val="20"/>
          <w:szCs w:val="20"/>
          <w:color w:val="auto"/>
        </w:rPr>
      </w:pPr>
    </w:p>
    <w:p>
      <w:pPr>
        <w:ind w:right="220"/>
        <w:spacing w:after="0" w:line="235" w:lineRule="auto"/>
        <w:rPr>
          <w:sz w:val="20"/>
          <w:szCs w:val="20"/>
          <w:color w:val="auto"/>
        </w:rPr>
      </w:pPr>
      <w:r>
        <w:rPr>
          <w:rFonts w:ascii="Arial" w:cs="Arial" w:eastAsia="Arial" w:hAnsi="Arial"/>
          <w:sz w:val="20"/>
          <w:szCs w:val="20"/>
          <w:color w:val="231F20"/>
        </w:rPr>
        <w:t>Certain lease agreements include variable rental payments, including rental payments adjusted periodically for inflation. Variable rental payments are expensed during the period they are incurred and therefore are excluded from our lease assets and liabilities. Our lease agreements do not contain any material residual value guarantees or material restrictive covenants.</w:t>
      </w:r>
    </w:p>
    <w:p>
      <w:pPr>
        <w:spacing w:after="0" w:line="134"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231F20"/>
        </w:rPr>
        <w:t xml:space="preserve">Business Combinations </w:t>
      </w:r>
      <w:r>
        <w:rPr>
          <w:rFonts w:ascii="Arial" w:cs="Arial" w:eastAsia="Arial" w:hAnsi="Arial"/>
          <w:sz w:val="20"/>
          <w:szCs w:val="20"/>
          <w:color w:val="231F20"/>
        </w:rPr>
        <w:t>We account for business combinations under the acquisition method of</w:t>
      </w:r>
      <w:r>
        <w:rPr>
          <w:rFonts w:ascii="Arial" w:cs="Arial" w:eastAsia="Arial" w:hAnsi="Arial"/>
          <w:sz w:val="20"/>
          <w:szCs w:val="20"/>
          <w:b w:val="1"/>
          <w:bCs w:val="1"/>
          <w:color w:val="231F20"/>
        </w:rPr>
        <w:t xml:space="preserve"> </w:t>
      </w:r>
      <w:r>
        <w:rPr>
          <w:rFonts w:ascii="Arial" w:cs="Arial" w:eastAsia="Arial" w:hAnsi="Arial"/>
          <w:sz w:val="20"/>
          <w:szCs w:val="20"/>
          <w:color w:val="231F20"/>
        </w:rPr>
        <w:t xml:space="preserve">accounting in accordance with ASC Topic 805, </w:t>
      </w:r>
      <w:r>
        <w:rPr>
          <w:rFonts w:ascii="Arial" w:cs="Arial" w:eastAsia="Arial" w:hAnsi="Arial"/>
          <w:sz w:val="20"/>
          <w:szCs w:val="20"/>
          <w:i w:val="1"/>
          <w:iCs w:val="1"/>
          <w:color w:val="231F20"/>
        </w:rPr>
        <w:t>Business Combinations,</w:t>
      </w:r>
      <w:r>
        <w:rPr>
          <w:rFonts w:ascii="Arial" w:cs="Arial" w:eastAsia="Arial" w:hAnsi="Arial"/>
          <w:sz w:val="20"/>
          <w:szCs w:val="20"/>
          <w:color w:val="231F20"/>
        </w:rPr>
        <w:t xml:space="preserve"> which requires an allocation of the consideration we paid to the identifiable assets, intangible assets and liabilities based on the estimated fair values as of the closing date of the acquisition. The excess of the fair value of the purchase price over the fair values of these identifiable assets, intangible assets and liabilities is recorded as goodwill.</w:t>
      </w:r>
    </w:p>
    <w:p>
      <w:pPr>
        <w:spacing w:after="0" w:line="200" w:lineRule="exact"/>
        <w:rPr>
          <w:sz w:val="20"/>
          <w:szCs w:val="20"/>
          <w:color w:val="auto"/>
        </w:rPr>
      </w:pP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20"/>
          <w:szCs w:val="20"/>
          <w:color w:val="231F20"/>
        </w:rPr>
        <w:t>Purchased intangibles other than goodwill are initially recognized at fair value and amortized over their useful lives unless those lives are determined to be indefinite. The valuation of acquired assets will impact future operating results. The fair value of identifiable intangible assets is determined using an income approach on an individual asset basis. Specifically, we use the multi-period excess earnings method to determine the fair value of customer relationships and the relief-from-royalty approach to determine the fair value of the tradename and proprietary technology. Determining the fair value of acquired intangibles involves significant estimates and assumptions, including forecasted revenue growth rates, EBIT margins, percentage of revenue attributable to the tradename, contributory asset charges, customer attrition rate, market-participant discount rates, the assumed royalty rates and income tax rates.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231F20"/>
        </w:rPr>
        <w:t>The determination of the useful life of an intangible asset other than goodwill is based on factors including historical tradename performance with respect to consumer name recognition, geographic market presence, market share, plans for ongoing tradename support and promotion, customer attrition rate, and other relevant factors.</w:t>
      </w:r>
    </w:p>
    <w:p>
      <w:pPr>
        <w:spacing w:after="0" w:line="165"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b w:val="1"/>
          <w:bCs w:val="1"/>
          <w:color w:val="231F20"/>
        </w:rPr>
        <w:t xml:space="preserve">Goodwill and Indefinite-lived Intangible Assets </w:t>
      </w:r>
      <w:r>
        <w:rPr>
          <w:rFonts w:ascii="Arial" w:cs="Arial" w:eastAsia="Arial" w:hAnsi="Arial"/>
          <w:sz w:val="20"/>
          <w:szCs w:val="20"/>
          <w:color w:val="231F20"/>
        </w:rPr>
        <w:t>In accordance with ASC requirements for Intangibles -</w:t>
      </w:r>
      <w:r>
        <w:rPr>
          <w:rFonts w:ascii="Arial" w:cs="Arial" w:eastAsia="Arial" w:hAnsi="Arial"/>
          <w:sz w:val="20"/>
          <w:szCs w:val="20"/>
          <w:b w:val="1"/>
          <w:bCs w:val="1"/>
          <w:color w:val="231F20"/>
        </w:rPr>
        <w:t xml:space="preserve"> </w:t>
      </w:r>
      <w:r>
        <w:rPr>
          <w:rFonts w:ascii="Arial" w:cs="Arial" w:eastAsia="Arial" w:hAnsi="Arial"/>
          <w:sz w:val="20"/>
          <w:szCs w:val="20"/>
          <w:color w:val="231F20"/>
        </w:rPr>
        <w:t>Goodwill and Other, management reviews goodwill for impairment annually in the fourth quarter and whenever market or business events indicate there may be a potential impairment of the reporting unit. Impairment losses are recorded to the extent that the carrying value of the reporting unit exceeds its fair value. The Company’s reporting units are operating segments, or one level below operating segments when appropriate.</w:t>
      </w:r>
    </w:p>
    <w:p>
      <w:pPr>
        <w:sectPr>
          <w:pgSz w:w="12240" w:h="15840" w:orient="portrait"/>
          <w:cols w:equalWidth="0" w:num="1">
            <w:col w:w="9460"/>
          </w:cols>
          <w:pgMar w:left="1380" w:top="1323"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55</w:t>
      </w:r>
    </w:p>
    <w:p>
      <w:pPr>
        <w:sectPr>
          <w:pgSz w:w="12240" w:h="15840" w:orient="portrait"/>
          <w:cols w:equalWidth="0" w:num="1">
            <w:col w:w="9460"/>
          </w:cols>
          <w:pgMar w:left="1380" w:top="1323" w:right="1400" w:bottom="95" w:gutter="0" w:footer="0" w:header="0"/>
          <w:type w:val="continuous"/>
        </w:sectPr>
      </w:pPr>
    </w:p>
    <w:bookmarkStart w:id="63" w:name="page64"/>
    <w:bookmarkEnd w:id="63"/>
    <w:p>
      <w:pPr>
        <w:spacing w:after="0" w:line="232" w:lineRule="auto"/>
        <w:rPr>
          <w:sz w:val="20"/>
          <w:szCs w:val="20"/>
          <w:color w:val="auto"/>
        </w:rPr>
      </w:pPr>
      <w:r>
        <w:rPr>
          <w:rFonts w:ascii="Arial" w:cs="Arial" w:eastAsia="Arial" w:hAnsi="Arial"/>
          <w:sz w:val="20"/>
          <w:szCs w:val="20"/>
          <w:color w:val="231F20"/>
        </w:rPr>
        <w:t>To evaluate the recoverability of goodwill, we first assess qualitative factors to determine whether it is more likely than not that goodwill is impaired. Qualitative factors include changes in volume, margin, customers and the industry. If it is deemed more likely than not that goodwill for a reporting unit is impaired, we will perform a quantitative impairment test where fair value of each reporting unit is estimated using the income approach using a discounted cash flow model based on estimates of future cash flows combined with the market approach using comparable trading and transaction multiples based on guideline public companies. We may also elect to bypass the qualitative testing and proceed directly to the quantitative testing. For the income approach, using a discounted cash flow model, we estimate the future cash flows of the reporting units to which the goodwill relates and then discount the future cash flows at a market-participant-derived discount rate. In determining the estimated future cash flows, we consider current and projected future levels of income based on management’s plans for that business; business trends, prospects and market and economic conditions; and market-participant considerations. Furthermore, our cash flow projections used to assess impairment of our goodwill and other intangible assets are significantly influenced by our projection for the U.S. new home starts and home repair remodel spending, our annual operating plans finalized in the fourth quarter of each year, and our ability to execute on various planned cost reduction initiatives supporting operating income improvements. Our projection for the U.S. home products market is inherently uncertain and is subject to a number of factors, such as employment, home prices, credit availability, new home starts and the rate of home foreclosures. For the market approach, we apply comparable trading and transaction multiples based on guideline public companies to the current operating results of the reporting units to determine each reporting unit’s fair value.</w:t>
      </w:r>
    </w:p>
    <w:p>
      <w:pPr>
        <w:spacing w:after="0" w:line="212" w:lineRule="exact"/>
        <w:rPr>
          <w:sz w:val="20"/>
          <w:szCs w:val="20"/>
          <w:color w:val="auto"/>
        </w:rPr>
      </w:pPr>
    </w:p>
    <w:p>
      <w:pPr>
        <w:ind w:right="320"/>
        <w:spacing w:after="0" w:line="265" w:lineRule="auto"/>
        <w:rPr>
          <w:sz w:val="20"/>
          <w:szCs w:val="20"/>
          <w:color w:val="auto"/>
        </w:rPr>
      </w:pPr>
      <w:r>
        <w:rPr>
          <w:rFonts w:ascii="Arial" w:cs="Arial" w:eastAsia="Arial" w:hAnsi="Arial"/>
          <w:sz w:val="20"/>
          <w:szCs w:val="20"/>
          <w:color w:val="231F20"/>
        </w:rPr>
        <w:t>The significant assumptions that are used to determine the estimated fair value of reporting units for impairment testing are forecasted revenue growth rates, operating income margins, market-participant discount rates and EBITDA multiples.</w:t>
      </w:r>
    </w:p>
    <w:p>
      <w:pPr>
        <w:spacing w:after="0" w:line="17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231F20"/>
        </w:rPr>
        <w:t>Certain of our tradenames have been assigned an indefinite life as we currently anticipate that these tradenames will contribute cash flows to the Company indefinitely. Indefinite-lived intangible assets are not amortized, but are evaluated at least annually to determine whether the indefinite useful life is appropriate. We measure the fair value of identifiable intangible assets upon acquisition and we review for impairment annually in the fourth quarter and whenever market or business events indicate there may be a potential impairment of that intangible. Impairment losses are recorded to the extent that the carrying value of the indefinite-lived intangible asset exceeds its fair value.</w:t>
      </w:r>
    </w:p>
    <w:p>
      <w:pPr>
        <w:spacing w:after="0" w:line="194"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231F20"/>
        </w:rPr>
        <w:t>We first assess qualitative factors to determine whether it is more likely than not that an indefinite-lived intangible asset is impaired. Qualitative factors include changes in volume, customers and the industry. If it is deemed more likely than not that an intangible asset is impaired, we will perform a quantitative impairment test. We measure fair value of our indefinite-lived tradenames using the relief-from-royalty approach which estimates the present value of royalty income that could be hypothetically earned by licensing the brand name to a third party over the remaining useful life. The significant assumptions that are used to determine the estimated fair value for indefinite-lived intangible assets upon acquisition and subsequent impairment testing are forecasted revenue growth rates, the assumed royalty rates and the market-participant discount rates. Of our $520.1 million indefinite-lived tradenames, $216.9 million relate to our Water segment, $271.2 million relate to our Outdoors segment and $32.0 million relate to our Security segment as of December 30, 2023. See Note 6, “Goodwill and Identifiable Intangible Assets,” for additional information.</w:t>
      </w:r>
    </w:p>
    <w:p>
      <w:pPr>
        <w:spacing w:after="0" w:line="198"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231F20"/>
        </w:rPr>
        <w:t>Events or circumstances that could have a potential negative effect on the estimated fair value of our reporting units and indefinite-lived tradenames include: lower than forecasted revenues, actual new construction and repair and remodel growth rates that fall below our assumptions, actions of key customers, increases in discount rates, continued economic uncertainty, higher levels of unemployment, weak consumer confidence, lower levels of discretionary consumer spending, a decrease in royalty rates and decline in the trading price of our common stock. We cannot predict the occurrence of certain events or changes in circumstances that might adversely affect the carrying value of goodwill and indefinite-lived assets.</w:t>
      </w:r>
    </w:p>
    <w:p>
      <w:pPr>
        <w:sectPr>
          <w:pgSz w:w="12240" w:h="15840" w:orient="portrait"/>
          <w:cols w:equalWidth="0" w:num="1">
            <w:col w:w="9460"/>
          </w:cols>
          <w:pgMar w:left="1380" w:top="1327"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56</w:t>
      </w:r>
    </w:p>
    <w:p>
      <w:pPr>
        <w:sectPr>
          <w:pgSz w:w="12240" w:h="15840" w:orient="portrait"/>
          <w:cols w:equalWidth="0" w:num="1">
            <w:col w:w="9460"/>
          </w:cols>
          <w:pgMar w:left="1380" w:top="1327" w:right="1400" w:bottom="95" w:gutter="0" w:footer="0" w:header="0"/>
          <w:type w:val="continuous"/>
        </w:sectPr>
      </w:pPr>
    </w:p>
    <w:bookmarkStart w:id="64" w:name="page65"/>
    <w:bookmarkEnd w:id="64"/>
    <w:p>
      <w:pPr>
        <w:ind w:right="120"/>
        <w:spacing w:after="0" w:line="248" w:lineRule="auto"/>
        <w:rPr>
          <w:sz w:val="20"/>
          <w:szCs w:val="20"/>
          <w:color w:val="auto"/>
        </w:rPr>
      </w:pPr>
      <w:r>
        <w:rPr>
          <w:rFonts w:ascii="Arial" w:cs="Arial" w:eastAsia="Arial" w:hAnsi="Arial"/>
          <w:sz w:val="20"/>
          <w:szCs w:val="20"/>
          <w:b w:val="1"/>
          <w:bCs w:val="1"/>
          <w:color w:val="231F20"/>
        </w:rPr>
        <w:t xml:space="preserve">Investments in Equity Securities </w:t>
      </w:r>
      <w:r>
        <w:rPr>
          <w:rFonts w:ascii="Arial" w:cs="Arial" w:eastAsia="Arial" w:hAnsi="Arial"/>
          <w:sz w:val="20"/>
          <w:szCs w:val="20"/>
          <w:color w:val="231F20"/>
        </w:rPr>
        <w:t>In accordance with ASC requirements for investments in equity</w:t>
      </w:r>
      <w:r>
        <w:rPr>
          <w:rFonts w:ascii="Arial" w:cs="Arial" w:eastAsia="Arial" w:hAnsi="Arial"/>
          <w:sz w:val="20"/>
          <w:szCs w:val="20"/>
          <w:b w:val="1"/>
          <w:bCs w:val="1"/>
          <w:color w:val="231F20"/>
        </w:rPr>
        <w:t xml:space="preserve"> </w:t>
      </w:r>
      <w:r>
        <w:rPr>
          <w:rFonts w:ascii="Arial" w:cs="Arial" w:eastAsia="Arial" w:hAnsi="Arial"/>
          <w:sz w:val="20"/>
          <w:szCs w:val="20"/>
          <w:color w:val="231F20"/>
        </w:rPr>
        <w:t>securities, we utilize the equity method to account for investments when we possess the ability to exercise significant influence, but not control, over the operating and financial policies of the investee. The ability to exercise significant influence is presumed when the investor possesses more than 20% of the voting interests of the investee. This presumption may be overcome based on specific facts and circumstances that demonstrate that the ability to exercise significant influence is restricted. In applying the equity method, we record our investment at cost and subsequently increase or decrease the carrying amount of the investment by our proportionate share of the net earnings or losses of the investee. We record dividends or other equity distributions as reductions in the carrying value of our investment.</w:t>
      </w:r>
    </w:p>
    <w:p>
      <w:pPr>
        <w:spacing w:after="0" w:line="133" w:lineRule="exact"/>
        <w:rPr>
          <w:sz w:val="20"/>
          <w:szCs w:val="20"/>
          <w:color w:val="auto"/>
        </w:rPr>
      </w:pPr>
    </w:p>
    <w:p>
      <w:pPr>
        <w:spacing w:after="0" w:line="243" w:lineRule="auto"/>
        <w:rPr>
          <w:sz w:val="20"/>
          <w:szCs w:val="20"/>
          <w:color w:val="auto"/>
        </w:rPr>
      </w:pPr>
      <w:r>
        <w:rPr>
          <w:rFonts w:ascii="Arial" w:cs="Arial" w:eastAsia="Arial" w:hAnsi="Arial"/>
          <w:sz w:val="20"/>
          <w:szCs w:val="20"/>
          <w:color w:val="231F20"/>
        </w:rPr>
        <w:t>When we do not have the ability to exercise significant influence over the operating and financial policies of the investee, we account for non-controlling investments in equity securities at fair value, with any gains or losses recognized through other income and expense. Equity securities without readily determinable fair values are recorded at cost minus impairment, plus or minus any changes resulting from observable price changes in orderly transactions for identical or similar investments of the same issuer.</w:t>
      </w:r>
    </w:p>
    <w:p>
      <w:pPr>
        <w:spacing w:after="0" w:line="132"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231F20"/>
        </w:rPr>
        <w:t>As of December 30, 2023, all of our investments in our strategic partners where we do not have significant influence over the investee do not have readily determinable fair values. As of December 30, 2023 and December 31, 2022, the carrying value of our investments were $3.5 million and $3.5 million, respectively, which is included in other assets within our Consolidated Balance Sheet. There were no impairments or other changes resulting from observable prices changes recorded during 2023, 2022 or 2021.</w:t>
      </w:r>
    </w:p>
    <w:p>
      <w:pPr>
        <w:spacing w:after="0" w:line="138" w:lineRule="exact"/>
        <w:rPr>
          <w:sz w:val="20"/>
          <w:szCs w:val="20"/>
          <w:color w:val="auto"/>
        </w:rPr>
      </w:pPr>
    </w:p>
    <w:p>
      <w:pPr>
        <w:ind w:right="180"/>
        <w:spacing w:after="0" w:line="255" w:lineRule="auto"/>
        <w:rPr>
          <w:sz w:val="20"/>
          <w:szCs w:val="20"/>
          <w:color w:val="auto"/>
        </w:rPr>
      </w:pPr>
      <w:r>
        <w:rPr>
          <w:rFonts w:ascii="Arial" w:cs="Arial" w:eastAsia="Arial" w:hAnsi="Arial"/>
          <w:sz w:val="20"/>
          <w:szCs w:val="20"/>
          <w:b w:val="1"/>
          <w:bCs w:val="1"/>
          <w:color w:val="231F20"/>
        </w:rPr>
        <w:t xml:space="preserve">Defined Benefit Plans </w:t>
      </w:r>
      <w:r>
        <w:rPr>
          <w:rFonts w:ascii="Arial" w:cs="Arial" w:eastAsia="Arial" w:hAnsi="Arial"/>
          <w:sz w:val="20"/>
          <w:szCs w:val="20"/>
          <w:color w:val="231F20"/>
        </w:rPr>
        <w:t>We have a number of pension plans in the United States, covering many of the</w:t>
      </w:r>
      <w:r>
        <w:rPr>
          <w:rFonts w:ascii="Arial" w:cs="Arial" w:eastAsia="Arial" w:hAnsi="Arial"/>
          <w:sz w:val="20"/>
          <w:szCs w:val="20"/>
          <w:b w:val="1"/>
          <w:bCs w:val="1"/>
          <w:color w:val="231F20"/>
        </w:rPr>
        <w:t xml:space="preserve"> </w:t>
      </w:r>
      <w:r>
        <w:rPr>
          <w:rFonts w:ascii="Arial" w:cs="Arial" w:eastAsia="Arial" w:hAnsi="Arial"/>
          <w:sz w:val="20"/>
          <w:szCs w:val="20"/>
          <w:color w:val="231F20"/>
        </w:rPr>
        <w:t>Company’s employees. In addition, the Company provides postretirement health care and life insurance benefits to certain retirees. Service cost for 2023 relates to benefit accruals for an hourly Union group within the defined benefit plan for our Security segment. All other benefit accruals under our defined benefit pension plans were frozen as of, or prior to, December 31, 2016.</w:t>
      </w:r>
    </w:p>
    <w:p>
      <w:pPr>
        <w:spacing w:after="0" w:line="178"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231F20"/>
        </w:rPr>
        <w:t>We record amounts relating to these plans based on calculations in accordance with ASC requirements for Compensation – Retirement Benefits, which include various actuarial assumptions, including discount rates, assumed rates of return, compensation increases, turnover rates and health care cost trend rates. Actuarial gains or losses related to these assumptions represent the difference between actual and actuarially assumed experience. We recognize changes in the net actuarial gains or losses in other income, net to the extent they exceed 10 percent of the greater of the fair value of pension plan assets or projected benefit obligation for each plan (the “corridor”) in earnings immediately upon remeasurement, which is at least annually in the fourth quarter of each fiscal year. We review our actuarial assumptions on an annual basis and make modifications to the assumptions based on current economic conditions and trends. The discount rate used to measure obligations is based on a spot-rate yield curve on a plan-by-plan basis that matches projected future benefit payments with the appropriate interest rate applicable to the timing of the projected future benefit payments. The expected rate of return on plan assets is determined based on the nature of the plans’ investments, our current asset allocation and our expectations for long-term rates of return. Compensation increases reflect expected future compensation trends. For postretirement benefits, our health care trend rate assumption is based on historical cost increases and expectations for long-term increases. The cost or benefit of plan changes, such as increasing or decreasing benefits for prior employee service (prior service cost), is deferred and included in expense on a straight-line basis over the average remaining service period of the related employees. We believe that the assumptions utilized in recording obligations under our plans, which are presented in Note 15, “Defined Benefit Plans,” are reasonable based on our experience and on advice from our independent actuaries; however, differences in actual experience or changes in the assumptions may materially affect our financial position and results of operations. We will continue to monitor these assumptions as market conditions warrant.</w:t>
      </w:r>
    </w:p>
    <w:p>
      <w:pPr>
        <w:spacing w:after="0" w:line="151"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b w:val="1"/>
          <w:bCs w:val="1"/>
          <w:color w:val="231F20"/>
        </w:rPr>
        <w:t xml:space="preserve">Insurance Reserves </w:t>
      </w:r>
      <w:r>
        <w:rPr>
          <w:rFonts w:ascii="Arial" w:cs="Arial" w:eastAsia="Arial" w:hAnsi="Arial"/>
          <w:sz w:val="20"/>
          <w:szCs w:val="20"/>
          <w:color w:val="231F20"/>
        </w:rPr>
        <w:t>We provide for expenses associated with workers’ compensation and product</w:t>
      </w:r>
      <w:r>
        <w:rPr>
          <w:rFonts w:ascii="Arial" w:cs="Arial" w:eastAsia="Arial" w:hAnsi="Arial"/>
          <w:sz w:val="20"/>
          <w:szCs w:val="20"/>
          <w:b w:val="1"/>
          <w:bCs w:val="1"/>
          <w:color w:val="231F20"/>
        </w:rPr>
        <w:t xml:space="preserve"> </w:t>
      </w:r>
      <w:r>
        <w:rPr>
          <w:rFonts w:ascii="Arial" w:cs="Arial" w:eastAsia="Arial" w:hAnsi="Arial"/>
          <w:sz w:val="20"/>
          <w:szCs w:val="20"/>
          <w:color w:val="231F20"/>
        </w:rPr>
        <w:t>liability obligations when such amounts are probable and can be reasonably estimated. The accruals are adjusted as new information develops or circumstances change that would affect the estimated liability.</w:t>
      </w:r>
    </w:p>
    <w:p>
      <w:pPr>
        <w:sectPr>
          <w:pgSz w:w="12240" w:h="15840" w:orient="portrait"/>
          <w:cols w:equalWidth="0" w:num="1">
            <w:col w:w="9460"/>
          </w:cols>
          <w:pgMar w:left="1380" w:top="1342"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57</w:t>
      </w:r>
    </w:p>
    <w:p>
      <w:pPr>
        <w:sectPr>
          <w:pgSz w:w="12240" w:h="15840" w:orient="portrait"/>
          <w:cols w:equalWidth="0" w:num="1">
            <w:col w:w="9460"/>
          </w:cols>
          <w:pgMar w:left="1380" w:top="1342" w:right="1400" w:bottom="95" w:gutter="0" w:footer="0" w:header="0"/>
          <w:type w:val="continuous"/>
        </w:sectPr>
      </w:pPr>
    </w:p>
    <w:bookmarkStart w:id="65" w:name="page66"/>
    <w:bookmarkEnd w:id="65"/>
    <w:p>
      <w:pPr>
        <w:ind w:right="100"/>
        <w:spacing w:after="0" w:line="234" w:lineRule="auto"/>
        <w:rPr>
          <w:sz w:val="20"/>
          <w:szCs w:val="20"/>
          <w:color w:val="auto"/>
        </w:rPr>
      </w:pPr>
      <w:r>
        <w:rPr>
          <w:rFonts w:ascii="Arial" w:cs="Arial" w:eastAsia="Arial" w:hAnsi="Arial"/>
          <w:sz w:val="20"/>
          <w:szCs w:val="20"/>
          <w:b w:val="1"/>
          <w:bCs w:val="1"/>
          <w:color w:val="231F20"/>
        </w:rPr>
        <w:t xml:space="preserve">Litigation Contingencies </w:t>
      </w:r>
      <w:r>
        <w:rPr>
          <w:rFonts w:ascii="Arial" w:cs="Arial" w:eastAsia="Arial" w:hAnsi="Arial"/>
          <w:sz w:val="20"/>
          <w:szCs w:val="20"/>
          <w:color w:val="231F20"/>
        </w:rPr>
        <w:t>Our businesses are subject to risks related to threatened or pending litigation</w:t>
      </w:r>
      <w:r>
        <w:rPr>
          <w:rFonts w:ascii="Arial" w:cs="Arial" w:eastAsia="Arial" w:hAnsi="Arial"/>
          <w:sz w:val="20"/>
          <w:szCs w:val="20"/>
          <w:b w:val="1"/>
          <w:bCs w:val="1"/>
          <w:color w:val="231F20"/>
        </w:rPr>
        <w:t xml:space="preserve"> </w:t>
      </w:r>
      <w:r>
        <w:rPr>
          <w:rFonts w:ascii="Arial" w:cs="Arial" w:eastAsia="Arial" w:hAnsi="Arial"/>
          <w:sz w:val="20"/>
          <w:szCs w:val="20"/>
          <w:color w:val="231F20"/>
        </w:rPr>
        <w:t>and are routinely defendants in lawsuits associated with the normal conduct of business. Liabilities and costs associated with litigation-related loss contingencies require estimates and judgments based on our knowledge of the facts and circumstances surrounding each matter and the advice of our legal counsel. We record liabilities for litigation-related losses when a loss is probable and we can reasonably estimate the amount of the loss in accordance with ASC requirements for Contingencies. We evaluate the measurement of recorded liabilities each reporting period based on the then-current facts and circumstances specific to each matter. The ultimate losses incurred upon final resolution of litigation-related loss contingencies may differ materially from the estimated liability recorded at any particular balance sheet date. Changes in estimates are recorded in earnings in the period in which such changes occur.</w:t>
      </w:r>
    </w:p>
    <w:p>
      <w:pPr>
        <w:spacing w:after="0" w:line="186" w:lineRule="exact"/>
        <w:rPr>
          <w:sz w:val="20"/>
          <w:szCs w:val="20"/>
          <w:color w:val="auto"/>
        </w:rPr>
      </w:pPr>
    </w:p>
    <w:p>
      <w:pPr>
        <w:ind w:right="20"/>
        <w:spacing w:after="0"/>
        <w:rPr>
          <w:sz w:val="20"/>
          <w:szCs w:val="20"/>
          <w:color w:val="auto"/>
        </w:rPr>
      </w:pPr>
      <w:r>
        <w:rPr>
          <w:rFonts w:ascii="Arial" w:cs="Arial" w:eastAsia="Arial" w:hAnsi="Arial"/>
          <w:sz w:val="20"/>
          <w:szCs w:val="20"/>
          <w:b w:val="1"/>
          <w:bCs w:val="1"/>
          <w:color w:val="231F20"/>
        </w:rPr>
        <w:t xml:space="preserve">Income Taxes </w:t>
      </w:r>
      <w:r>
        <w:rPr>
          <w:rFonts w:ascii="Arial" w:cs="Arial" w:eastAsia="Arial" w:hAnsi="Arial"/>
          <w:sz w:val="20"/>
          <w:szCs w:val="20"/>
          <w:color w:val="231F20"/>
        </w:rPr>
        <w:t>In accordance with ASC requirements for Income Taxes, we establish deferred tax</w:t>
      </w:r>
      <w:r>
        <w:rPr>
          <w:rFonts w:ascii="Arial" w:cs="Arial" w:eastAsia="Arial" w:hAnsi="Arial"/>
          <w:sz w:val="20"/>
          <w:szCs w:val="20"/>
          <w:b w:val="1"/>
          <w:bCs w:val="1"/>
          <w:color w:val="231F20"/>
        </w:rPr>
        <w:t xml:space="preserve"> </w:t>
      </w:r>
      <w:r>
        <w:rPr>
          <w:rFonts w:ascii="Arial" w:cs="Arial" w:eastAsia="Arial" w:hAnsi="Arial"/>
          <w:sz w:val="20"/>
          <w:szCs w:val="20"/>
          <w:color w:val="231F20"/>
        </w:rPr>
        <w:t>liabilities or assets for temporary differences between financial and tax reporting basis and subsequently adjust them to reflect changes in tax rates expected to be in effect when the temporary differences reverse. We record a valuation allowance reducing deferred tax assets when it is more likely than not that such assets will not be realized.</w:t>
      </w:r>
    </w:p>
    <w:p>
      <w:pPr>
        <w:spacing w:after="0" w:line="200" w:lineRule="exact"/>
        <w:rPr>
          <w:sz w:val="20"/>
          <w:szCs w:val="20"/>
          <w:color w:val="auto"/>
        </w:rPr>
      </w:pPr>
    </w:p>
    <w:p>
      <w:pPr>
        <w:spacing w:after="0" w:line="211"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231F20"/>
        </w:rPr>
        <w:t>We record liabilities for uncertain income tax positions based on a two-step process. The first step is recognition, where we evaluate whether an individual tax position has a likelihood of greater than 50% of being sustained upon examination based on the technical merits of the position, including resolution of any related appeals or litigation processes. For tax positions that are currently estimated to have a less than 50% likelihood of being sustained, no tax benefit is recorded. For tax positions that have met the recognition threshold in the first step, we perform the second step of measuring the benefit to be recorded. The actual benefits ultimately realized may differ from our estimates. In future periods, changes in facts, circumstances and new information may require us to change the recognition and measurement estimates with regard to individual tax positions. Changes in recognition and measurement estimates are recorded in the consolidated statement of income and consolidated balance sheet in the period in which such changes occur. As of December 30, 2023, we had liabilities for unrecognized tax benefits pertaining to uncertain tax positions totaling $25.6 million. It is reasonably possible that the unrecognized tax benefits may decrease by $7.7 million in the next 12 months primarily as a result of the lapse of statutes of U.S. federal, state and foreign income taxes.</w:t>
      </w:r>
    </w:p>
    <w:p>
      <w:pPr>
        <w:spacing w:after="0" w:line="352"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b w:val="1"/>
          <w:bCs w:val="1"/>
          <w:color w:val="231F20"/>
        </w:rPr>
        <w:t xml:space="preserve">Revenue Recognition </w:t>
      </w:r>
      <w:r>
        <w:rPr>
          <w:rFonts w:ascii="Arial" w:cs="Arial" w:eastAsia="Arial" w:hAnsi="Arial"/>
          <w:sz w:val="20"/>
          <w:szCs w:val="20"/>
          <w:color w:val="231F20"/>
        </w:rPr>
        <w:t>The Company recognizes revenue for the sale of goods based on its assessment</w:t>
      </w:r>
      <w:r>
        <w:rPr>
          <w:rFonts w:ascii="Arial" w:cs="Arial" w:eastAsia="Arial" w:hAnsi="Arial"/>
          <w:sz w:val="20"/>
          <w:szCs w:val="20"/>
          <w:b w:val="1"/>
          <w:bCs w:val="1"/>
          <w:color w:val="231F20"/>
        </w:rPr>
        <w:t xml:space="preserve"> </w:t>
      </w:r>
      <w:r>
        <w:rPr>
          <w:rFonts w:ascii="Arial" w:cs="Arial" w:eastAsia="Arial" w:hAnsi="Arial"/>
          <w:sz w:val="20"/>
          <w:szCs w:val="20"/>
          <w:color w:val="231F20"/>
        </w:rPr>
        <w:t>of when control transfers to our customers. See Note 14, “Revenue,” for additional information.</w:t>
      </w:r>
    </w:p>
    <w:p>
      <w:pPr>
        <w:spacing w:after="0" w:line="8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b w:val="1"/>
          <w:bCs w:val="1"/>
          <w:color w:val="231F20"/>
        </w:rPr>
        <w:t xml:space="preserve">Cost of Products Sold </w:t>
      </w:r>
      <w:r>
        <w:rPr>
          <w:rFonts w:ascii="Arial" w:cs="Arial" w:eastAsia="Arial" w:hAnsi="Arial"/>
          <w:sz w:val="20"/>
          <w:szCs w:val="20"/>
          <w:color w:val="231F20"/>
        </w:rPr>
        <w:t>Cost of products sold includes all costs to make products saleable, such as labor</w:t>
      </w:r>
      <w:r>
        <w:rPr>
          <w:rFonts w:ascii="Arial" w:cs="Arial" w:eastAsia="Arial" w:hAnsi="Arial"/>
          <w:sz w:val="20"/>
          <w:szCs w:val="20"/>
          <w:b w:val="1"/>
          <w:bCs w:val="1"/>
          <w:color w:val="231F20"/>
        </w:rPr>
        <w:t xml:space="preserve"> </w:t>
      </w:r>
      <w:r>
        <w:rPr>
          <w:rFonts w:ascii="Arial" w:cs="Arial" w:eastAsia="Arial" w:hAnsi="Arial"/>
          <w:sz w:val="20"/>
          <w:szCs w:val="20"/>
          <w:color w:val="231F20"/>
        </w:rPr>
        <w:t>costs, inbound freight, purchasing and receiving costs, inspection costs and internal transfer costs. In addition, all depreciation expense associated with assets used to manufacture products and make them saleable is included in cost of products sold.</w:t>
      </w:r>
    </w:p>
    <w:p>
      <w:pPr>
        <w:spacing w:after="0" w:line="123"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231F20"/>
        </w:rPr>
        <w:t xml:space="preserve">Customer Program Costs </w:t>
      </w:r>
      <w:r>
        <w:rPr>
          <w:rFonts w:ascii="Arial" w:cs="Arial" w:eastAsia="Arial" w:hAnsi="Arial"/>
          <w:sz w:val="20"/>
          <w:szCs w:val="20"/>
          <w:color w:val="231F20"/>
        </w:rPr>
        <w:t>Customer programs and incentives are a common practice in our businesses.</w:t>
      </w:r>
      <w:r>
        <w:rPr>
          <w:rFonts w:ascii="Arial" w:cs="Arial" w:eastAsia="Arial" w:hAnsi="Arial"/>
          <w:sz w:val="20"/>
          <w:szCs w:val="20"/>
          <w:b w:val="1"/>
          <w:bCs w:val="1"/>
          <w:color w:val="231F20"/>
        </w:rPr>
        <w:t xml:space="preserve"> </w:t>
      </w:r>
      <w:r>
        <w:rPr>
          <w:rFonts w:ascii="Arial" w:cs="Arial" w:eastAsia="Arial" w:hAnsi="Arial"/>
          <w:sz w:val="20"/>
          <w:szCs w:val="20"/>
          <w:color w:val="231F20"/>
        </w:rPr>
        <w:t>Our businesses incur customer program costs to obtain favorable product placement, to promote sales of products and to maintain competitive pricing. We record estimates to reduce revenue for customer programs and incentives, which are considered variable consideration, and include price discounts, volume-based incentives, promotions and cooperative advertising when revenue is recognized in order to determine the amount of consideration the Company will ultimately be entitled to receive. These estimates are based on historical and projected experience for each type of customer. In addition, for certain customer program incentives, we receive an identifiable benefit (goods or services) in exchange for the consideration given and record the associated expenditure in selling, general and administrative expenses. Volume allowances are accrued based on management’s estimates of customer volume achievement and other factors incorporated into customer agreements, such as new products, store sell-through, merchandising support, levels of returns and customer training. Management periodically reviews accruals for these rebates and allowances, and adjusts accruals when circumstances indicate (typically as a result of a change in volume expectations). The costs typically recognized in selling, general and administrative expenses include product displays, point of sale materials and media production costs. The costs included in the selling, general and administrative expenses category were $28.1 million, $24.7 million and $25.2 million in 2023, 2022 and 2021, respectively.</w:t>
      </w:r>
    </w:p>
    <w:p>
      <w:pPr>
        <w:sectPr>
          <w:pgSz w:w="12240" w:h="15840" w:orient="portrait"/>
          <w:cols w:equalWidth="0" w:num="1">
            <w:col w:w="9440"/>
          </w:cols>
          <w:pgMar w:left="1380" w:top="1331" w:right="1420" w:bottom="95"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58</w:t>
      </w:r>
    </w:p>
    <w:p>
      <w:pPr>
        <w:sectPr>
          <w:pgSz w:w="12240" w:h="15840" w:orient="portrait"/>
          <w:cols w:equalWidth="0" w:num="1">
            <w:col w:w="9440"/>
          </w:cols>
          <w:pgMar w:left="1380" w:top="1331" w:right="1420" w:bottom="95" w:gutter="0" w:footer="0" w:header="0"/>
          <w:type w:val="continuous"/>
        </w:sectPr>
      </w:pPr>
    </w:p>
    <w:bookmarkStart w:id="66" w:name="page67"/>
    <w:bookmarkEnd w:id="66"/>
    <w:p>
      <w:pPr>
        <w:ind w:right="280"/>
        <w:spacing w:after="0" w:line="244" w:lineRule="auto"/>
        <w:rPr>
          <w:sz w:val="20"/>
          <w:szCs w:val="20"/>
          <w:color w:val="auto"/>
        </w:rPr>
      </w:pPr>
      <w:r>
        <w:rPr>
          <w:rFonts w:ascii="Arial" w:cs="Arial" w:eastAsia="Arial" w:hAnsi="Arial"/>
          <w:sz w:val="20"/>
          <w:szCs w:val="20"/>
          <w:b w:val="1"/>
          <w:bCs w:val="1"/>
          <w:color w:val="231F20"/>
        </w:rPr>
        <w:t xml:space="preserve">Selling, General and Administrative Expenses </w:t>
      </w:r>
      <w:r>
        <w:rPr>
          <w:rFonts w:ascii="Arial" w:cs="Arial" w:eastAsia="Arial" w:hAnsi="Arial"/>
          <w:sz w:val="20"/>
          <w:szCs w:val="20"/>
          <w:color w:val="231F20"/>
        </w:rPr>
        <w:t>Selling, general and administrative expenses include</w:t>
      </w:r>
      <w:r>
        <w:rPr>
          <w:rFonts w:ascii="Arial" w:cs="Arial" w:eastAsia="Arial" w:hAnsi="Arial"/>
          <w:sz w:val="20"/>
          <w:szCs w:val="20"/>
          <w:b w:val="1"/>
          <w:bCs w:val="1"/>
          <w:color w:val="231F20"/>
        </w:rPr>
        <w:t xml:space="preserve"> </w:t>
      </w:r>
      <w:r>
        <w:rPr>
          <w:rFonts w:ascii="Arial" w:cs="Arial" w:eastAsia="Arial" w:hAnsi="Arial"/>
          <w:sz w:val="20"/>
          <w:szCs w:val="20"/>
          <w:color w:val="231F20"/>
        </w:rPr>
        <w:t>advertising costs; marketing costs; selling costs, including commissions; research and development costs; shipping and handling costs, including warehousing costs; and general and administrative expenses. Shipping and handling costs included in selling, general and administrative expenses were $161.3 million, $162.9 million and $164.0 million in 2023, 2022 and 2021, respectively</w:t>
      </w:r>
      <w:r>
        <w:rPr>
          <w:rFonts w:ascii="Arial" w:cs="Arial" w:eastAsia="Arial" w:hAnsi="Arial"/>
          <w:sz w:val="20"/>
          <w:szCs w:val="20"/>
          <w:i w:val="1"/>
          <w:iCs w:val="1"/>
          <w:color w:val="231F20"/>
        </w:rPr>
        <w:t>.</w:t>
      </w:r>
    </w:p>
    <w:p>
      <w:pPr>
        <w:spacing w:after="0" w:line="132" w:lineRule="exact"/>
        <w:rPr>
          <w:sz w:val="20"/>
          <w:szCs w:val="20"/>
          <w:color w:val="auto"/>
        </w:rPr>
      </w:pPr>
    </w:p>
    <w:p>
      <w:pPr>
        <w:ind w:right="80"/>
        <w:spacing w:after="0"/>
        <w:rPr>
          <w:sz w:val="20"/>
          <w:szCs w:val="20"/>
          <w:color w:val="auto"/>
        </w:rPr>
      </w:pPr>
      <w:r>
        <w:rPr>
          <w:rFonts w:ascii="Arial" w:cs="Arial" w:eastAsia="Arial" w:hAnsi="Arial"/>
          <w:sz w:val="20"/>
          <w:szCs w:val="20"/>
          <w:color w:val="231F20"/>
        </w:rPr>
        <w:t>Advertising costs, which amounted to $221.5 million, $220.7 million and $231.7 million in 2023, 2022 and 2021, respectively, are principally expensed as incurred. Advertising costs paid to customers as pricing rebates include product displays, marketing administration costs, media production costs and point-of-sale materials. Advertising costs recorded as a reduction to net sales, primarily cooperative advertising, were $51.4 million, $47.7 million and $40.7 million in 2023, 2022 and 2021, respectively. Advertising costs recorded in selling, general and administrative expenses were $170.1 million, $173.0 million and $191.0 million in 2023, 2022 and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231F20"/>
        </w:rPr>
        <w:t>Research and development expenses include product development, product improvement, product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231F20"/>
        </w:rPr>
        <w:t>engineering and process improvement costs. Research and development expenses, which were</w:t>
      </w:r>
    </w:p>
    <w:p>
      <w:pPr>
        <w:spacing w:after="0" w:line="232" w:lineRule="auto"/>
        <w:rPr>
          <w:sz w:val="20"/>
          <w:szCs w:val="20"/>
          <w:color w:val="auto"/>
        </w:rPr>
      </w:pPr>
      <w:r>
        <w:rPr>
          <w:rFonts w:ascii="Arial" w:cs="Arial" w:eastAsia="Arial" w:hAnsi="Arial"/>
          <w:sz w:val="20"/>
          <w:szCs w:val="20"/>
          <w:color w:val="231F20"/>
        </w:rPr>
        <w:t>$64.6 million, $62.0 million and $64.1 million in 2023, 2022 and 2021, respectively, are expensed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231F20"/>
        </w:rPr>
        <w:t>incurred within selling, general and administrative expenses.</w:t>
      </w:r>
    </w:p>
    <w:p>
      <w:pPr>
        <w:spacing w:after="0" w:line="145"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b w:val="1"/>
          <w:bCs w:val="1"/>
          <w:color w:val="231F20"/>
        </w:rPr>
        <w:t xml:space="preserve">Stock-based Compensation </w:t>
      </w:r>
      <w:r>
        <w:rPr>
          <w:rFonts w:ascii="Arial" w:cs="Arial" w:eastAsia="Arial" w:hAnsi="Arial"/>
          <w:sz w:val="20"/>
          <w:szCs w:val="20"/>
          <w:color w:val="231F20"/>
        </w:rPr>
        <w:t>Stock-based compensation expense, measured as the fair value of an</w:t>
      </w:r>
      <w:r>
        <w:rPr>
          <w:rFonts w:ascii="Arial" w:cs="Arial" w:eastAsia="Arial" w:hAnsi="Arial"/>
          <w:sz w:val="20"/>
          <w:szCs w:val="20"/>
          <w:b w:val="1"/>
          <w:bCs w:val="1"/>
          <w:color w:val="231F20"/>
        </w:rPr>
        <w:t xml:space="preserve"> </w:t>
      </w:r>
      <w:r>
        <w:rPr>
          <w:rFonts w:ascii="Arial" w:cs="Arial" w:eastAsia="Arial" w:hAnsi="Arial"/>
          <w:sz w:val="20"/>
          <w:szCs w:val="20"/>
          <w:color w:val="231F20"/>
        </w:rPr>
        <w:t>award on the date of grant, is recognized in the financial statements over the period that an employee is required to provide services in exchange for the award. Compensation expense is recorded net of forfeitures, which we have elected to record in the period they occur. The fair value of each option award is measured on the date of grant using the Black-Scholes option-pricing model. The fair value of each performance share award is based on the average of the high and low share prices on the date of grant and the probability of meeting performance targets. The fair value of each restricted stock unit granted is equal to the average of the high and low share prices on the date of grant. See Note 13, “Stock-Based Compensation,” for additional information.</w:t>
      </w:r>
    </w:p>
    <w:p>
      <w:pPr>
        <w:spacing w:after="0" w:line="136"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b w:val="1"/>
          <w:bCs w:val="1"/>
          <w:color w:val="231F20"/>
        </w:rPr>
        <w:t xml:space="preserve">Earnings Per Share </w:t>
      </w:r>
      <w:r>
        <w:rPr>
          <w:rFonts w:ascii="Arial" w:cs="Arial" w:eastAsia="Arial" w:hAnsi="Arial"/>
          <w:sz w:val="20"/>
          <w:szCs w:val="20"/>
          <w:color w:val="231F20"/>
        </w:rPr>
        <w:t>Earnings per common share is calculated by dividing net income attributable to</w:t>
      </w:r>
      <w:r>
        <w:rPr>
          <w:rFonts w:ascii="Arial" w:cs="Arial" w:eastAsia="Arial" w:hAnsi="Arial"/>
          <w:sz w:val="20"/>
          <w:szCs w:val="20"/>
          <w:b w:val="1"/>
          <w:bCs w:val="1"/>
          <w:color w:val="231F20"/>
        </w:rPr>
        <w:t xml:space="preserve"> </w:t>
      </w:r>
      <w:r>
        <w:rPr>
          <w:rFonts w:ascii="Arial" w:cs="Arial" w:eastAsia="Arial" w:hAnsi="Arial"/>
          <w:sz w:val="20"/>
          <w:szCs w:val="20"/>
          <w:color w:val="231F20"/>
        </w:rPr>
        <w:t>Fortune Brands by the weighted-average number of shares of common stock outstanding during the year. Diluted earnings per common share include the impact of all potentially dilutive securities outstanding during the year. See Note 20, “Earnings Per Share,” for further discussion.</w:t>
      </w:r>
    </w:p>
    <w:p>
      <w:pPr>
        <w:spacing w:after="0" w:line="119" w:lineRule="exact"/>
        <w:rPr>
          <w:sz w:val="20"/>
          <w:szCs w:val="20"/>
          <w:color w:val="auto"/>
        </w:rPr>
      </w:pPr>
    </w:p>
    <w:p>
      <w:pPr>
        <w:ind w:right="40"/>
        <w:spacing w:after="0"/>
        <w:rPr>
          <w:sz w:val="20"/>
          <w:szCs w:val="20"/>
          <w:color w:val="auto"/>
        </w:rPr>
      </w:pPr>
      <w:r>
        <w:rPr>
          <w:rFonts w:ascii="Arial" w:cs="Arial" w:eastAsia="Arial" w:hAnsi="Arial"/>
          <w:sz w:val="20"/>
          <w:szCs w:val="20"/>
          <w:b w:val="1"/>
          <w:bCs w:val="1"/>
          <w:color w:val="231F20"/>
        </w:rPr>
        <w:t xml:space="preserve">Foreign Currency Translation </w:t>
      </w:r>
      <w:r>
        <w:rPr>
          <w:rFonts w:ascii="Arial" w:cs="Arial" w:eastAsia="Arial" w:hAnsi="Arial"/>
          <w:sz w:val="20"/>
          <w:szCs w:val="20"/>
          <w:color w:val="231F20"/>
        </w:rPr>
        <w:t>Foreign currency balance sheet accounts are translated into U.S. dollars</w:t>
      </w:r>
      <w:r>
        <w:rPr>
          <w:rFonts w:ascii="Arial" w:cs="Arial" w:eastAsia="Arial" w:hAnsi="Arial"/>
          <w:sz w:val="20"/>
          <w:szCs w:val="20"/>
          <w:b w:val="1"/>
          <w:bCs w:val="1"/>
          <w:color w:val="231F20"/>
        </w:rPr>
        <w:t xml:space="preserve"> </w:t>
      </w:r>
      <w:r>
        <w:rPr>
          <w:rFonts w:ascii="Arial" w:cs="Arial" w:eastAsia="Arial" w:hAnsi="Arial"/>
          <w:sz w:val="20"/>
          <w:szCs w:val="20"/>
          <w:color w:val="231F20"/>
        </w:rPr>
        <w:t>at the actual rates of exchange at the balance sheet date. Income and expenses are translated at the average rates of exchange in effect during the period for the foreign subsidiaries where the local currency is the functional currency. The related translation adjustments are made directly to a separate component of the “accumulated other comprehensive income” (“AOCI”) caption in equity. Transactions denominated in a currency other than the functional currency of a subsidiary are translated into functional currency with resulting transaction gains or losses recorded in other expense, net.</w:t>
      </w:r>
    </w:p>
    <w:p>
      <w:pPr>
        <w:spacing w:after="0" w:line="133"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231F20"/>
        </w:rPr>
        <w:t xml:space="preserve">Derivative Financial Instruments </w:t>
      </w:r>
      <w:r>
        <w:rPr>
          <w:rFonts w:ascii="Arial" w:cs="Arial" w:eastAsia="Arial" w:hAnsi="Arial"/>
          <w:sz w:val="20"/>
          <w:szCs w:val="20"/>
          <w:color w:val="231F20"/>
        </w:rPr>
        <w:t>In accordance with ASC requirements for Derivatives and Hedging,</w:t>
      </w:r>
      <w:r>
        <w:rPr>
          <w:rFonts w:ascii="Arial" w:cs="Arial" w:eastAsia="Arial" w:hAnsi="Arial"/>
          <w:sz w:val="20"/>
          <w:szCs w:val="20"/>
          <w:b w:val="1"/>
          <w:bCs w:val="1"/>
          <w:color w:val="231F20"/>
        </w:rPr>
        <w:t xml:space="preserve"> </w:t>
      </w:r>
      <w:r>
        <w:rPr>
          <w:rFonts w:ascii="Arial" w:cs="Arial" w:eastAsia="Arial" w:hAnsi="Arial"/>
          <w:sz w:val="20"/>
          <w:szCs w:val="20"/>
          <w:color w:val="231F20"/>
        </w:rPr>
        <w:t>we recognize all derivative contracts as either assets or liabilities on the balance sheet, and the measurement of those instruments is at fair value. If the derivative is designated as a fair value hedge and is effective, the changes in the fair value of the derivative and of the hedged item attributable to the hedged risk are recognized in earnings in the same period. If the derivative is designated as a cash flow hedge, the changes in the fair value of the derivative are recorded in other comprehensive income (“OCI”) and are recognized in the consolidated statement of income when the hedged item affects earnings. If the derivative is designated as an effective economic hedge of the net investment in a foreign operation, the changes in the fair value of the derivative is reported in the cumulative translation adjustment section of OCI. Similar to foreign currency translation adjustments, these changes in fair value are recognized in earnings only when realized upon sale or upon complete or substantially complete liquidation of the investment in the foreign entity.</w:t>
      </w:r>
    </w:p>
    <w:p>
      <w:pPr>
        <w:spacing w:after="0" w:line="136"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231F20"/>
        </w:rPr>
        <w:t>Deferred currency gains (loss) of $5.2 million, $4.7 million and $(2.6) million (before tax impact) were reclassified into earnings for 2023, 2022 and 2021, respectively. Based on foreign exchange rates as of December 30, 2023, we estimate that $9.9 million of net derivative gain included in AOCI as of December 30, 2023, will be reclassified to earnings within the next twelve months.</w:t>
      </w:r>
    </w:p>
    <w:p>
      <w:pPr>
        <w:sectPr>
          <w:pgSz w:w="12240" w:h="15840" w:orient="portrait"/>
          <w:cols w:equalWidth="0" w:num="1">
            <w:col w:w="9460"/>
          </w:cols>
          <w:pgMar w:left="1380" w:top="1334"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59</w:t>
      </w:r>
    </w:p>
    <w:p>
      <w:pPr>
        <w:sectPr>
          <w:pgSz w:w="12240" w:h="15840" w:orient="portrait"/>
          <w:cols w:equalWidth="0" w:num="1">
            <w:col w:w="9460"/>
          </w:cols>
          <w:pgMar w:left="1380" w:top="1334" w:right="1400" w:bottom="95"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b w:val="1"/>
          <w:bCs w:val="1"/>
          <w:color w:val="231F20"/>
        </w:rPr>
        <w:t>New Accounting Pronouncements</w:t>
      </w:r>
    </w:p>
    <w:p>
      <w:pPr>
        <w:spacing w:after="0" w:line="179"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231F20"/>
        </w:rPr>
        <w:t>In November 2023, the Financial Accounting Standards Board (“FASB”) issued Accounting Standards Update ("ASU") 2023-07, which improves segment disclosure reporting requirements, primarily through enhanced disclosures about significant segment expenses. The ASU is effective for fiscal years beginning after December 15, 2023, and early adoption is permitted. We are currently assessing the impact on our consolidated financial statements and related segment disclosures.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231F20"/>
        </w:rPr>
        <w:t>In December 2023, the FASB issued ASU 2023-09 which requires expanded disclosure of the effective tax rate reconciliation and income taxes paid. ASU 2023-09 is effective for annual periods beginning after December 15, 2024. We are currently assessing the impact on our financial statement disclosures.</w:t>
      </w:r>
    </w:p>
    <w:p>
      <w:pPr>
        <w:spacing w:after="0" w:line="132" w:lineRule="exact"/>
        <w:rPr>
          <w:sz w:val="20"/>
          <w:szCs w:val="20"/>
          <w:color w:val="auto"/>
        </w:rPr>
      </w:pPr>
    </w:p>
    <w:p>
      <w:pPr>
        <w:ind w:left="400" w:hanging="394"/>
        <w:spacing w:after="0"/>
        <w:tabs>
          <w:tab w:leader="none" w:pos="400" w:val="left"/>
        </w:tabs>
        <w:numPr>
          <w:ilvl w:val="0"/>
          <w:numId w:val="24"/>
        </w:numPr>
        <w:rPr>
          <w:rFonts w:ascii="Arial" w:cs="Arial" w:eastAsia="Arial" w:hAnsi="Arial"/>
          <w:sz w:val="20"/>
          <w:szCs w:val="20"/>
          <w:b w:val="1"/>
          <w:bCs w:val="1"/>
          <w:color w:val="231F20"/>
        </w:rPr>
      </w:pPr>
      <w:r>
        <w:rPr>
          <w:rFonts w:ascii="Arial" w:cs="Arial" w:eastAsia="Arial" w:hAnsi="Arial"/>
          <w:sz w:val="20"/>
          <w:szCs w:val="20"/>
          <w:b w:val="1"/>
          <w:bCs w:val="1"/>
          <w:color w:val="231F20"/>
        </w:rPr>
        <w:t>Balance Sheet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231F20"/>
        </w:rPr>
        <w:t>Supplemental information on our year-end consolidated balance sheets is as follows:</w:t>
      </w:r>
    </w:p>
    <w:p>
      <w:pPr>
        <w:spacing w:after="0" w:line="201" w:lineRule="exact"/>
        <w:rPr>
          <w:sz w:val="20"/>
          <w:szCs w:val="20"/>
          <w:color w:val="auto"/>
        </w:rPr>
      </w:pPr>
    </w:p>
    <w:tbl>
      <w:tblPr>
        <w:tblLayout w:type="fixed"/>
        <w:tblInd w:w="480" w:type="dxa"/>
        <w:tblCellMar>
          <w:top w:w="0" w:type="dxa"/>
          <w:left w:w="0" w:type="dxa"/>
          <w:bottom w:w="0" w:type="dxa"/>
          <w:right w:w="0" w:type="dxa"/>
        </w:tblCellMar>
      </w:tblPr>
      <w:tr>
        <w:trPr>
          <w:trHeight w:val="147"/>
        </w:trPr>
        <w:tc>
          <w:tcPr>
            <w:tcW w:w="6220" w:type="dxa"/>
            <w:vAlign w:val="bottom"/>
            <w:tcBorders>
              <w:top w:val="single" w:sz="8" w:color="231F20"/>
            </w:tcBorders>
          </w:tcPr>
          <w:p>
            <w:pPr>
              <w:spacing w:after="0"/>
              <w:rPr>
                <w:sz w:val="12"/>
                <w:szCs w:val="12"/>
                <w:color w:val="auto"/>
              </w:rPr>
            </w:pPr>
          </w:p>
        </w:tc>
        <w:tc>
          <w:tcPr>
            <w:tcW w:w="200" w:type="dxa"/>
            <w:vAlign w:val="bottom"/>
            <w:tcBorders>
              <w:top w:val="single" w:sz="8" w:color="231F20"/>
            </w:tcBorders>
          </w:tcPr>
          <w:p>
            <w:pPr>
              <w:spacing w:after="0"/>
              <w:rPr>
                <w:sz w:val="12"/>
                <w:szCs w:val="12"/>
                <w:color w:val="auto"/>
              </w:rPr>
            </w:pPr>
          </w:p>
        </w:tc>
        <w:tc>
          <w:tcPr>
            <w:tcW w:w="920" w:type="dxa"/>
            <w:vAlign w:val="bottom"/>
            <w:tcBorders>
              <w:top w:val="single" w:sz="8" w:color="231F20"/>
              <w:right w:val="single" w:sz="8" w:color="231F20"/>
            </w:tcBorders>
          </w:tcPr>
          <w:p>
            <w:pPr>
              <w:jc w:val="right"/>
              <w:ind w:right="102"/>
              <w:spacing w:after="0" w:line="146" w:lineRule="exact"/>
              <w:rPr>
                <w:sz w:val="20"/>
                <w:szCs w:val="20"/>
                <w:color w:val="auto"/>
              </w:rPr>
            </w:pPr>
            <w:r>
              <w:rPr>
                <w:rFonts w:ascii="Arial" w:cs="Arial" w:eastAsia="Arial" w:hAnsi="Arial"/>
                <w:sz w:val="15"/>
                <w:szCs w:val="15"/>
                <w:i w:val="1"/>
                <w:iCs w:val="1"/>
                <w:color w:val="231F20"/>
              </w:rPr>
              <w:t>December</w:t>
            </w:r>
          </w:p>
        </w:tc>
        <w:tc>
          <w:tcPr>
            <w:tcW w:w="1180" w:type="dxa"/>
            <w:vAlign w:val="bottom"/>
            <w:tcBorders>
              <w:top w:val="single" w:sz="8" w:color="231F20"/>
            </w:tcBorders>
            <w:gridSpan w:val="2"/>
          </w:tcPr>
          <w:p>
            <w:pPr>
              <w:jc w:val="right"/>
              <w:spacing w:after="0" w:line="146" w:lineRule="exact"/>
              <w:rPr>
                <w:sz w:val="20"/>
                <w:szCs w:val="20"/>
                <w:color w:val="auto"/>
              </w:rPr>
            </w:pPr>
            <w:r>
              <w:rPr>
                <w:rFonts w:ascii="Arial" w:cs="Arial" w:eastAsia="Arial" w:hAnsi="Arial"/>
                <w:sz w:val="15"/>
                <w:szCs w:val="15"/>
                <w:color w:val="231F20"/>
              </w:rPr>
              <w:t>December 31,</w:t>
            </w:r>
          </w:p>
        </w:tc>
      </w:tr>
      <w:tr>
        <w:trPr>
          <w:trHeight w:val="198"/>
        </w:trPr>
        <w:tc>
          <w:tcPr>
            <w:tcW w:w="6220" w:type="dxa"/>
            <w:vAlign w:val="bottom"/>
            <w:tcBorders>
              <w:bottom w:val="single" w:sz="8" w:color="231F20"/>
            </w:tcBorders>
          </w:tcPr>
          <w:p>
            <w:pPr>
              <w:spacing w:after="0" w:line="198"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right w:val="single" w:sz="8" w:color="231F20"/>
            </w:tcBorders>
          </w:tcPr>
          <w:p>
            <w:pPr>
              <w:jc w:val="right"/>
              <w:ind w:right="102"/>
              <w:spacing w:after="0"/>
              <w:rPr>
                <w:sz w:val="20"/>
                <w:szCs w:val="20"/>
                <w:color w:val="auto"/>
              </w:rPr>
            </w:pPr>
            <w:r>
              <w:rPr>
                <w:rFonts w:ascii="Arial" w:cs="Arial" w:eastAsia="Arial" w:hAnsi="Arial"/>
                <w:sz w:val="15"/>
                <w:szCs w:val="15"/>
                <w:i w:val="1"/>
                <w:iCs w:val="1"/>
                <w:color w:val="231F20"/>
              </w:rPr>
              <w:t>30, 2023</w:t>
            </w:r>
          </w:p>
        </w:tc>
        <w:tc>
          <w:tcPr>
            <w:tcW w:w="3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2022</w:t>
            </w:r>
          </w:p>
        </w:tc>
      </w:tr>
      <w:tr>
        <w:trPr>
          <w:trHeight w:val="185"/>
        </w:trPr>
        <w:tc>
          <w:tcPr>
            <w:tcW w:w="6220" w:type="dxa"/>
            <w:vAlign w:val="bottom"/>
          </w:tcPr>
          <w:p>
            <w:pPr>
              <w:spacing w:after="0" w:line="184" w:lineRule="exact"/>
              <w:rPr>
                <w:sz w:val="20"/>
                <w:szCs w:val="20"/>
                <w:color w:val="auto"/>
              </w:rPr>
            </w:pPr>
            <w:r>
              <w:rPr>
                <w:rFonts w:ascii="Arial" w:cs="Arial" w:eastAsia="Arial" w:hAnsi="Arial"/>
                <w:sz w:val="20"/>
                <w:szCs w:val="20"/>
                <w:color w:val="231F20"/>
              </w:rPr>
              <w:t>Inventories:</w:t>
            </w:r>
          </w:p>
        </w:tc>
        <w:tc>
          <w:tcPr>
            <w:tcW w:w="200" w:type="dxa"/>
            <w:vAlign w:val="bottom"/>
          </w:tcPr>
          <w:p>
            <w:pPr>
              <w:spacing w:after="0"/>
              <w:rPr>
                <w:sz w:val="16"/>
                <w:szCs w:val="16"/>
                <w:color w:val="auto"/>
              </w:rPr>
            </w:pPr>
          </w:p>
        </w:tc>
        <w:tc>
          <w:tcPr>
            <w:tcW w:w="920" w:type="dxa"/>
            <w:vAlign w:val="bottom"/>
            <w:tcBorders>
              <w:right w:val="single" w:sz="8" w:color="231F20"/>
            </w:tcBorders>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3"/>
        </w:trPr>
        <w:tc>
          <w:tcPr>
            <w:tcW w:w="6220" w:type="dxa"/>
            <w:vAlign w:val="bottom"/>
          </w:tcPr>
          <w:p>
            <w:pPr>
              <w:jc w:val="right"/>
              <w:spacing w:after="0" w:line="223" w:lineRule="exact"/>
              <w:rPr>
                <w:sz w:val="20"/>
                <w:szCs w:val="20"/>
                <w:color w:val="auto"/>
              </w:rPr>
            </w:pPr>
            <w:r>
              <w:rPr>
                <w:rFonts w:ascii="Arial" w:cs="Arial" w:eastAsia="Arial" w:hAnsi="Arial"/>
                <w:sz w:val="20"/>
                <w:szCs w:val="20"/>
                <w:color w:val="231F20"/>
              </w:rPr>
              <w:t xml:space="preserve">Raw materials and supplies </w:t>
            </w:r>
            <w:r>
              <w:rPr>
                <w:rFonts w:ascii="Times New Roman" w:cs="Times New Roman" w:eastAsia="Times New Roman" w:hAnsi="Times New Roman"/>
                <w:sz w:val="20"/>
                <w:szCs w:val="20"/>
                <w:color w:val="231F20"/>
              </w:rPr>
              <w:t>..................................................................</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352.4</w:t>
            </w:r>
          </w:p>
        </w:tc>
        <w:tc>
          <w:tcPr>
            <w:tcW w:w="300" w:type="dxa"/>
            <w:vAlign w:val="bottom"/>
          </w:tcPr>
          <w:p>
            <w:pPr>
              <w:jc w:val="right"/>
              <w:ind w:right="22"/>
              <w:spacing w:after="0" w:line="223" w:lineRule="exact"/>
              <w:rPr>
                <w:sz w:val="20"/>
                <w:szCs w:val="20"/>
                <w:color w:val="auto"/>
              </w:rPr>
            </w:pPr>
            <w:r>
              <w:rPr>
                <w:rFonts w:ascii="Arial" w:cs="Arial" w:eastAsia="Arial" w:hAnsi="Arial"/>
                <w:sz w:val="20"/>
                <w:szCs w:val="20"/>
                <w:color w:val="231F20"/>
              </w:rPr>
              <w:t>$</w:t>
            </w:r>
          </w:p>
        </w:tc>
        <w:tc>
          <w:tcPr>
            <w:tcW w:w="880" w:type="dxa"/>
            <w:vAlign w:val="bottom"/>
          </w:tcPr>
          <w:p>
            <w:pPr>
              <w:jc w:val="right"/>
              <w:spacing w:after="0" w:line="223" w:lineRule="exact"/>
              <w:rPr>
                <w:sz w:val="20"/>
                <w:szCs w:val="20"/>
                <w:color w:val="auto"/>
              </w:rPr>
            </w:pPr>
            <w:r>
              <w:rPr>
                <w:rFonts w:ascii="Arial" w:cs="Arial" w:eastAsia="Arial" w:hAnsi="Arial"/>
                <w:sz w:val="20"/>
                <w:szCs w:val="20"/>
                <w:color w:val="231F20"/>
              </w:rPr>
              <w:t>309.4</w:t>
            </w:r>
          </w:p>
        </w:tc>
      </w:tr>
      <w:tr>
        <w:trPr>
          <w:trHeight w:val="223"/>
        </w:trPr>
        <w:tc>
          <w:tcPr>
            <w:tcW w:w="6220" w:type="dxa"/>
            <w:vAlign w:val="bottom"/>
          </w:tcPr>
          <w:p>
            <w:pPr>
              <w:jc w:val="right"/>
              <w:spacing w:after="0" w:line="223" w:lineRule="exact"/>
              <w:rPr>
                <w:sz w:val="20"/>
                <w:szCs w:val="20"/>
                <w:color w:val="auto"/>
              </w:rPr>
            </w:pPr>
            <w:r>
              <w:rPr>
                <w:rFonts w:ascii="Arial" w:cs="Arial" w:eastAsia="Arial" w:hAnsi="Arial"/>
                <w:sz w:val="20"/>
                <w:szCs w:val="20"/>
                <w:color w:val="231F20"/>
              </w:rPr>
              <w:t>Work in process</w:t>
            </w: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92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83.2</w:t>
            </w:r>
          </w:p>
        </w:tc>
        <w:tc>
          <w:tcPr>
            <w:tcW w:w="30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Arial" w:cs="Arial" w:eastAsia="Arial" w:hAnsi="Arial"/>
                <w:sz w:val="20"/>
                <w:szCs w:val="20"/>
                <w:color w:val="231F20"/>
              </w:rPr>
              <w:t>83.5</w:t>
            </w:r>
          </w:p>
        </w:tc>
      </w:tr>
      <w:tr>
        <w:trPr>
          <w:trHeight w:val="251"/>
        </w:trPr>
        <w:tc>
          <w:tcPr>
            <w:tcW w:w="62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Finished products</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right w:val="single" w:sz="8" w:color="231F20"/>
            </w:tcBorders>
          </w:tcPr>
          <w:p>
            <w:pPr>
              <w:jc w:val="right"/>
              <w:ind w:right="102"/>
              <w:spacing w:after="0"/>
              <w:rPr>
                <w:sz w:val="20"/>
                <w:szCs w:val="20"/>
                <w:color w:val="auto"/>
              </w:rPr>
            </w:pPr>
            <w:r>
              <w:rPr>
                <w:rFonts w:ascii="Arial" w:cs="Arial" w:eastAsia="Arial" w:hAnsi="Arial"/>
                <w:sz w:val="20"/>
                <w:szCs w:val="20"/>
                <w:color w:val="231F20"/>
              </w:rPr>
              <w:t>546.7</w:t>
            </w:r>
          </w:p>
        </w:tc>
        <w:tc>
          <w:tcPr>
            <w:tcW w:w="30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628.4</w:t>
            </w:r>
          </w:p>
        </w:tc>
      </w:tr>
      <w:tr>
        <w:trPr>
          <w:trHeight w:val="185"/>
        </w:trPr>
        <w:tc>
          <w:tcPr>
            <w:tcW w:w="6220" w:type="dxa"/>
            <w:vAlign w:val="bottom"/>
          </w:tcPr>
          <w:p>
            <w:pPr>
              <w:jc w:val="right"/>
              <w:spacing w:after="0" w:line="185" w:lineRule="exact"/>
              <w:rPr>
                <w:sz w:val="20"/>
                <w:szCs w:val="20"/>
                <w:color w:val="auto"/>
              </w:rPr>
            </w:pPr>
            <w:r>
              <w:rPr>
                <w:rFonts w:ascii="Arial" w:cs="Arial" w:eastAsia="Arial" w:hAnsi="Arial"/>
                <w:sz w:val="20"/>
                <w:szCs w:val="20"/>
                <w:color w:val="231F20"/>
              </w:rPr>
              <w:t xml:space="preserve">Total inventories </w:t>
            </w:r>
            <w:r>
              <w:rPr>
                <w:rFonts w:ascii="Times New Roman" w:cs="Times New Roman" w:eastAsia="Times New Roman" w:hAnsi="Times New Roman"/>
                <w:sz w:val="20"/>
                <w:szCs w:val="20"/>
                <w:color w:val="231F20"/>
              </w:rPr>
              <w:t>................................................................................</w:t>
            </w:r>
          </w:p>
        </w:tc>
        <w:tc>
          <w:tcPr>
            <w:tcW w:w="200" w:type="dxa"/>
            <w:vAlign w:val="bottom"/>
          </w:tcPr>
          <w:p>
            <w:pPr>
              <w:jc w:val="right"/>
              <w:spacing w:after="0" w:line="185" w:lineRule="exact"/>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102"/>
              <w:spacing w:after="0" w:line="185" w:lineRule="exact"/>
              <w:rPr>
                <w:sz w:val="20"/>
                <w:szCs w:val="20"/>
                <w:color w:val="auto"/>
              </w:rPr>
            </w:pPr>
            <w:r>
              <w:rPr>
                <w:rFonts w:ascii="Arial" w:cs="Arial" w:eastAsia="Arial" w:hAnsi="Arial"/>
                <w:sz w:val="20"/>
                <w:szCs w:val="20"/>
                <w:color w:val="231F20"/>
              </w:rPr>
              <w:t>982.3</w:t>
            </w:r>
          </w:p>
        </w:tc>
        <w:tc>
          <w:tcPr>
            <w:tcW w:w="300" w:type="dxa"/>
            <w:vAlign w:val="bottom"/>
          </w:tcPr>
          <w:p>
            <w:pPr>
              <w:jc w:val="right"/>
              <w:ind w:right="22"/>
              <w:spacing w:after="0" w:line="185" w:lineRule="exact"/>
              <w:rPr>
                <w:sz w:val="20"/>
                <w:szCs w:val="20"/>
                <w:color w:val="auto"/>
              </w:rPr>
            </w:pPr>
            <w:r>
              <w:rPr>
                <w:rFonts w:ascii="Arial" w:cs="Arial" w:eastAsia="Arial" w:hAnsi="Arial"/>
                <w:sz w:val="20"/>
                <w:szCs w:val="20"/>
                <w:color w:val="231F20"/>
              </w:rPr>
              <w:t>$</w:t>
            </w:r>
          </w:p>
        </w:tc>
        <w:tc>
          <w:tcPr>
            <w:tcW w:w="880" w:type="dxa"/>
            <w:vAlign w:val="bottom"/>
          </w:tcPr>
          <w:p>
            <w:pPr>
              <w:jc w:val="right"/>
              <w:spacing w:after="0" w:line="185" w:lineRule="exact"/>
              <w:rPr>
                <w:sz w:val="20"/>
                <w:szCs w:val="20"/>
                <w:color w:val="auto"/>
              </w:rPr>
            </w:pPr>
            <w:r>
              <w:rPr>
                <w:rFonts w:ascii="Arial" w:cs="Arial" w:eastAsia="Arial" w:hAnsi="Arial"/>
                <w:sz w:val="20"/>
                <w:szCs w:val="20"/>
                <w:color w:val="231F20"/>
              </w:rPr>
              <w:t>1,021.3</w:t>
            </w:r>
          </w:p>
        </w:tc>
      </w:tr>
      <w:tr>
        <w:trPr>
          <w:trHeight w:val="223"/>
        </w:trPr>
        <w:tc>
          <w:tcPr>
            <w:tcW w:w="6220" w:type="dxa"/>
            <w:vAlign w:val="bottom"/>
          </w:tcPr>
          <w:p>
            <w:pPr>
              <w:spacing w:after="0" w:line="223" w:lineRule="exact"/>
              <w:rPr>
                <w:sz w:val="20"/>
                <w:szCs w:val="20"/>
                <w:color w:val="auto"/>
              </w:rPr>
            </w:pPr>
            <w:r>
              <w:rPr>
                <w:rFonts w:ascii="Arial" w:cs="Arial" w:eastAsia="Arial" w:hAnsi="Arial"/>
                <w:sz w:val="20"/>
                <w:szCs w:val="20"/>
                <w:color w:val="231F20"/>
              </w:rPr>
              <w:t>Property, plant and equipment:</w:t>
            </w:r>
          </w:p>
        </w:tc>
        <w:tc>
          <w:tcPr>
            <w:tcW w:w="200" w:type="dxa"/>
            <w:vAlign w:val="bottom"/>
          </w:tcPr>
          <w:p>
            <w:pPr>
              <w:spacing w:after="0"/>
              <w:rPr>
                <w:sz w:val="19"/>
                <w:szCs w:val="19"/>
                <w:color w:val="auto"/>
              </w:rPr>
            </w:pPr>
          </w:p>
        </w:tc>
        <w:tc>
          <w:tcPr>
            <w:tcW w:w="920" w:type="dxa"/>
            <w:vAlign w:val="bottom"/>
            <w:tcBorders>
              <w:right w:val="single" w:sz="8" w:color="231F20"/>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6220" w:type="dxa"/>
            <w:vAlign w:val="bottom"/>
          </w:tcPr>
          <w:p>
            <w:pPr>
              <w:jc w:val="right"/>
              <w:spacing w:after="0" w:line="223" w:lineRule="exact"/>
              <w:rPr>
                <w:sz w:val="20"/>
                <w:szCs w:val="20"/>
                <w:color w:val="auto"/>
              </w:rPr>
            </w:pPr>
            <w:r>
              <w:rPr>
                <w:rFonts w:ascii="Arial" w:cs="Arial" w:eastAsia="Arial" w:hAnsi="Arial"/>
                <w:sz w:val="20"/>
                <w:szCs w:val="20"/>
                <w:color w:val="231F20"/>
              </w:rPr>
              <w:t xml:space="preserve">Land and improvements </w:t>
            </w:r>
            <w:r>
              <w:rPr>
                <w:rFonts w:ascii="Times New Roman" w:cs="Times New Roman" w:eastAsia="Times New Roman" w:hAnsi="Times New Roman"/>
                <w:sz w:val="20"/>
                <w:szCs w:val="20"/>
                <w:color w:val="231F20"/>
              </w:rPr>
              <w:t>........................................................................</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53.6</w:t>
            </w:r>
          </w:p>
        </w:tc>
        <w:tc>
          <w:tcPr>
            <w:tcW w:w="300" w:type="dxa"/>
            <w:vAlign w:val="bottom"/>
          </w:tcPr>
          <w:p>
            <w:pPr>
              <w:jc w:val="right"/>
              <w:ind w:right="22"/>
              <w:spacing w:after="0" w:line="223" w:lineRule="exact"/>
              <w:rPr>
                <w:sz w:val="20"/>
                <w:szCs w:val="20"/>
                <w:color w:val="auto"/>
              </w:rPr>
            </w:pPr>
            <w:r>
              <w:rPr>
                <w:rFonts w:ascii="Arial" w:cs="Arial" w:eastAsia="Arial" w:hAnsi="Arial"/>
                <w:sz w:val="20"/>
                <w:szCs w:val="20"/>
                <w:color w:val="231F20"/>
              </w:rPr>
              <w:t>$</w:t>
            </w:r>
          </w:p>
        </w:tc>
        <w:tc>
          <w:tcPr>
            <w:tcW w:w="880" w:type="dxa"/>
            <w:vAlign w:val="bottom"/>
          </w:tcPr>
          <w:p>
            <w:pPr>
              <w:jc w:val="right"/>
              <w:spacing w:after="0" w:line="223" w:lineRule="exact"/>
              <w:rPr>
                <w:sz w:val="20"/>
                <w:szCs w:val="20"/>
                <w:color w:val="auto"/>
              </w:rPr>
            </w:pPr>
            <w:r>
              <w:rPr>
                <w:rFonts w:ascii="Arial" w:cs="Arial" w:eastAsia="Arial" w:hAnsi="Arial"/>
                <w:sz w:val="20"/>
                <w:szCs w:val="20"/>
                <w:color w:val="231F20"/>
              </w:rPr>
              <w:t>51.9</w:t>
            </w:r>
          </w:p>
        </w:tc>
      </w:tr>
      <w:tr>
        <w:trPr>
          <w:trHeight w:val="223"/>
        </w:trPr>
        <w:tc>
          <w:tcPr>
            <w:tcW w:w="6220" w:type="dxa"/>
            <w:vAlign w:val="bottom"/>
          </w:tcPr>
          <w:p>
            <w:pPr>
              <w:jc w:val="right"/>
              <w:spacing w:after="0" w:line="223" w:lineRule="exact"/>
              <w:rPr>
                <w:sz w:val="20"/>
                <w:szCs w:val="20"/>
                <w:color w:val="auto"/>
              </w:rPr>
            </w:pPr>
            <w:r>
              <w:rPr>
                <w:rFonts w:ascii="Arial" w:cs="Arial" w:eastAsia="Arial" w:hAnsi="Arial"/>
                <w:sz w:val="20"/>
                <w:szCs w:val="20"/>
                <w:color w:val="231F20"/>
              </w:rPr>
              <w:t xml:space="preserve">Buildings and improvements to leaseholds </w:t>
            </w: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92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320.3</w:t>
            </w:r>
          </w:p>
        </w:tc>
        <w:tc>
          <w:tcPr>
            <w:tcW w:w="30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Arial" w:cs="Arial" w:eastAsia="Arial" w:hAnsi="Arial"/>
                <w:sz w:val="20"/>
                <w:szCs w:val="20"/>
                <w:color w:val="231F20"/>
              </w:rPr>
              <w:t>285.1</w:t>
            </w:r>
          </w:p>
        </w:tc>
      </w:tr>
      <w:tr>
        <w:trPr>
          <w:trHeight w:val="223"/>
        </w:trPr>
        <w:tc>
          <w:tcPr>
            <w:tcW w:w="6220" w:type="dxa"/>
            <w:vAlign w:val="bottom"/>
          </w:tcPr>
          <w:p>
            <w:pPr>
              <w:jc w:val="right"/>
              <w:spacing w:after="0" w:line="223" w:lineRule="exact"/>
              <w:rPr>
                <w:sz w:val="20"/>
                <w:szCs w:val="20"/>
                <w:color w:val="auto"/>
              </w:rPr>
            </w:pPr>
            <w:r>
              <w:rPr>
                <w:rFonts w:ascii="Arial" w:cs="Arial" w:eastAsia="Arial" w:hAnsi="Arial"/>
                <w:sz w:val="20"/>
                <w:szCs w:val="20"/>
                <w:color w:val="231F20"/>
              </w:rPr>
              <w:t xml:space="preserve">Machinery and equipment </w:t>
            </w: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92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1,147.7</w:t>
            </w:r>
          </w:p>
        </w:tc>
        <w:tc>
          <w:tcPr>
            <w:tcW w:w="30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Arial" w:cs="Arial" w:eastAsia="Arial" w:hAnsi="Arial"/>
                <w:sz w:val="20"/>
                <w:szCs w:val="20"/>
                <w:color w:val="231F20"/>
              </w:rPr>
              <w:t>1,052.2</w:t>
            </w:r>
          </w:p>
        </w:tc>
      </w:tr>
      <w:tr>
        <w:trPr>
          <w:trHeight w:val="251"/>
        </w:trPr>
        <w:tc>
          <w:tcPr>
            <w:tcW w:w="62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Construction in progress </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right w:val="single" w:sz="8" w:color="231F20"/>
            </w:tcBorders>
          </w:tcPr>
          <w:p>
            <w:pPr>
              <w:jc w:val="right"/>
              <w:ind w:right="102"/>
              <w:spacing w:after="0"/>
              <w:rPr>
                <w:sz w:val="20"/>
                <w:szCs w:val="20"/>
                <w:color w:val="auto"/>
              </w:rPr>
            </w:pPr>
            <w:r>
              <w:rPr>
                <w:rFonts w:ascii="Arial" w:cs="Arial" w:eastAsia="Arial" w:hAnsi="Arial"/>
                <w:sz w:val="20"/>
                <w:szCs w:val="20"/>
                <w:color w:val="231F20"/>
              </w:rPr>
              <w:t>383.2</w:t>
            </w:r>
          </w:p>
        </w:tc>
        <w:tc>
          <w:tcPr>
            <w:tcW w:w="30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225.1</w:t>
            </w:r>
          </w:p>
        </w:tc>
      </w:tr>
      <w:tr>
        <w:trPr>
          <w:trHeight w:val="185"/>
        </w:trPr>
        <w:tc>
          <w:tcPr>
            <w:tcW w:w="6220" w:type="dxa"/>
            <w:vAlign w:val="bottom"/>
          </w:tcPr>
          <w:p>
            <w:pPr>
              <w:jc w:val="right"/>
              <w:spacing w:after="0" w:line="184" w:lineRule="exact"/>
              <w:rPr>
                <w:sz w:val="20"/>
                <w:szCs w:val="20"/>
                <w:color w:val="auto"/>
              </w:rPr>
            </w:pPr>
            <w:r>
              <w:rPr>
                <w:rFonts w:ascii="Arial" w:cs="Arial" w:eastAsia="Arial" w:hAnsi="Arial"/>
                <w:sz w:val="20"/>
                <w:szCs w:val="20"/>
                <w:color w:val="231F20"/>
              </w:rPr>
              <w:t xml:space="preserve">Property, plant and equipment, gross </w:t>
            </w:r>
            <w:r>
              <w:rPr>
                <w:rFonts w:ascii="Times New Roman" w:cs="Times New Roman" w:eastAsia="Times New Roman" w:hAnsi="Times New Roman"/>
                <w:sz w:val="20"/>
                <w:szCs w:val="20"/>
                <w:color w:val="231F20"/>
              </w:rPr>
              <w:t>............................................</w:t>
            </w:r>
          </w:p>
        </w:tc>
        <w:tc>
          <w:tcPr>
            <w:tcW w:w="200" w:type="dxa"/>
            <w:vAlign w:val="bottom"/>
          </w:tcPr>
          <w:p>
            <w:pPr>
              <w:spacing w:after="0"/>
              <w:rPr>
                <w:sz w:val="16"/>
                <w:szCs w:val="16"/>
                <w:color w:val="auto"/>
              </w:rPr>
            </w:pPr>
          </w:p>
        </w:tc>
        <w:tc>
          <w:tcPr>
            <w:tcW w:w="920" w:type="dxa"/>
            <w:vAlign w:val="bottom"/>
            <w:tcBorders>
              <w:right w:val="single" w:sz="8" w:color="231F20"/>
            </w:tcBorders>
          </w:tcPr>
          <w:p>
            <w:pPr>
              <w:jc w:val="right"/>
              <w:ind w:right="102"/>
              <w:spacing w:after="0" w:line="184" w:lineRule="exact"/>
              <w:rPr>
                <w:sz w:val="20"/>
                <w:szCs w:val="20"/>
                <w:color w:val="auto"/>
              </w:rPr>
            </w:pPr>
            <w:r>
              <w:rPr>
                <w:rFonts w:ascii="Arial" w:cs="Arial" w:eastAsia="Arial" w:hAnsi="Arial"/>
                <w:sz w:val="20"/>
                <w:szCs w:val="20"/>
                <w:color w:val="231F20"/>
              </w:rPr>
              <w:t>1,904.8</w:t>
            </w:r>
          </w:p>
        </w:tc>
        <w:tc>
          <w:tcPr>
            <w:tcW w:w="30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Arial" w:cs="Arial" w:eastAsia="Arial" w:hAnsi="Arial"/>
                <w:sz w:val="20"/>
                <w:szCs w:val="20"/>
                <w:color w:val="231F20"/>
              </w:rPr>
              <w:t>1,614.3</w:t>
            </w:r>
          </w:p>
        </w:tc>
      </w:tr>
      <w:tr>
        <w:trPr>
          <w:trHeight w:val="251"/>
        </w:trPr>
        <w:tc>
          <w:tcPr>
            <w:tcW w:w="62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Less: accumulated depreciation </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right w:val="single" w:sz="8" w:color="231F20"/>
            </w:tcBorders>
          </w:tcPr>
          <w:p>
            <w:pPr>
              <w:jc w:val="right"/>
              <w:ind w:right="102"/>
              <w:spacing w:after="0"/>
              <w:rPr>
                <w:sz w:val="20"/>
                <w:szCs w:val="20"/>
                <w:color w:val="auto"/>
              </w:rPr>
            </w:pPr>
            <w:r>
              <w:rPr>
                <w:rFonts w:ascii="Arial" w:cs="Arial" w:eastAsia="Arial" w:hAnsi="Arial"/>
                <w:sz w:val="20"/>
                <w:szCs w:val="20"/>
                <w:color w:val="231F20"/>
              </w:rPr>
              <w:t>929.8</w:t>
            </w:r>
          </w:p>
        </w:tc>
        <w:tc>
          <w:tcPr>
            <w:tcW w:w="30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830.6</w:t>
            </w:r>
          </w:p>
        </w:tc>
      </w:tr>
      <w:tr>
        <w:trPr>
          <w:trHeight w:val="185"/>
        </w:trPr>
        <w:tc>
          <w:tcPr>
            <w:tcW w:w="6220" w:type="dxa"/>
            <w:vAlign w:val="bottom"/>
          </w:tcPr>
          <w:p>
            <w:pPr>
              <w:jc w:val="right"/>
              <w:ind w:right="1020"/>
              <w:spacing w:after="0" w:line="184" w:lineRule="exact"/>
              <w:rPr>
                <w:sz w:val="20"/>
                <w:szCs w:val="20"/>
                <w:color w:val="auto"/>
              </w:rPr>
            </w:pPr>
            <w:r>
              <w:rPr>
                <w:rFonts w:ascii="Arial" w:cs="Arial" w:eastAsia="Arial" w:hAnsi="Arial"/>
                <w:sz w:val="20"/>
                <w:szCs w:val="20"/>
                <w:color w:val="231F20"/>
              </w:rPr>
              <w:t>Property, plant and equipment, net of accumulated</w:t>
            </w:r>
          </w:p>
        </w:tc>
        <w:tc>
          <w:tcPr>
            <w:tcW w:w="200" w:type="dxa"/>
            <w:vAlign w:val="bottom"/>
          </w:tcPr>
          <w:p>
            <w:pPr>
              <w:spacing w:after="0"/>
              <w:rPr>
                <w:sz w:val="16"/>
                <w:szCs w:val="16"/>
                <w:color w:val="auto"/>
              </w:rPr>
            </w:pPr>
          </w:p>
        </w:tc>
        <w:tc>
          <w:tcPr>
            <w:tcW w:w="920" w:type="dxa"/>
            <w:vAlign w:val="bottom"/>
            <w:tcBorders>
              <w:right w:val="single" w:sz="8" w:color="231F20"/>
            </w:tcBorders>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4"/>
        </w:trPr>
        <w:tc>
          <w:tcPr>
            <w:tcW w:w="6220" w:type="dxa"/>
            <w:vAlign w:val="bottom"/>
          </w:tcPr>
          <w:p>
            <w:pPr>
              <w:jc w:val="right"/>
              <w:spacing w:after="0" w:line="224" w:lineRule="exact"/>
              <w:rPr>
                <w:sz w:val="20"/>
                <w:szCs w:val="20"/>
                <w:color w:val="auto"/>
              </w:rPr>
            </w:pPr>
            <w:r>
              <w:rPr>
                <w:rFonts w:ascii="Arial" w:cs="Arial" w:eastAsia="Arial" w:hAnsi="Arial"/>
                <w:sz w:val="20"/>
                <w:szCs w:val="20"/>
                <w:color w:val="231F20"/>
              </w:rPr>
              <w:t xml:space="preserve">depreciation </w:t>
            </w:r>
            <w:r>
              <w:rPr>
                <w:rFonts w:ascii="Times New Roman" w:cs="Times New Roman" w:eastAsia="Times New Roman" w:hAnsi="Times New Roman"/>
                <w:sz w:val="20"/>
                <w:szCs w:val="20"/>
                <w:color w:val="231F20"/>
              </w:rPr>
              <w:t>........................................................................................</w:t>
            </w:r>
          </w:p>
        </w:tc>
        <w:tc>
          <w:tcPr>
            <w:tcW w:w="200" w:type="dxa"/>
            <w:vAlign w:val="bottom"/>
          </w:tcPr>
          <w:p>
            <w:pPr>
              <w:jc w:val="right"/>
              <w:spacing w:after="0" w:line="224" w:lineRule="exact"/>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102"/>
              <w:spacing w:after="0" w:line="224" w:lineRule="exact"/>
              <w:rPr>
                <w:sz w:val="20"/>
                <w:szCs w:val="20"/>
                <w:color w:val="auto"/>
              </w:rPr>
            </w:pPr>
            <w:r>
              <w:rPr>
                <w:rFonts w:ascii="Arial" w:cs="Arial" w:eastAsia="Arial" w:hAnsi="Arial"/>
                <w:sz w:val="20"/>
                <w:szCs w:val="20"/>
                <w:color w:val="231F20"/>
              </w:rPr>
              <w:t>975.0</w:t>
            </w:r>
          </w:p>
        </w:tc>
        <w:tc>
          <w:tcPr>
            <w:tcW w:w="300" w:type="dxa"/>
            <w:vAlign w:val="bottom"/>
          </w:tcPr>
          <w:p>
            <w:pPr>
              <w:jc w:val="right"/>
              <w:ind w:right="22"/>
              <w:spacing w:after="0" w:line="224" w:lineRule="exact"/>
              <w:rPr>
                <w:sz w:val="20"/>
                <w:szCs w:val="20"/>
                <w:color w:val="auto"/>
              </w:rPr>
            </w:pPr>
            <w:r>
              <w:rPr>
                <w:rFonts w:ascii="Arial" w:cs="Arial" w:eastAsia="Arial" w:hAnsi="Arial"/>
                <w:sz w:val="20"/>
                <w:szCs w:val="20"/>
                <w:color w:val="231F20"/>
              </w:rPr>
              <w:t>$</w:t>
            </w:r>
          </w:p>
        </w:tc>
        <w:tc>
          <w:tcPr>
            <w:tcW w:w="880" w:type="dxa"/>
            <w:vAlign w:val="bottom"/>
          </w:tcPr>
          <w:p>
            <w:pPr>
              <w:jc w:val="right"/>
              <w:spacing w:after="0" w:line="224" w:lineRule="exact"/>
              <w:rPr>
                <w:sz w:val="20"/>
                <w:szCs w:val="20"/>
                <w:color w:val="auto"/>
              </w:rPr>
            </w:pPr>
            <w:r>
              <w:rPr>
                <w:rFonts w:ascii="Arial" w:cs="Arial" w:eastAsia="Arial" w:hAnsi="Arial"/>
                <w:sz w:val="20"/>
                <w:szCs w:val="20"/>
                <w:color w:val="231F20"/>
              </w:rPr>
              <w:t>783.7</w:t>
            </w:r>
          </w:p>
        </w:tc>
      </w:tr>
      <w:tr>
        <w:trPr>
          <w:trHeight w:val="222"/>
        </w:trPr>
        <w:tc>
          <w:tcPr>
            <w:tcW w:w="6220" w:type="dxa"/>
            <w:vAlign w:val="bottom"/>
          </w:tcPr>
          <w:p>
            <w:pPr>
              <w:spacing w:after="0" w:line="222" w:lineRule="exact"/>
              <w:rPr>
                <w:sz w:val="20"/>
                <w:szCs w:val="20"/>
                <w:color w:val="auto"/>
              </w:rPr>
            </w:pPr>
            <w:r>
              <w:rPr>
                <w:rFonts w:ascii="Arial" w:cs="Arial" w:eastAsia="Arial" w:hAnsi="Arial"/>
                <w:sz w:val="20"/>
                <w:szCs w:val="20"/>
                <w:color w:val="231F20"/>
              </w:rPr>
              <w:t>Other current liabilities:</w:t>
            </w:r>
          </w:p>
        </w:tc>
        <w:tc>
          <w:tcPr>
            <w:tcW w:w="200" w:type="dxa"/>
            <w:vAlign w:val="bottom"/>
          </w:tcPr>
          <w:p>
            <w:pPr>
              <w:spacing w:after="0"/>
              <w:rPr>
                <w:sz w:val="19"/>
                <w:szCs w:val="19"/>
                <w:color w:val="auto"/>
              </w:rPr>
            </w:pPr>
          </w:p>
        </w:tc>
        <w:tc>
          <w:tcPr>
            <w:tcW w:w="920" w:type="dxa"/>
            <w:vAlign w:val="bottom"/>
            <w:tcBorders>
              <w:right w:val="single" w:sz="8" w:color="231F20"/>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3"/>
        </w:trPr>
        <w:tc>
          <w:tcPr>
            <w:tcW w:w="6220" w:type="dxa"/>
            <w:vAlign w:val="bottom"/>
          </w:tcPr>
          <w:p>
            <w:pPr>
              <w:jc w:val="right"/>
              <w:spacing w:after="0" w:line="223" w:lineRule="exact"/>
              <w:rPr>
                <w:sz w:val="20"/>
                <w:szCs w:val="20"/>
                <w:color w:val="auto"/>
              </w:rPr>
            </w:pPr>
            <w:r>
              <w:rPr>
                <w:rFonts w:ascii="Arial" w:cs="Arial" w:eastAsia="Arial" w:hAnsi="Arial"/>
                <w:sz w:val="20"/>
                <w:szCs w:val="20"/>
                <w:color w:val="231F20"/>
              </w:rPr>
              <w:t xml:space="preserve">Accrued salaries, wages and other compensation </w:t>
            </w:r>
            <w:r>
              <w:rPr>
                <w:rFonts w:ascii="Times New Roman" w:cs="Times New Roman" w:eastAsia="Times New Roman" w:hAnsi="Times New Roman"/>
                <w:sz w:val="20"/>
                <w:szCs w:val="20"/>
                <w:color w:val="231F20"/>
              </w:rPr>
              <w:t>............................</w:t>
            </w:r>
          </w:p>
        </w:tc>
        <w:tc>
          <w:tcPr>
            <w:tcW w:w="200" w:type="dxa"/>
            <w:vAlign w:val="bottom"/>
          </w:tcPr>
          <w:p>
            <w:pPr>
              <w:jc w:val="right"/>
              <w:spacing w:after="0" w:line="223" w:lineRule="exact"/>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125.4</w:t>
            </w:r>
          </w:p>
        </w:tc>
        <w:tc>
          <w:tcPr>
            <w:tcW w:w="300" w:type="dxa"/>
            <w:vAlign w:val="bottom"/>
          </w:tcPr>
          <w:p>
            <w:pPr>
              <w:jc w:val="right"/>
              <w:ind w:right="22"/>
              <w:spacing w:after="0" w:line="223" w:lineRule="exact"/>
              <w:rPr>
                <w:sz w:val="20"/>
                <w:szCs w:val="20"/>
                <w:color w:val="auto"/>
              </w:rPr>
            </w:pPr>
            <w:r>
              <w:rPr>
                <w:rFonts w:ascii="Arial" w:cs="Arial" w:eastAsia="Arial" w:hAnsi="Arial"/>
                <w:sz w:val="20"/>
                <w:szCs w:val="20"/>
                <w:color w:val="231F20"/>
              </w:rPr>
              <w:t>$</w:t>
            </w:r>
          </w:p>
        </w:tc>
        <w:tc>
          <w:tcPr>
            <w:tcW w:w="880" w:type="dxa"/>
            <w:vAlign w:val="bottom"/>
          </w:tcPr>
          <w:p>
            <w:pPr>
              <w:jc w:val="right"/>
              <w:spacing w:after="0" w:line="223" w:lineRule="exact"/>
              <w:rPr>
                <w:sz w:val="20"/>
                <w:szCs w:val="20"/>
                <w:color w:val="auto"/>
              </w:rPr>
            </w:pPr>
            <w:r>
              <w:rPr>
                <w:rFonts w:ascii="Arial" w:cs="Arial" w:eastAsia="Arial" w:hAnsi="Arial"/>
                <w:sz w:val="20"/>
                <w:szCs w:val="20"/>
                <w:color w:val="231F20"/>
              </w:rPr>
              <w:t>57.6</w:t>
            </w:r>
          </w:p>
        </w:tc>
      </w:tr>
      <w:tr>
        <w:trPr>
          <w:trHeight w:val="223"/>
        </w:trPr>
        <w:tc>
          <w:tcPr>
            <w:tcW w:w="6220" w:type="dxa"/>
            <w:vAlign w:val="bottom"/>
          </w:tcPr>
          <w:p>
            <w:pPr>
              <w:jc w:val="right"/>
              <w:spacing w:after="0" w:line="223" w:lineRule="exact"/>
              <w:rPr>
                <w:sz w:val="20"/>
                <w:szCs w:val="20"/>
                <w:color w:val="auto"/>
              </w:rPr>
            </w:pPr>
            <w:r>
              <w:rPr>
                <w:rFonts w:ascii="Arial" w:cs="Arial" w:eastAsia="Arial" w:hAnsi="Arial"/>
                <w:sz w:val="20"/>
                <w:szCs w:val="20"/>
                <w:color w:val="231F20"/>
              </w:rPr>
              <w:t xml:space="preserve">Accrued customer programs </w:t>
            </w: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92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221.2</w:t>
            </w:r>
          </w:p>
        </w:tc>
        <w:tc>
          <w:tcPr>
            <w:tcW w:w="30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Arial" w:cs="Arial" w:eastAsia="Arial" w:hAnsi="Arial"/>
                <w:sz w:val="20"/>
                <w:szCs w:val="20"/>
                <w:color w:val="231F20"/>
              </w:rPr>
              <w:t>227.6</w:t>
            </w:r>
          </w:p>
        </w:tc>
      </w:tr>
      <w:tr>
        <w:trPr>
          <w:trHeight w:val="223"/>
        </w:trPr>
        <w:tc>
          <w:tcPr>
            <w:tcW w:w="6220" w:type="dxa"/>
            <w:vAlign w:val="bottom"/>
          </w:tcPr>
          <w:p>
            <w:pPr>
              <w:jc w:val="right"/>
              <w:spacing w:after="0" w:line="223" w:lineRule="exact"/>
              <w:rPr>
                <w:sz w:val="20"/>
                <w:szCs w:val="20"/>
                <w:color w:val="auto"/>
              </w:rPr>
            </w:pPr>
            <w:r>
              <w:rPr>
                <w:rFonts w:ascii="Arial" w:cs="Arial" w:eastAsia="Arial" w:hAnsi="Arial"/>
                <w:sz w:val="20"/>
                <w:szCs w:val="20"/>
                <w:color w:val="231F20"/>
              </w:rPr>
              <w:t xml:space="preserve">Accrued taxes </w:t>
            </w: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92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31.5</w:t>
            </w:r>
          </w:p>
        </w:tc>
        <w:tc>
          <w:tcPr>
            <w:tcW w:w="30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Arial" w:cs="Arial" w:eastAsia="Arial" w:hAnsi="Arial"/>
                <w:sz w:val="20"/>
                <w:szCs w:val="20"/>
                <w:color w:val="231F20"/>
              </w:rPr>
              <w:t>24.8</w:t>
            </w:r>
          </w:p>
        </w:tc>
      </w:tr>
      <w:tr>
        <w:trPr>
          <w:trHeight w:val="223"/>
        </w:trPr>
        <w:tc>
          <w:tcPr>
            <w:tcW w:w="6220" w:type="dxa"/>
            <w:vAlign w:val="bottom"/>
          </w:tcPr>
          <w:p>
            <w:pPr>
              <w:jc w:val="right"/>
              <w:spacing w:after="0" w:line="223" w:lineRule="exact"/>
              <w:rPr>
                <w:sz w:val="20"/>
                <w:szCs w:val="20"/>
                <w:color w:val="auto"/>
              </w:rPr>
            </w:pPr>
            <w:r>
              <w:rPr>
                <w:rFonts w:ascii="Arial" w:cs="Arial" w:eastAsia="Arial" w:hAnsi="Arial"/>
                <w:sz w:val="20"/>
                <w:szCs w:val="20"/>
                <w:color w:val="231F20"/>
              </w:rPr>
              <w:t>Dividends payable</w:t>
            </w:r>
            <w:r>
              <w:rPr>
                <w:rFonts w:ascii="Times New Roman" w:cs="Times New Roman" w:eastAsia="Times New Roman" w:hAnsi="Times New Roman"/>
                <w:sz w:val="20"/>
                <w:szCs w:val="20"/>
                <w:color w:val="231F20"/>
              </w:rPr>
              <w:t>...................................................................................</w:t>
            </w:r>
          </w:p>
        </w:tc>
        <w:tc>
          <w:tcPr>
            <w:tcW w:w="200" w:type="dxa"/>
            <w:vAlign w:val="bottom"/>
          </w:tcPr>
          <w:p>
            <w:pPr>
              <w:spacing w:after="0"/>
              <w:rPr>
                <w:sz w:val="19"/>
                <w:szCs w:val="19"/>
                <w:color w:val="auto"/>
              </w:rPr>
            </w:pPr>
          </w:p>
        </w:tc>
        <w:tc>
          <w:tcPr>
            <w:tcW w:w="92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30.3</w:t>
            </w:r>
          </w:p>
        </w:tc>
        <w:tc>
          <w:tcPr>
            <w:tcW w:w="30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Arial" w:cs="Arial" w:eastAsia="Arial" w:hAnsi="Arial"/>
                <w:sz w:val="20"/>
                <w:szCs w:val="20"/>
                <w:color w:val="231F20"/>
              </w:rPr>
              <w:t>29.4</w:t>
            </w:r>
          </w:p>
        </w:tc>
      </w:tr>
      <w:tr>
        <w:trPr>
          <w:trHeight w:val="251"/>
        </w:trPr>
        <w:tc>
          <w:tcPr>
            <w:tcW w:w="62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Other accrued expenses</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right w:val="single" w:sz="8" w:color="231F20"/>
            </w:tcBorders>
          </w:tcPr>
          <w:p>
            <w:pPr>
              <w:jc w:val="right"/>
              <w:ind w:right="102"/>
              <w:spacing w:after="0"/>
              <w:rPr>
                <w:sz w:val="20"/>
                <w:szCs w:val="20"/>
                <w:color w:val="auto"/>
              </w:rPr>
            </w:pPr>
            <w:r>
              <w:rPr>
                <w:rFonts w:ascii="Arial" w:cs="Arial" w:eastAsia="Arial" w:hAnsi="Arial"/>
                <w:sz w:val="20"/>
                <w:szCs w:val="20"/>
                <w:color w:val="231F20"/>
              </w:rPr>
              <w:t>223.9</w:t>
            </w:r>
          </w:p>
        </w:tc>
        <w:tc>
          <w:tcPr>
            <w:tcW w:w="30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184.5</w:t>
            </w:r>
          </w:p>
        </w:tc>
      </w:tr>
      <w:tr>
        <w:trPr>
          <w:trHeight w:val="239"/>
        </w:trPr>
        <w:tc>
          <w:tcPr>
            <w:tcW w:w="6220" w:type="dxa"/>
            <w:vAlign w:val="bottom"/>
            <w:tcBorders>
              <w:bottom w:val="single" w:sz="8" w:color="231F20"/>
            </w:tcBorders>
          </w:tcPr>
          <w:p>
            <w:pPr>
              <w:jc w:val="right"/>
              <w:spacing w:after="0" w:line="213" w:lineRule="exact"/>
              <w:rPr>
                <w:sz w:val="20"/>
                <w:szCs w:val="20"/>
                <w:color w:val="auto"/>
              </w:rPr>
            </w:pPr>
            <w:r>
              <w:rPr>
                <w:rFonts w:ascii="Arial" w:cs="Arial" w:eastAsia="Arial" w:hAnsi="Arial"/>
                <w:sz w:val="20"/>
                <w:szCs w:val="20"/>
                <w:color w:val="231F20"/>
              </w:rPr>
              <w:t>Total other current liabilities</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jc w:val="right"/>
              <w:spacing w:after="0" w:line="213" w:lineRule="exact"/>
              <w:rPr>
                <w:sz w:val="20"/>
                <w:szCs w:val="20"/>
                <w:color w:val="auto"/>
              </w:rPr>
            </w:pPr>
            <w:r>
              <w:rPr>
                <w:rFonts w:ascii="Arial" w:cs="Arial" w:eastAsia="Arial" w:hAnsi="Arial"/>
                <w:sz w:val="20"/>
                <w:szCs w:val="20"/>
                <w:color w:val="231F20"/>
              </w:rPr>
              <w:t>$</w:t>
            </w:r>
          </w:p>
        </w:tc>
        <w:tc>
          <w:tcPr>
            <w:tcW w:w="920" w:type="dxa"/>
            <w:vAlign w:val="bottom"/>
            <w:tcBorders>
              <w:bottom w:val="single" w:sz="8" w:color="231F20"/>
              <w:right w:val="single" w:sz="8" w:color="231F20"/>
            </w:tcBorders>
          </w:tcPr>
          <w:p>
            <w:pPr>
              <w:jc w:val="right"/>
              <w:ind w:right="102"/>
              <w:spacing w:after="0" w:line="213" w:lineRule="exact"/>
              <w:rPr>
                <w:sz w:val="20"/>
                <w:szCs w:val="20"/>
                <w:color w:val="auto"/>
              </w:rPr>
            </w:pPr>
            <w:r>
              <w:rPr>
                <w:rFonts w:ascii="Arial" w:cs="Arial" w:eastAsia="Arial" w:hAnsi="Arial"/>
                <w:sz w:val="20"/>
                <w:szCs w:val="20"/>
                <w:color w:val="231F20"/>
              </w:rPr>
              <w:t>632.3</w:t>
            </w:r>
          </w:p>
        </w:tc>
        <w:tc>
          <w:tcPr>
            <w:tcW w:w="300" w:type="dxa"/>
            <w:vAlign w:val="bottom"/>
            <w:tcBorders>
              <w:bottom w:val="single" w:sz="8" w:color="231F20"/>
            </w:tcBorders>
          </w:tcPr>
          <w:p>
            <w:pPr>
              <w:jc w:val="right"/>
              <w:ind w:right="22"/>
              <w:spacing w:after="0" w:line="213" w:lineRule="exact"/>
              <w:rPr>
                <w:sz w:val="20"/>
                <w:szCs w:val="20"/>
                <w:color w:val="auto"/>
              </w:rPr>
            </w:pPr>
            <w:r>
              <w:rPr>
                <w:rFonts w:ascii="Arial" w:cs="Arial" w:eastAsia="Arial" w:hAnsi="Arial"/>
                <w:sz w:val="20"/>
                <w:szCs w:val="20"/>
                <w:color w:val="231F20"/>
              </w:rPr>
              <w:t>$</w:t>
            </w:r>
          </w:p>
        </w:tc>
        <w:tc>
          <w:tcPr>
            <w:tcW w:w="880" w:type="dxa"/>
            <w:vAlign w:val="bottom"/>
            <w:tcBorders>
              <w:bottom w:val="single" w:sz="8" w:color="231F20"/>
            </w:tcBorders>
          </w:tcPr>
          <w:p>
            <w:pPr>
              <w:jc w:val="right"/>
              <w:spacing w:after="0" w:line="213" w:lineRule="exact"/>
              <w:rPr>
                <w:sz w:val="20"/>
                <w:szCs w:val="20"/>
                <w:color w:val="auto"/>
              </w:rPr>
            </w:pPr>
            <w:r>
              <w:rPr>
                <w:rFonts w:ascii="Arial" w:cs="Arial" w:eastAsia="Arial" w:hAnsi="Arial"/>
                <w:sz w:val="20"/>
                <w:szCs w:val="20"/>
                <w:color w:val="231F20"/>
              </w:rPr>
              <w:t>523.9</w:t>
            </w:r>
          </w:p>
        </w:tc>
      </w:tr>
    </w:tbl>
    <w:p>
      <w:pPr>
        <w:spacing w:after="0" w:line="168" w:lineRule="exact"/>
        <w:rPr>
          <w:sz w:val="20"/>
          <w:szCs w:val="20"/>
          <w:color w:val="auto"/>
        </w:rPr>
      </w:pPr>
    </w:p>
    <w:p>
      <w:pPr>
        <w:ind w:left="400" w:hanging="394"/>
        <w:spacing w:after="0"/>
        <w:tabs>
          <w:tab w:leader="none" w:pos="400" w:val="left"/>
        </w:tabs>
        <w:numPr>
          <w:ilvl w:val="0"/>
          <w:numId w:val="25"/>
        </w:numPr>
        <w:rPr>
          <w:rFonts w:ascii="Arial" w:cs="Arial" w:eastAsia="Arial" w:hAnsi="Arial"/>
          <w:sz w:val="20"/>
          <w:szCs w:val="20"/>
          <w:b w:val="1"/>
          <w:bCs w:val="1"/>
          <w:color w:val="231F20"/>
        </w:rPr>
      </w:pPr>
      <w:r>
        <w:rPr>
          <w:rFonts w:ascii="Arial" w:cs="Arial" w:eastAsia="Arial" w:hAnsi="Arial"/>
          <w:sz w:val="20"/>
          <w:szCs w:val="20"/>
          <w:b w:val="1"/>
          <w:bCs w:val="1"/>
          <w:color w:val="231F20"/>
        </w:rPr>
        <w:t>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ASSA Businesses</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0"/>
          <w:szCs w:val="20"/>
          <w:color w:val="231F20"/>
        </w:rPr>
        <w:t>In June 2023, we acquired the Emtek and Schaub premium and luxury door and cabinet hardware business (the "Emtek and Schaub Business") and the U.S. and Canadian Yale and August residential smart locks business (the "Yale and August Business", and, collectively with the Emtek and Schaub Business, the "ASSA Businesses") from ASSA ABLOY, Inc. and its affiliates ("ASSA"). The Company completed the acquisition for a total purchase price of approximately $809.3 million, subject to post-closing adjustments, net of cash acquired of $16.3 million. As of the date of this filing, legal title to international operations in Vietnam has not yet transferred, but we expect a deferred closing, which will include a payment of approximately $23.5 million (which amount is already included in the overall purchase price but for which the cash payment has not yet been made) shortly following receipt of local regulatory approval. In preparation for the deferred closing, $23.5 million is classified as restricted cash within Other current assets and the corresponding payable is included within Other current liabilities. We financed the transaction with cash on hand. The results of the Emtek and Schaub Business are reported as part of the Water segment, and the results of the Yale and August Business are reported as part of the Security segment. We incurred $19.7 million of ASSA acquisition-related transaction costs in the year ended December 30, 2023.</w:t>
      </w:r>
    </w:p>
    <w:p>
      <w:pPr>
        <w:sectPr>
          <w:pgSz w:w="12240" w:h="15840" w:orient="portrait"/>
          <w:cols w:equalWidth="0" w:num="1">
            <w:col w:w="9420"/>
          </w:cols>
          <w:pgMar w:left="1380" w:top="1334" w:right="144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60</w:t>
      </w:r>
    </w:p>
    <w:p>
      <w:pPr>
        <w:sectPr>
          <w:pgSz w:w="12240" w:h="15840" w:orient="portrait"/>
          <w:cols w:equalWidth="0" w:num="1">
            <w:col w:w="9420"/>
          </w:cols>
          <w:pgMar w:left="1380" w:top="1334" w:right="1440" w:bottom="95" w:gutter="0" w:footer="0" w:header="0"/>
          <w:type w:val="continuous"/>
        </w:sectPr>
      </w:pPr>
    </w:p>
    <w:bookmarkStart w:id="68" w:name="page69"/>
    <w:bookmarkEnd w:id="68"/>
    <w:p>
      <w:pPr>
        <w:spacing w:after="0" w:line="139"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231F20"/>
        </w:rPr>
        <w:t>The following table summarizes the preliminary allocation of the ASSA Businesses' purchase price to the fair value of assets acquired and liabilities assumed as of the date of the acquisition.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109220</wp:posOffset>
                </wp:positionV>
                <wp:extent cx="593915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915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8.6pt" to="468.45pt,8.6pt" o:allowincell="f" strokecolor="#231F20" strokeweight="0.506pt"/>
            </w:pict>
          </mc:Fallback>
        </mc:AlternateConten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231F20"/>
        </w:rPr>
        <w:t>(In millions)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680" w:type="dxa"/>
            <w:vAlign w:val="bottom"/>
            <w:tcBorders>
              <w:top w:val="single" w:sz="8" w:color="231F20"/>
            </w:tcBorders>
          </w:tcPr>
          <w:p>
            <w:pPr>
              <w:jc w:val="right"/>
              <w:spacing w:after="0" w:line="202" w:lineRule="exact"/>
              <w:rPr>
                <w:sz w:val="20"/>
                <w:szCs w:val="20"/>
                <w:color w:val="auto"/>
              </w:rPr>
            </w:pPr>
            <w:r>
              <w:rPr>
                <w:rFonts w:ascii="Arial" w:cs="Arial" w:eastAsia="Arial" w:hAnsi="Arial"/>
                <w:sz w:val="20"/>
                <w:szCs w:val="20"/>
                <w:color w:val="231F20"/>
              </w:rPr>
              <w:t xml:space="preserve">Accounts receivable </w:t>
            </w:r>
            <w:r>
              <w:rPr>
                <w:rFonts w:ascii="Times New Roman" w:cs="Times New Roman" w:eastAsia="Times New Roman" w:hAnsi="Times New Roman"/>
                <w:sz w:val="20"/>
                <w:szCs w:val="20"/>
                <w:color w:val="231F20"/>
              </w:rPr>
              <w:t>..................................................................................................................</w:t>
            </w:r>
          </w:p>
        </w:tc>
        <w:tc>
          <w:tcPr>
            <w:tcW w:w="680" w:type="dxa"/>
            <w:vAlign w:val="bottom"/>
            <w:tcBorders>
              <w:top w:val="single" w:sz="8" w:color="231F20"/>
            </w:tcBorders>
          </w:tcPr>
          <w:p>
            <w:pPr>
              <w:jc w:val="right"/>
              <w:ind w:right="379"/>
              <w:spacing w:after="0" w:line="203" w:lineRule="exact"/>
              <w:rPr>
                <w:sz w:val="20"/>
                <w:szCs w:val="20"/>
                <w:color w:val="auto"/>
              </w:rPr>
            </w:pPr>
            <w:r>
              <w:rPr>
                <w:rFonts w:ascii="Arial" w:cs="Arial" w:eastAsia="Arial" w:hAnsi="Arial"/>
                <w:sz w:val="20"/>
                <w:szCs w:val="20"/>
                <w:color w:val="231F20"/>
              </w:rPr>
              <w:t>$</w:t>
            </w:r>
          </w:p>
        </w:tc>
        <w:tc>
          <w:tcPr>
            <w:tcW w:w="980" w:type="dxa"/>
            <w:vAlign w:val="bottom"/>
            <w:tcBorders>
              <w:top w:val="single" w:sz="8" w:color="231F20"/>
            </w:tcBorders>
          </w:tcPr>
          <w:p>
            <w:pPr>
              <w:jc w:val="right"/>
              <w:spacing w:after="0" w:line="203" w:lineRule="exact"/>
              <w:rPr>
                <w:sz w:val="20"/>
                <w:szCs w:val="20"/>
                <w:color w:val="auto"/>
              </w:rPr>
            </w:pPr>
            <w:r>
              <w:rPr>
                <w:rFonts w:ascii="Arial" w:cs="Arial" w:eastAsia="Arial" w:hAnsi="Arial"/>
                <w:sz w:val="20"/>
                <w:szCs w:val="20"/>
                <w:color w:val="231F20"/>
              </w:rPr>
              <w:t>38.0</w:t>
            </w:r>
          </w:p>
        </w:tc>
      </w:tr>
      <w:tr>
        <w:trPr>
          <w:trHeight w:val="233"/>
        </w:trPr>
        <w:tc>
          <w:tcPr>
            <w:tcW w:w="7680" w:type="dxa"/>
            <w:vAlign w:val="bottom"/>
          </w:tcPr>
          <w:p>
            <w:pPr>
              <w:jc w:val="right"/>
              <w:spacing w:after="0"/>
              <w:rPr>
                <w:sz w:val="20"/>
                <w:szCs w:val="20"/>
                <w:color w:val="auto"/>
              </w:rPr>
            </w:pPr>
            <w:r>
              <w:rPr>
                <w:rFonts w:ascii="Arial" w:cs="Arial" w:eastAsia="Arial" w:hAnsi="Arial"/>
                <w:sz w:val="20"/>
                <w:szCs w:val="20"/>
                <w:color w:val="231F20"/>
              </w:rPr>
              <w:t xml:space="preserve">Inventories </w:t>
            </w:r>
            <w:r>
              <w:rPr>
                <w:rFonts w:ascii="Times New Roman" w:cs="Times New Roman" w:eastAsia="Times New Roman" w:hAnsi="Times New Roman"/>
                <w:sz w:val="20"/>
                <w:szCs w:val="20"/>
                <w:color w:val="231F20"/>
              </w:rPr>
              <w:t>..................................................................................................................................</w:t>
            </w: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106.8</w:t>
            </w:r>
          </w:p>
        </w:tc>
      </w:tr>
      <w:tr>
        <w:trPr>
          <w:trHeight w:val="233"/>
        </w:trPr>
        <w:tc>
          <w:tcPr>
            <w:tcW w:w="7680" w:type="dxa"/>
            <w:vAlign w:val="bottom"/>
          </w:tcPr>
          <w:p>
            <w:pPr>
              <w:jc w:val="right"/>
              <w:spacing w:after="0"/>
              <w:rPr>
                <w:sz w:val="20"/>
                <w:szCs w:val="20"/>
                <w:color w:val="auto"/>
              </w:rPr>
            </w:pPr>
            <w:r>
              <w:rPr>
                <w:rFonts w:ascii="Arial" w:cs="Arial" w:eastAsia="Arial" w:hAnsi="Arial"/>
                <w:sz w:val="20"/>
                <w:szCs w:val="20"/>
                <w:color w:val="231F20"/>
              </w:rPr>
              <w:t xml:space="preserve">Property, plant and equipment </w:t>
            </w:r>
            <w:r>
              <w:rPr>
                <w:rFonts w:ascii="Times New Roman" w:cs="Times New Roman" w:eastAsia="Times New Roman" w:hAnsi="Times New Roman"/>
                <w:sz w:val="20"/>
                <w:szCs w:val="20"/>
                <w:color w:val="231F20"/>
              </w:rPr>
              <w:t>................................................................................................</w:t>
            </w: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19.5</w:t>
            </w:r>
          </w:p>
        </w:tc>
      </w:tr>
      <w:tr>
        <w:trPr>
          <w:trHeight w:val="233"/>
        </w:trPr>
        <w:tc>
          <w:tcPr>
            <w:tcW w:w="7680" w:type="dxa"/>
            <w:vAlign w:val="bottom"/>
          </w:tcPr>
          <w:p>
            <w:pPr>
              <w:jc w:val="right"/>
              <w:spacing w:after="0"/>
              <w:rPr>
                <w:sz w:val="20"/>
                <w:szCs w:val="20"/>
                <w:color w:val="auto"/>
              </w:rPr>
            </w:pPr>
            <w:r>
              <w:rPr>
                <w:rFonts w:ascii="Arial" w:cs="Arial" w:eastAsia="Arial" w:hAnsi="Arial"/>
                <w:sz w:val="20"/>
                <w:szCs w:val="20"/>
                <w:color w:val="231F20"/>
              </w:rPr>
              <w:t xml:space="preserve">Goodwill </w:t>
            </w:r>
            <w:r>
              <w:rPr>
                <w:rFonts w:ascii="Times New Roman" w:cs="Times New Roman" w:eastAsia="Times New Roman" w:hAnsi="Times New Roman"/>
                <w:sz w:val="20"/>
                <w:szCs w:val="20"/>
                <w:color w:val="231F20"/>
              </w:rPr>
              <w:t>......................................................................................................................................</w:t>
            </w: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258.8</w:t>
            </w:r>
          </w:p>
        </w:tc>
      </w:tr>
      <w:tr>
        <w:trPr>
          <w:trHeight w:val="233"/>
        </w:trPr>
        <w:tc>
          <w:tcPr>
            <w:tcW w:w="7680" w:type="dxa"/>
            <w:vAlign w:val="bottom"/>
          </w:tcPr>
          <w:p>
            <w:pPr>
              <w:jc w:val="right"/>
              <w:spacing w:after="0"/>
              <w:rPr>
                <w:sz w:val="20"/>
                <w:szCs w:val="20"/>
                <w:color w:val="auto"/>
              </w:rPr>
            </w:pPr>
            <w:r>
              <w:rPr>
                <w:rFonts w:ascii="Arial" w:cs="Arial" w:eastAsia="Arial" w:hAnsi="Arial"/>
                <w:sz w:val="20"/>
                <w:szCs w:val="20"/>
                <w:color w:val="231F20"/>
              </w:rPr>
              <w:t>Identifiable intangible assets</w:t>
            </w:r>
            <w:r>
              <w:rPr>
                <w:rFonts w:ascii="Times New Roman" w:cs="Times New Roman" w:eastAsia="Times New Roman" w:hAnsi="Times New Roman"/>
                <w:sz w:val="20"/>
                <w:szCs w:val="20"/>
                <w:color w:val="231F20"/>
              </w:rPr>
              <w:t>....................................................................................................</w:t>
            </w: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442.0</w:t>
            </w:r>
          </w:p>
        </w:tc>
      </w:tr>
      <w:tr>
        <w:trPr>
          <w:trHeight w:val="233"/>
        </w:trPr>
        <w:tc>
          <w:tcPr>
            <w:tcW w:w="7680" w:type="dxa"/>
            <w:vAlign w:val="bottom"/>
          </w:tcPr>
          <w:p>
            <w:pPr>
              <w:jc w:val="right"/>
              <w:spacing w:after="0"/>
              <w:rPr>
                <w:sz w:val="20"/>
                <w:szCs w:val="20"/>
                <w:color w:val="auto"/>
              </w:rPr>
            </w:pPr>
            <w:r>
              <w:rPr>
                <w:rFonts w:ascii="Arial" w:cs="Arial" w:eastAsia="Arial" w:hAnsi="Arial"/>
                <w:sz w:val="20"/>
                <w:szCs w:val="20"/>
                <w:color w:val="231F20"/>
              </w:rPr>
              <w:t>Operating lease assets</w:t>
            </w:r>
            <w:r>
              <w:rPr>
                <w:rFonts w:ascii="Times New Roman" w:cs="Times New Roman" w:eastAsia="Times New Roman" w:hAnsi="Times New Roman"/>
                <w:sz w:val="20"/>
                <w:szCs w:val="20"/>
                <w:color w:val="231F20"/>
              </w:rPr>
              <w:t>.............................................................................................................</w:t>
            </w: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17.1</w:t>
            </w:r>
          </w:p>
        </w:tc>
      </w:tr>
      <w:tr>
        <w:trPr>
          <w:trHeight w:val="253"/>
        </w:trPr>
        <w:tc>
          <w:tcPr>
            <w:tcW w:w="76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Other assets </w:t>
            </w:r>
            <w:r>
              <w:rPr>
                <w:rFonts w:ascii="Times New Roman" w:cs="Times New Roman" w:eastAsia="Times New Roman" w:hAnsi="Times New Roman"/>
                <w:sz w:val="20"/>
                <w:szCs w:val="20"/>
                <w:color w:val="231F20"/>
              </w:rPr>
              <w:t>...............................................................................................................................</w:t>
            </w:r>
          </w:p>
        </w:tc>
        <w:tc>
          <w:tcPr>
            <w:tcW w:w="6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2.3</w:t>
            </w:r>
          </w:p>
        </w:tc>
      </w:tr>
      <w:tr>
        <w:trPr>
          <w:trHeight w:val="202"/>
        </w:trPr>
        <w:tc>
          <w:tcPr>
            <w:tcW w:w="7680" w:type="dxa"/>
            <w:vAlign w:val="bottom"/>
          </w:tcPr>
          <w:p>
            <w:pPr>
              <w:jc w:val="right"/>
              <w:spacing w:after="0" w:line="202" w:lineRule="exact"/>
              <w:rPr>
                <w:sz w:val="20"/>
                <w:szCs w:val="20"/>
                <w:color w:val="auto"/>
              </w:rPr>
            </w:pPr>
            <w:r>
              <w:rPr>
                <w:rFonts w:ascii="Arial" w:cs="Arial" w:eastAsia="Arial" w:hAnsi="Arial"/>
                <w:sz w:val="20"/>
                <w:szCs w:val="20"/>
                <w:color w:val="231F20"/>
              </w:rPr>
              <w:t>Total assets</w:t>
            </w:r>
            <w:r>
              <w:rPr>
                <w:rFonts w:ascii="Times New Roman" w:cs="Times New Roman" w:eastAsia="Times New Roman" w:hAnsi="Times New Roman"/>
                <w:sz w:val="20"/>
                <w:szCs w:val="20"/>
                <w:color w:val="231F20"/>
              </w:rPr>
              <w:t>...........................................................................................................................</w:t>
            </w:r>
          </w:p>
        </w:tc>
        <w:tc>
          <w:tcPr>
            <w:tcW w:w="6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20"/>
                <w:szCs w:val="20"/>
                <w:color w:val="231F20"/>
              </w:rPr>
              <w:t>884.5</w:t>
            </w:r>
          </w:p>
        </w:tc>
      </w:tr>
      <w:tr>
        <w:trPr>
          <w:trHeight w:val="233"/>
        </w:trPr>
        <w:tc>
          <w:tcPr>
            <w:tcW w:w="7680" w:type="dxa"/>
            <w:vAlign w:val="bottom"/>
          </w:tcPr>
          <w:p>
            <w:pPr>
              <w:jc w:val="right"/>
              <w:spacing w:after="0"/>
              <w:rPr>
                <w:sz w:val="20"/>
                <w:szCs w:val="20"/>
                <w:color w:val="auto"/>
              </w:rPr>
            </w:pPr>
            <w:r>
              <w:rPr>
                <w:rFonts w:ascii="Arial" w:cs="Arial" w:eastAsia="Arial" w:hAnsi="Arial"/>
                <w:sz w:val="20"/>
                <w:szCs w:val="20"/>
                <w:color w:val="231F20"/>
              </w:rPr>
              <w:t xml:space="preserve">Accounts payable </w:t>
            </w:r>
            <w:r>
              <w:rPr>
                <w:rFonts w:ascii="Times New Roman" w:cs="Times New Roman" w:eastAsia="Times New Roman" w:hAnsi="Times New Roman"/>
                <w:sz w:val="20"/>
                <w:szCs w:val="20"/>
                <w:color w:val="231F20"/>
              </w:rPr>
              <w:t>......................................................................................................................</w:t>
            </w: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26.0</w:t>
            </w:r>
          </w:p>
        </w:tc>
      </w:tr>
      <w:tr>
        <w:trPr>
          <w:trHeight w:val="233"/>
        </w:trPr>
        <w:tc>
          <w:tcPr>
            <w:tcW w:w="7680" w:type="dxa"/>
            <w:vAlign w:val="bottom"/>
          </w:tcPr>
          <w:p>
            <w:pPr>
              <w:jc w:val="right"/>
              <w:spacing w:after="0"/>
              <w:rPr>
                <w:sz w:val="20"/>
                <w:szCs w:val="20"/>
                <w:color w:val="auto"/>
              </w:rPr>
            </w:pPr>
            <w:r>
              <w:rPr>
                <w:rFonts w:ascii="Arial" w:cs="Arial" w:eastAsia="Arial" w:hAnsi="Arial"/>
                <w:sz w:val="20"/>
                <w:szCs w:val="20"/>
                <w:color w:val="231F20"/>
              </w:rPr>
              <w:t xml:space="preserve">Other current liabilities and accruals </w:t>
            </w:r>
            <w:r>
              <w:rPr>
                <w:rFonts w:ascii="Times New Roman" w:cs="Times New Roman" w:eastAsia="Times New Roman" w:hAnsi="Times New Roman"/>
                <w:sz w:val="20"/>
                <w:szCs w:val="20"/>
                <w:color w:val="231F20"/>
              </w:rPr>
              <w:t>......................................................................................</w:t>
            </w:r>
          </w:p>
        </w:tc>
        <w:tc>
          <w:tcPr>
            <w:tcW w:w="6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33.9</w:t>
            </w:r>
          </w:p>
        </w:tc>
      </w:tr>
      <w:tr>
        <w:trPr>
          <w:trHeight w:val="253"/>
        </w:trPr>
        <w:tc>
          <w:tcPr>
            <w:tcW w:w="76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Other non-current liabilities </w:t>
            </w:r>
            <w:r>
              <w:rPr>
                <w:rFonts w:ascii="Times New Roman" w:cs="Times New Roman" w:eastAsia="Times New Roman" w:hAnsi="Times New Roman"/>
                <w:sz w:val="20"/>
                <w:szCs w:val="20"/>
                <w:color w:val="231F20"/>
              </w:rPr>
              <w:t>......................................................................................................</w:t>
            </w:r>
          </w:p>
        </w:tc>
        <w:tc>
          <w:tcPr>
            <w:tcW w:w="6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15.3</w:t>
            </w:r>
          </w:p>
        </w:tc>
      </w:tr>
      <w:tr>
        <w:trPr>
          <w:trHeight w:val="248"/>
        </w:trPr>
        <w:tc>
          <w:tcPr>
            <w:tcW w:w="76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Net assets acquired</w:t>
            </w:r>
            <w:r>
              <w:rPr>
                <w:rFonts w:ascii="Times New Roman" w:cs="Times New Roman" w:eastAsia="Times New Roman" w:hAnsi="Times New Roman"/>
                <w:sz w:val="20"/>
                <w:szCs w:val="20"/>
                <w:color w:val="231F20"/>
              </w:rPr>
              <w:t>.............................................................................................................</w:t>
            </w:r>
          </w:p>
        </w:tc>
        <w:tc>
          <w:tcPr>
            <w:tcW w:w="680" w:type="dxa"/>
            <w:vAlign w:val="bottom"/>
            <w:tcBorders>
              <w:bottom w:val="single" w:sz="8" w:color="231F20"/>
            </w:tcBorders>
          </w:tcPr>
          <w:p>
            <w:pPr>
              <w:jc w:val="right"/>
              <w:ind w:right="379"/>
              <w:spacing w:after="0" w:line="223" w:lineRule="exact"/>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809.3</w:t>
            </w:r>
          </w:p>
        </w:tc>
      </w:tr>
    </w:tbl>
    <w:p>
      <w:pPr>
        <w:spacing w:after="0" w:line="213"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231F20"/>
        </w:rPr>
        <w:t>We apply significant judgment in determining the estimates and assumptions used to determine the fair value of the identifiable intangible assets, including forecasted revenue growth rates, EBIT margins, percentage of revenue attributable to the tradenames, contributory asset charges, customer attrition rate, market-participant discount rates and the assumed royalty rates. Any change in the acquisition date fair value of the acquired assets and liabilities will change the amount of the purchase price allocable to goodwill.</w:t>
      </w:r>
    </w:p>
    <w:p>
      <w:pPr>
        <w:spacing w:after="0" w:line="185" w:lineRule="exact"/>
        <w:rPr>
          <w:sz w:val="20"/>
          <w:szCs w:val="20"/>
          <w:color w:val="auto"/>
        </w:rPr>
      </w:pPr>
    </w:p>
    <w:p>
      <w:pPr>
        <w:spacing w:after="0" w:line="247" w:lineRule="auto"/>
        <w:rPr>
          <w:sz w:val="20"/>
          <w:szCs w:val="20"/>
          <w:color w:val="auto"/>
        </w:rPr>
      </w:pPr>
      <w:r>
        <w:rPr>
          <w:rFonts w:ascii="Arial" w:cs="Arial" w:eastAsia="Arial" w:hAnsi="Arial"/>
          <w:sz w:val="20"/>
          <w:szCs w:val="20"/>
          <w:color w:val="231F20"/>
        </w:rPr>
        <w:t>Goodwill includes expected sales and cost synergies. The goodwill of $229.1 million and $29.7 million is included in our Water and Security segments, respectively. Substantially all of the tax goodwill is expected to be deductible for income tax purposes, subject to the finalization of the purchase price allocation. ASSA Businesses identifiable intangible assets consist of two finite-lived customer relationship assets of $328.0 million and $21.3 million and indefinite-lived tradename of $75.0 million, a definite-lived tradename of $9.0 million and definite-lived proprietary technology assets of $8.7 million. The useful lives of both of the customer relationship assets is estimated to be 17 years. The useful life of the definite-lived tradename is estimated to be 30 years. The useful life of the proprietary technology assets is estimated to be eight years. Customer relationships, tradenames and proprietary technology assets are amortized on a straight line basis over their useful lives.</w:t>
      </w:r>
    </w:p>
    <w:p>
      <w:pPr>
        <w:spacing w:after="0" w:line="192"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231F20"/>
        </w:rPr>
        <w:t>The following unaudited pro forma summary presents consolidated financial information as if the ASSA Businesses had been acquired on January 1, 2022. The unaudited pro forma financial information is based on historical results of operations and financial position of the Company and the ASSA Businesses. The pro forma results include:</w:t>
      </w:r>
    </w:p>
    <w:p>
      <w:pPr>
        <w:spacing w:after="0" w:line="80" w:lineRule="exact"/>
        <w:rPr>
          <w:sz w:val="20"/>
          <w:szCs w:val="20"/>
          <w:color w:val="auto"/>
        </w:rPr>
      </w:pPr>
    </w:p>
    <w:p>
      <w:pPr>
        <w:ind w:left="1000" w:right="280" w:hanging="499"/>
        <w:spacing w:after="0" w:line="287" w:lineRule="auto"/>
        <w:tabs>
          <w:tab w:leader="none" w:pos="100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estimated amortization of finite-lived intangible assets, including customer relationships and proprietary technology,</w:t>
      </w:r>
    </w:p>
    <w:p>
      <w:pPr>
        <w:spacing w:after="0" w:line="50" w:lineRule="exact"/>
        <w:rPr>
          <w:rFonts w:ascii="Arial" w:cs="Arial" w:eastAsia="Arial" w:hAnsi="Arial"/>
          <w:sz w:val="20"/>
          <w:szCs w:val="20"/>
          <w:color w:val="231F20"/>
        </w:rPr>
      </w:pPr>
    </w:p>
    <w:p>
      <w:pPr>
        <w:ind w:left="1000" w:hanging="499"/>
        <w:spacing w:after="0"/>
        <w:tabs>
          <w:tab w:leader="none" w:pos="100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the estimated cost of the inventory adjustment to fair value,</w:t>
      </w:r>
    </w:p>
    <w:p>
      <w:pPr>
        <w:spacing w:after="0" w:line="137" w:lineRule="exact"/>
        <w:rPr>
          <w:rFonts w:ascii="Arial" w:cs="Arial" w:eastAsia="Arial" w:hAnsi="Arial"/>
          <w:sz w:val="20"/>
          <w:szCs w:val="20"/>
          <w:color w:val="231F20"/>
        </w:rPr>
      </w:pPr>
    </w:p>
    <w:p>
      <w:pPr>
        <w:ind w:left="1000" w:right="460" w:hanging="499"/>
        <w:spacing w:after="0" w:line="287" w:lineRule="auto"/>
        <w:tabs>
          <w:tab w:leader="none" w:pos="100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the reclassification of ASSA Businesses transaction costs from 2023 to the first quarter of 2022,</w:t>
      </w:r>
    </w:p>
    <w:p>
      <w:pPr>
        <w:spacing w:after="0" w:line="50" w:lineRule="exact"/>
        <w:rPr>
          <w:rFonts w:ascii="Arial" w:cs="Arial" w:eastAsia="Arial" w:hAnsi="Arial"/>
          <w:sz w:val="20"/>
          <w:szCs w:val="20"/>
          <w:color w:val="231F20"/>
        </w:rPr>
      </w:pPr>
    </w:p>
    <w:p>
      <w:pPr>
        <w:ind w:left="1000" w:right="100" w:hanging="499"/>
        <w:spacing w:after="0" w:line="287" w:lineRule="auto"/>
        <w:tabs>
          <w:tab w:leader="none" w:pos="100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the removal of certain transactions recorded in the historical financial statements of the ASSA Businesses related to assets and activities which were retained by the seller, and</w:t>
      </w:r>
    </w:p>
    <w:p>
      <w:pPr>
        <w:spacing w:after="0" w:line="50" w:lineRule="exact"/>
        <w:rPr>
          <w:rFonts w:ascii="Arial" w:cs="Arial" w:eastAsia="Arial" w:hAnsi="Arial"/>
          <w:sz w:val="20"/>
          <w:szCs w:val="20"/>
          <w:color w:val="231F20"/>
        </w:rPr>
      </w:pPr>
    </w:p>
    <w:p>
      <w:pPr>
        <w:ind w:left="1000" w:hanging="499"/>
        <w:spacing w:after="0"/>
        <w:tabs>
          <w:tab w:leader="none" w:pos="1000" w:val="left"/>
        </w:tabs>
        <w:numPr>
          <w:ilvl w:val="0"/>
          <w:numId w:val="26"/>
        </w:numPr>
        <w:rPr>
          <w:rFonts w:ascii="Arial" w:cs="Arial" w:eastAsia="Arial" w:hAnsi="Arial"/>
          <w:sz w:val="20"/>
          <w:szCs w:val="20"/>
          <w:color w:val="231F20"/>
        </w:rPr>
      </w:pPr>
      <w:r>
        <w:rPr>
          <w:rFonts w:ascii="Arial" w:cs="Arial" w:eastAsia="Arial" w:hAnsi="Arial"/>
          <w:sz w:val="20"/>
          <w:szCs w:val="20"/>
          <w:color w:val="231F20"/>
        </w:rPr>
        <w:t>adjustments to conform accounting policies.</w:t>
      </w:r>
    </w:p>
    <w:p>
      <w:pPr>
        <w:sectPr>
          <w:pgSz w:w="12240" w:h="15840" w:orient="portrait"/>
          <w:cols w:equalWidth="0" w:num="1">
            <w:col w:w="9440"/>
          </w:cols>
          <w:pgMar w:left="1380" w:top="1440"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61</w:t>
      </w:r>
    </w:p>
    <w:p>
      <w:pPr>
        <w:sectPr>
          <w:pgSz w:w="12240" w:h="15840" w:orient="portrait"/>
          <w:cols w:equalWidth="0" w:num="1">
            <w:col w:w="9440"/>
          </w:cols>
          <w:pgMar w:left="1380" w:top="1440" w:right="1420" w:bottom="95" w:gutter="0" w:footer="0" w:header="0"/>
          <w:type w:val="continuous"/>
        </w:sectPr>
      </w:pPr>
    </w:p>
    <w:bookmarkStart w:id="69" w:name="page70"/>
    <w:bookmarkEnd w:id="69"/>
    <w:p>
      <w:pPr>
        <w:ind w:right="100"/>
        <w:spacing w:after="0" w:line="265" w:lineRule="auto"/>
        <w:rPr>
          <w:sz w:val="20"/>
          <w:szCs w:val="20"/>
          <w:color w:val="auto"/>
        </w:rPr>
      </w:pPr>
      <w:r>
        <w:rPr>
          <w:rFonts w:ascii="Arial" w:cs="Arial" w:eastAsia="Arial" w:hAnsi="Arial"/>
          <w:sz w:val="20"/>
          <w:szCs w:val="20"/>
          <w:color w:val="231F20"/>
        </w:rPr>
        <w:t>The unaudited pro forma financial information does not necessarily represent the results that would have occurred had the acquisition occurred on January 1, 2022. In addition, the unaudited pro forma information should not be deemed to be indicative of future results.</w:t>
      </w:r>
    </w:p>
    <w:p>
      <w:pPr>
        <w:spacing w:after="0" w:line="168"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5940" w:type="dxa"/>
            <w:vAlign w:val="bottom"/>
            <w:tcBorders>
              <w:top w:val="single" w:sz="8" w:color="231F20"/>
              <w:bottom w:val="single" w:sz="8" w:color="231F20"/>
            </w:tcBorders>
          </w:tcPr>
          <w:p>
            <w:pPr>
              <w:spacing w:after="0" w:line="184"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280" w:type="dxa"/>
            <w:vAlign w:val="bottom"/>
            <w:tcBorders>
              <w:top w:val="single" w:sz="8" w:color="231F20"/>
              <w:bottom w:val="single" w:sz="8" w:color="231F20"/>
            </w:tcBorders>
          </w:tcPr>
          <w:p>
            <w:pPr>
              <w:spacing w:after="0"/>
              <w:rPr>
                <w:sz w:val="16"/>
                <w:szCs w:val="16"/>
                <w:color w:val="auto"/>
              </w:rPr>
            </w:pPr>
          </w:p>
        </w:tc>
        <w:tc>
          <w:tcPr>
            <w:tcW w:w="880" w:type="dxa"/>
            <w:vAlign w:val="bottom"/>
            <w:tcBorders>
              <w:top w:val="single" w:sz="8" w:color="231F20"/>
              <w:bottom w:val="single" w:sz="8" w:color="231F20"/>
            </w:tcBorders>
          </w:tcPr>
          <w:p>
            <w:pPr>
              <w:jc w:val="right"/>
              <w:ind w:right="27"/>
              <w:spacing w:after="0"/>
              <w:rPr>
                <w:sz w:val="20"/>
                <w:szCs w:val="20"/>
                <w:color w:val="auto"/>
              </w:rPr>
            </w:pPr>
            <w:r>
              <w:rPr>
                <w:rFonts w:ascii="Arial" w:cs="Arial" w:eastAsia="Arial" w:hAnsi="Arial"/>
                <w:sz w:val="15"/>
                <w:szCs w:val="15"/>
                <w:i w:val="1"/>
                <w:iCs w:val="1"/>
                <w:color w:val="231F20"/>
              </w:rPr>
              <w:t>2023</w:t>
            </w:r>
          </w:p>
        </w:tc>
        <w:tc>
          <w:tcPr>
            <w:tcW w:w="440" w:type="dxa"/>
            <w:vAlign w:val="bottom"/>
            <w:tcBorders>
              <w:top w:val="single" w:sz="8" w:color="231F20"/>
              <w:bottom w:val="single" w:sz="8" w:color="231F20"/>
            </w:tcBorders>
          </w:tcPr>
          <w:p>
            <w:pPr>
              <w:spacing w:after="0"/>
              <w:rPr>
                <w:sz w:val="16"/>
                <w:szCs w:val="16"/>
                <w:color w:val="auto"/>
              </w:rPr>
            </w:pPr>
          </w:p>
        </w:tc>
        <w:tc>
          <w:tcPr>
            <w:tcW w:w="980" w:type="dxa"/>
            <w:vAlign w:val="bottom"/>
            <w:tcBorders>
              <w:top w:val="single" w:sz="8" w:color="231F20"/>
              <w:bottom w:val="single" w:sz="8" w:color="231F20"/>
            </w:tcBorders>
          </w:tcPr>
          <w:p>
            <w:pPr>
              <w:jc w:val="right"/>
              <w:ind w:right="7"/>
              <w:spacing w:after="0"/>
              <w:rPr>
                <w:sz w:val="20"/>
                <w:szCs w:val="20"/>
                <w:color w:val="auto"/>
              </w:rPr>
            </w:pPr>
            <w:r>
              <w:rPr>
                <w:rFonts w:ascii="Arial" w:cs="Arial" w:eastAsia="Arial" w:hAnsi="Arial"/>
                <w:sz w:val="15"/>
                <w:szCs w:val="15"/>
                <w:i w:val="1"/>
                <w:iCs w:val="1"/>
                <w:color w:val="231F20"/>
              </w:rPr>
              <w:t>2022</w:t>
            </w:r>
          </w:p>
        </w:tc>
      </w:tr>
      <w:tr>
        <w:trPr>
          <w:trHeight w:val="202"/>
        </w:trPr>
        <w:tc>
          <w:tcPr>
            <w:tcW w:w="5940" w:type="dxa"/>
            <w:vAlign w:val="bottom"/>
          </w:tcPr>
          <w:p>
            <w:pPr>
              <w:spacing w:after="0" w:line="202" w:lineRule="exact"/>
              <w:rPr>
                <w:sz w:val="20"/>
                <w:szCs w:val="20"/>
                <w:color w:val="auto"/>
              </w:rPr>
            </w:pPr>
            <w:r>
              <w:rPr>
                <w:rFonts w:ascii="Arial" w:cs="Arial" w:eastAsia="Arial" w:hAnsi="Arial"/>
                <w:sz w:val="20"/>
                <w:szCs w:val="20"/>
                <w:color w:val="231F20"/>
              </w:rPr>
              <w:t xml:space="preserve">Net sales </w:t>
            </w:r>
            <w:r>
              <w:rPr>
                <w:rFonts w:ascii="Times New Roman" w:cs="Times New Roman" w:eastAsia="Times New Roman" w:hAnsi="Times New Roman"/>
                <w:sz w:val="20"/>
                <w:szCs w:val="20"/>
                <w:color w:val="231F20"/>
              </w:rPr>
              <w:t>...................................................................................................</w:t>
            </w:r>
          </w:p>
        </w:tc>
        <w:tc>
          <w:tcPr>
            <w:tcW w:w="28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880" w:type="dxa"/>
            <w:vAlign w:val="bottom"/>
          </w:tcPr>
          <w:p>
            <w:pPr>
              <w:jc w:val="right"/>
              <w:ind w:right="27"/>
              <w:spacing w:after="0" w:line="203" w:lineRule="exact"/>
              <w:rPr>
                <w:sz w:val="20"/>
                <w:szCs w:val="20"/>
                <w:color w:val="auto"/>
              </w:rPr>
            </w:pPr>
            <w:r>
              <w:rPr>
                <w:rFonts w:ascii="Arial" w:cs="Arial" w:eastAsia="Arial" w:hAnsi="Arial"/>
                <w:sz w:val="20"/>
                <w:szCs w:val="20"/>
                <w:color w:val="231F20"/>
              </w:rPr>
              <w:t>4,811.2</w:t>
            </w:r>
          </w:p>
        </w:tc>
        <w:tc>
          <w:tcPr>
            <w:tcW w:w="440" w:type="dxa"/>
            <w:vAlign w:val="bottom"/>
          </w:tcPr>
          <w:p>
            <w:pPr>
              <w:jc w:val="right"/>
              <w:ind w:right="119"/>
              <w:spacing w:after="0" w:line="203" w:lineRule="exact"/>
              <w:rPr>
                <w:sz w:val="20"/>
                <w:szCs w:val="20"/>
                <w:color w:val="auto"/>
              </w:rPr>
            </w:pPr>
            <w:r>
              <w:rPr>
                <w:rFonts w:ascii="Arial" w:cs="Arial" w:eastAsia="Arial" w:hAnsi="Arial"/>
                <w:sz w:val="20"/>
                <w:szCs w:val="20"/>
                <w:color w:val="231F20"/>
              </w:rPr>
              <w:t>$</w:t>
            </w:r>
          </w:p>
        </w:tc>
        <w:tc>
          <w:tcPr>
            <w:tcW w:w="980" w:type="dxa"/>
            <w:vAlign w:val="bottom"/>
          </w:tcPr>
          <w:p>
            <w:pPr>
              <w:jc w:val="right"/>
              <w:ind w:right="7"/>
              <w:spacing w:after="0" w:line="203" w:lineRule="exact"/>
              <w:rPr>
                <w:sz w:val="20"/>
                <w:szCs w:val="20"/>
                <w:color w:val="auto"/>
              </w:rPr>
            </w:pPr>
            <w:r>
              <w:rPr>
                <w:rFonts w:ascii="Arial" w:cs="Arial" w:eastAsia="Arial" w:hAnsi="Arial"/>
                <w:sz w:val="20"/>
                <w:szCs w:val="20"/>
                <w:color w:val="231F20"/>
              </w:rPr>
              <w:t>5,129.6</w:t>
            </w:r>
          </w:p>
        </w:tc>
      </w:tr>
      <w:tr>
        <w:trPr>
          <w:trHeight w:val="279"/>
        </w:trPr>
        <w:tc>
          <w:tcPr>
            <w:tcW w:w="594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rPr>
              <w:t>Net income</w:t>
            </w:r>
            <w:r>
              <w:rPr>
                <w:rFonts w:ascii="Times New Roman" w:cs="Times New Roman" w:eastAsia="Times New Roman" w:hAnsi="Times New Roman"/>
                <w:sz w:val="20"/>
                <w:szCs w:val="20"/>
                <w:color w:val="231F20"/>
              </w:rPr>
              <w:t>................................................................................................</w:t>
            </w:r>
          </w:p>
        </w:tc>
        <w:tc>
          <w:tcPr>
            <w:tcW w:w="2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880" w:type="dxa"/>
            <w:vAlign w:val="bottom"/>
            <w:tcBorders>
              <w:bottom w:val="single" w:sz="8" w:color="231F20"/>
            </w:tcBorders>
          </w:tcPr>
          <w:p>
            <w:pPr>
              <w:jc w:val="right"/>
              <w:ind w:right="27"/>
              <w:spacing w:after="0"/>
              <w:rPr>
                <w:sz w:val="20"/>
                <w:szCs w:val="20"/>
                <w:color w:val="auto"/>
              </w:rPr>
            </w:pPr>
            <w:r>
              <w:rPr>
                <w:rFonts w:ascii="Arial" w:cs="Arial" w:eastAsia="Arial" w:hAnsi="Arial"/>
                <w:sz w:val="20"/>
                <w:szCs w:val="20"/>
                <w:color w:val="231F20"/>
              </w:rPr>
              <w:t>443.1</w:t>
            </w:r>
          </w:p>
        </w:tc>
        <w:tc>
          <w:tcPr>
            <w:tcW w:w="440" w:type="dxa"/>
            <w:vAlign w:val="bottom"/>
            <w:tcBorders>
              <w:bottom w:val="single" w:sz="8" w:color="231F20"/>
            </w:tcBorders>
          </w:tcPr>
          <w:p>
            <w:pPr>
              <w:jc w:val="right"/>
              <w:ind w:right="119"/>
              <w:spacing w:after="0"/>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tcBorders>
          </w:tcPr>
          <w:p>
            <w:pPr>
              <w:jc w:val="right"/>
              <w:ind w:right="7"/>
              <w:spacing w:after="0"/>
              <w:rPr>
                <w:sz w:val="20"/>
                <w:szCs w:val="20"/>
                <w:color w:val="auto"/>
              </w:rPr>
            </w:pPr>
            <w:r>
              <w:rPr>
                <w:rFonts w:ascii="Arial" w:cs="Arial" w:eastAsia="Arial" w:hAnsi="Arial"/>
                <w:sz w:val="20"/>
                <w:szCs w:val="20"/>
                <w:color w:val="231F20"/>
              </w:rPr>
              <w:t>558.8</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Aqualisa</w:t>
      </w:r>
    </w:p>
    <w:p>
      <w:pPr>
        <w:spacing w:after="0" w:line="227" w:lineRule="exact"/>
        <w:rPr>
          <w:sz w:val="20"/>
          <w:szCs w:val="20"/>
          <w:color w:val="auto"/>
        </w:rPr>
      </w:pPr>
    </w:p>
    <w:p>
      <w:pPr>
        <w:ind w:right="260"/>
        <w:spacing w:after="0" w:line="249" w:lineRule="auto"/>
        <w:rPr>
          <w:sz w:val="20"/>
          <w:szCs w:val="20"/>
          <w:color w:val="auto"/>
        </w:rPr>
      </w:pPr>
      <w:r>
        <w:rPr>
          <w:rFonts w:ascii="Arial" w:cs="Arial" w:eastAsia="Arial" w:hAnsi="Arial"/>
          <w:sz w:val="20"/>
          <w:szCs w:val="20"/>
          <w:color w:val="231F20"/>
        </w:rPr>
        <w:t>In July 2022, we acquired 100% of the outstanding equity of Aqualisa for a purchase price of $156.0 million, net of cash acquired of $4.8 million. We financed the transaction using cash on hand and borrowings under our revolving credit facility. The results of Aqualisa are reported as part of the Water segment. We have not included pro forma financial information as the transaction is not material to our condensed consolidated statements of comprehensive income. The fair value allocated to assets acquired and liabilities assumed as of July 29, 2022 was $156.0 million, which includes $88.7 million of goodwill. Goodwill includes expected sales and cost synergies and is not expected to be deductible for income tax purposes.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Solar</w:t>
      </w:r>
    </w:p>
    <w:p>
      <w:pPr>
        <w:spacing w:after="0" w:line="156" w:lineRule="exact"/>
        <w:rPr>
          <w:sz w:val="20"/>
          <w:szCs w:val="20"/>
          <w:color w:val="auto"/>
        </w:rPr>
      </w:pPr>
    </w:p>
    <w:p>
      <w:pPr>
        <w:spacing w:after="0" w:line="249" w:lineRule="auto"/>
        <w:rPr>
          <w:sz w:val="20"/>
          <w:szCs w:val="20"/>
          <w:color w:val="auto"/>
        </w:rPr>
      </w:pPr>
      <w:r>
        <w:rPr>
          <w:rFonts w:ascii="Arial" w:cs="Arial" w:eastAsia="Arial" w:hAnsi="Arial"/>
          <w:sz w:val="20"/>
          <w:szCs w:val="20"/>
          <w:color w:val="231F20"/>
        </w:rPr>
        <w:t>In January 2022, we acquired 100% of the outstanding equity of Solar for a purchase price of $61.6 million, net of cash acquired of $4.8 million. We financed the transaction using cash on hand and borrowings under our revolving credit facility. The results of Solar are reported as part of the Outdoors segment. We have not included pro forma financial information as the transaction is immaterial to our condensed consolidated statements of comprehensive income. The fair value allocated to assets acquired and liabilities assumed as of January 31, 2022 was $61.6 million, which includes $23.3 million of goodwill. Goodwill includes expected sales and cost synergies and is expected to be deductible for income tax purposes.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Flo Technologies</w:t>
      </w:r>
    </w:p>
    <w:p>
      <w:pPr>
        <w:spacing w:after="0" w:line="227"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231F20"/>
        </w:rPr>
        <w:t>In January 2020, we entered into an agreement to acquire the outstanding shares of Flo Technologies ("Flo") in a multi-phase transaction. As part of this agreement, we acquired a majority of Flo’s outstanding shares during 2020 and entered into a forward contract to purchase all remaining shares of Flo during the first quarter of 2022. On January 30, 2022, we made a final cash payment of $16.7 million to the legacy minority shareholders to acquire such shares which is reflected within Other financing, net in our consolidated statements of cash flows.</w:t>
      </w:r>
    </w:p>
    <w:p>
      <w:pPr>
        <w:spacing w:after="0" w:line="131" w:lineRule="exact"/>
        <w:rPr>
          <w:sz w:val="20"/>
          <w:szCs w:val="20"/>
          <w:color w:val="auto"/>
        </w:rPr>
      </w:pPr>
    </w:p>
    <w:p>
      <w:pPr>
        <w:ind w:left="400" w:hanging="394"/>
        <w:spacing w:after="0"/>
        <w:tabs>
          <w:tab w:leader="none" w:pos="400" w:val="left"/>
        </w:tabs>
        <w:numPr>
          <w:ilvl w:val="0"/>
          <w:numId w:val="27"/>
        </w:numPr>
        <w:rPr>
          <w:rFonts w:ascii="Arial" w:cs="Arial" w:eastAsia="Arial" w:hAnsi="Arial"/>
          <w:sz w:val="20"/>
          <w:szCs w:val="20"/>
          <w:b w:val="1"/>
          <w:bCs w:val="1"/>
          <w:color w:val="231F20"/>
        </w:rPr>
      </w:pPr>
      <w:r>
        <w:rPr>
          <w:rFonts w:ascii="Arial" w:cs="Arial" w:eastAsia="Arial" w:hAnsi="Arial"/>
          <w:sz w:val="20"/>
          <w:szCs w:val="20"/>
          <w:b w:val="1"/>
          <w:bCs w:val="1"/>
          <w:color w:val="231F20"/>
        </w:rPr>
        <w:t>Discontinued Operations</w:t>
      </w:r>
    </w:p>
    <w:p>
      <w:pPr>
        <w:spacing w:after="0" w:line="239"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231F20"/>
        </w:rPr>
        <w:t>On December 14, 2022, the Company completed the Separation. The consolidated statements of income and consolidated balance sheets for all prior periods have been adjusted to reflect the presentation of MasterBrand as discontinued operations. During 2023, we recognized expense of $1.0 million within Income (loss) from discontinued operations, net of tax.</w:t>
      </w:r>
    </w:p>
    <w:p>
      <w:pPr>
        <w:sectPr>
          <w:pgSz w:w="12240" w:h="15840" w:orient="portrait"/>
          <w:cols w:equalWidth="0" w:num="1">
            <w:col w:w="9440"/>
          </w:cols>
          <w:pgMar w:left="1380" w:top="1346" w:right="142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62</w:t>
      </w:r>
    </w:p>
    <w:p>
      <w:pPr>
        <w:sectPr>
          <w:pgSz w:w="12240" w:h="15840" w:orient="portrait"/>
          <w:cols w:equalWidth="0" w:num="1">
            <w:col w:w="9440"/>
          </w:cols>
          <w:pgMar w:left="1380" w:top="1346" w:right="1420" w:bottom="95" w:gutter="0" w:footer="0" w:header="0"/>
          <w:type w:val="continuous"/>
        </w:sectPr>
      </w:pPr>
    </w:p>
    <w:bookmarkStart w:id="70" w:name="page71"/>
    <w:bookmarkEnd w:id="70"/>
    <w:p>
      <w:pPr>
        <w:ind w:right="1080"/>
        <w:spacing w:after="0" w:line="287" w:lineRule="auto"/>
        <w:rPr>
          <w:sz w:val="20"/>
          <w:szCs w:val="20"/>
          <w:color w:val="auto"/>
        </w:rPr>
      </w:pPr>
      <w:r>
        <w:rPr>
          <w:rFonts w:ascii="Arial" w:cs="Arial" w:eastAsia="Arial" w:hAnsi="Arial"/>
          <w:sz w:val="20"/>
          <w:szCs w:val="20"/>
          <w:color w:val="231F20"/>
        </w:rPr>
        <w:t>The following table summarizes the results of the discontinued operations for the years ended December 31, 2022 and December 31, 2021.</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940" w:type="dxa"/>
            <w:vAlign w:val="bottom"/>
            <w:tcBorders>
              <w:top w:val="single" w:sz="8" w:color="231F20"/>
              <w:bottom w:val="single" w:sz="8" w:color="231F20"/>
            </w:tcBorders>
          </w:tcPr>
          <w:p>
            <w:pPr>
              <w:jc w:val="right"/>
              <w:spacing w:after="0" w:line="184"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300" w:type="dxa"/>
            <w:vAlign w:val="bottom"/>
            <w:tcBorders>
              <w:top w:val="single" w:sz="8" w:color="231F20"/>
              <w:bottom w:val="single" w:sz="8" w:color="231F20"/>
            </w:tcBorders>
          </w:tcPr>
          <w:p>
            <w:pPr>
              <w:spacing w:after="0"/>
              <w:rPr>
                <w:sz w:val="16"/>
                <w:szCs w:val="16"/>
                <w:color w:val="auto"/>
              </w:rPr>
            </w:pPr>
          </w:p>
        </w:tc>
        <w:tc>
          <w:tcPr>
            <w:tcW w:w="86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5"/>
                <w:szCs w:val="15"/>
                <w:color w:val="231F20"/>
              </w:rPr>
              <w:t>2022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top w:val="single" w:sz="8" w:color="231F20"/>
              <w:bottom w:val="single" w:sz="8" w:color="231F20"/>
            </w:tcBorders>
          </w:tcPr>
          <w:p>
            <w:pPr>
              <w:spacing w:after="0"/>
              <w:rPr>
                <w:sz w:val="16"/>
                <w:szCs w:val="16"/>
                <w:color w:val="auto"/>
              </w:rPr>
            </w:pPr>
          </w:p>
        </w:tc>
        <w:tc>
          <w:tcPr>
            <w:tcW w:w="86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5"/>
                <w:szCs w:val="15"/>
                <w:color w:val="231F20"/>
              </w:rPr>
              <w:t>2021</w:t>
            </w:r>
          </w:p>
        </w:tc>
      </w:tr>
      <w:tr>
        <w:trPr>
          <w:trHeight w:val="202"/>
        </w:trPr>
        <w:tc>
          <w:tcPr>
            <w:tcW w:w="6940" w:type="dxa"/>
            <w:vAlign w:val="bottom"/>
          </w:tcPr>
          <w:p>
            <w:pPr>
              <w:jc w:val="right"/>
              <w:spacing w:after="0" w:line="202" w:lineRule="exact"/>
              <w:rPr>
                <w:sz w:val="20"/>
                <w:szCs w:val="20"/>
                <w:color w:val="auto"/>
              </w:rPr>
            </w:pPr>
            <w:r>
              <w:rPr>
                <w:rFonts w:ascii="Arial" w:cs="Arial" w:eastAsia="Arial" w:hAnsi="Arial"/>
                <w:sz w:val="18"/>
                <w:szCs w:val="18"/>
                <w:b w:val="1"/>
                <w:bCs w:val="1"/>
                <w:color w:val="231F20"/>
              </w:rPr>
              <w:t xml:space="preserve">NET SALES </w:t>
            </w:r>
            <w:r>
              <w:rPr>
                <w:rFonts w:ascii="Times New Roman" w:cs="Times New Roman" w:eastAsia="Times New Roman" w:hAnsi="Times New Roman"/>
                <w:sz w:val="20"/>
                <w:szCs w:val="20"/>
                <w:color w:val="231F20"/>
              </w:rPr>
              <w:t>....................................................................................................................</w:t>
            </w:r>
          </w:p>
        </w:tc>
        <w:tc>
          <w:tcPr>
            <w:tcW w:w="300" w:type="dxa"/>
            <w:vAlign w:val="bottom"/>
          </w:tcPr>
          <w:p>
            <w:pPr>
              <w:jc w:val="right"/>
              <w:ind w:right="99"/>
              <w:spacing w:after="0" w:line="203" w:lineRule="exact"/>
              <w:rPr>
                <w:sz w:val="20"/>
                <w:szCs w:val="20"/>
                <w:color w:val="auto"/>
              </w:rPr>
            </w:pPr>
            <w:r>
              <w:rPr>
                <w:rFonts w:ascii="Arial" w:cs="Arial" w:eastAsia="Arial" w:hAnsi="Arial"/>
                <w:sz w:val="20"/>
                <w:szCs w:val="20"/>
                <w:color w:val="231F20"/>
                <w:w w:val="71"/>
              </w:rPr>
              <w:t>$</w:t>
            </w:r>
          </w:p>
        </w:tc>
        <w:tc>
          <w:tcPr>
            <w:tcW w:w="860" w:type="dxa"/>
            <w:vAlign w:val="bottom"/>
          </w:tcPr>
          <w:p>
            <w:pPr>
              <w:jc w:val="right"/>
              <w:spacing w:after="0" w:line="203" w:lineRule="exact"/>
              <w:rPr>
                <w:sz w:val="20"/>
                <w:szCs w:val="20"/>
                <w:color w:val="auto"/>
              </w:rPr>
            </w:pPr>
            <w:r>
              <w:rPr>
                <w:rFonts w:ascii="Arial" w:cs="Arial" w:eastAsia="Arial" w:hAnsi="Arial"/>
                <w:sz w:val="20"/>
                <w:szCs w:val="20"/>
                <w:color w:val="231F20"/>
              </w:rPr>
              <w:t>3,199.7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right"/>
              <w:ind w:right="79"/>
              <w:spacing w:after="0" w:line="203" w:lineRule="exact"/>
              <w:rPr>
                <w:sz w:val="20"/>
                <w:szCs w:val="20"/>
                <w:color w:val="auto"/>
              </w:rPr>
            </w:pPr>
            <w:r>
              <w:rPr>
                <w:rFonts w:ascii="Arial" w:cs="Arial" w:eastAsia="Arial" w:hAnsi="Arial"/>
                <w:sz w:val="20"/>
                <w:szCs w:val="20"/>
                <w:color w:val="231F20"/>
                <w:w w:val="89"/>
              </w:rPr>
              <w:t>$</w:t>
            </w:r>
          </w:p>
        </w:tc>
        <w:tc>
          <w:tcPr>
            <w:tcW w:w="860" w:type="dxa"/>
            <w:vAlign w:val="bottom"/>
          </w:tcPr>
          <w:p>
            <w:pPr>
              <w:jc w:val="right"/>
              <w:spacing w:after="0" w:line="203" w:lineRule="exact"/>
              <w:rPr>
                <w:sz w:val="20"/>
                <w:szCs w:val="20"/>
                <w:color w:val="auto"/>
              </w:rPr>
            </w:pPr>
            <w:r>
              <w:rPr>
                <w:rFonts w:ascii="Arial" w:cs="Arial" w:eastAsia="Arial" w:hAnsi="Arial"/>
                <w:sz w:val="20"/>
                <w:szCs w:val="20"/>
                <w:color w:val="231F20"/>
              </w:rPr>
              <w:t>2,855.0</w:t>
            </w:r>
          </w:p>
        </w:tc>
      </w:tr>
      <w:tr>
        <w:trPr>
          <w:trHeight w:val="233"/>
        </w:trPr>
        <w:tc>
          <w:tcPr>
            <w:tcW w:w="6940" w:type="dxa"/>
            <w:vAlign w:val="bottom"/>
          </w:tcPr>
          <w:p>
            <w:pPr>
              <w:jc w:val="right"/>
              <w:spacing w:after="0"/>
              <w:rPr>
                <w:sz w:val="20"/>
                <w:szCs w:val="20"/>
                <w:color w:val="auto"/>
              </w:rPr>
            </w:pPr>
            <w:r>
              <w:rPr>
                <w:rFonts w:ascii="Arial" w:cs="Arial" w:eastAsia="Arial" w:hAnsi="Arial"/>
                <w:sz w:val="20"/>
                <w:szCs w:val="20"/>
                <w:color w:val="231F20"/>
              </w:rPr>
              <w:t xml:space="preserve">Cost of products sold </w:t>
            </w: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2,279.3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2,068.5</w:t>
            </w:r>
          </w:p>
        </w:tc>
      </w:tr>
      <w:tr>
        <w:trPr>
          <w:trHeight w:val="233"/>
        </w:trPr>
        <w:tc>
          <w:tcPr>
            <w:tcW w:w="6940" w:type="dxa"/>
            <w:vAlign w:val="bottom"/>
          </w:tcPr>
          <w:p>
            <w:pPr>
              <w:jc w:val="right"/>
              <w:spacing w:after="0"/>
              <w:rPr>
                <w:sz w:val="20"/>
                <w:szCs w:val="20"/>
                <w:color w:val="auto"/>
              </w:rPr>
            </w:pPr>
            <w:r>
              <w:rPr>
                <w:rFonts w:ascii="Arial" w:cs="Arial" w:eastAsia="Arial" w:hAnsi="Arial"/>
                <w:sz w:val="20"/>
                <w:szCs w:val="20"/>
                <w:color w:val="231F20"/>
              </w:rPr>
              <w:t>Selling, general and administrative expense</w:t>
            </w: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619.7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485.3</w:t>
            </w:r>
          </w:p>
        </w:tc>
      </w:tr>
      <w:tr>
        <w:trPr>
          <w:trHeight w:val="233"/>
        </w:trPr>
        <w:tc>
          <w:tcPr>
            <w:tcW w:w="6940" w:type="dxa"/>
            <w:vAlign w:val="bottom"/>
          </w:tcPr>
          <w:p>
            <w:pPr>
              <w:jc w:val="right"/>
              <w:spacing w:after="0"/>
              <w:rPr>
                <w:sz w:val="20"/>
                <w:szCs w:val="20"/>
                <w:color w:val="auto"/>
              </w:rPr>
            </w:pPr>
            <w:r>
              <w:rPr>
                <w:rFonts w:ascii="Arial" w:cs="Arial" w:eastAsia="Arial" w:hAnsi="Arial"/>
                <w:sz w:val="20"/>
                <w:szCs w:val="20"/>
                <w:color w:val="231F20"/>
              </w:rPr>
              <w:t xml:space="preserve">Amortization of intangible asset </w:t>
            </w: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16.8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17.8</w:t>
            </w:r>
          </w:p>
        </w:tc>
      </w:tr>
      <w:tr>
        <w:trPr>
          <w:trHeight w:val="233"/>
        </w:trPr>
        <w:tc>
          <w:tcPr>
            <w:tcW w:w="6940" w:type="dxa"/>
            <w:vAlign w:val="bottom"/>
          </w:tcPr>
          <w:p>
            <w:pPr>
              <w:jc w:val="right"/>
              <w:spacing w:after="0"/>
              <w:rPr>
                <w:sz w:val="20"/>
                <w:szCs w:val="20"/>
                <w:color w:val="auto"/>
              </w:rPr>
            </w:pPr>
            <w:r>
              <w:rPr>
                <w:rFonts w:ascii="Arial" w:cs="Arial" w:eastAsia="Arial" w:hAnsi="Arial"/>
                <w:sz w:val="20"/>
                <w:szCs w:val="20"/>
                <w:color w:val="231F20"/>
              </w:rPr>
              <w:t>Asset impairment charges</w:t>
            </w: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46.4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53"/>
        </w:trPr>
        <w:tc>
          <w:tcPr>
            <w:tcW w:w="69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Restructuring charges</w:t>
            </w:r>
            <w:r>
              <w:rPr>
                <w:rFonts w:ascii="Times New Roman" w:cs="Times New Roman" w:eastAsia="Times New Roman" w:hAnsi="Times New Roman"/>
                <w:sz w:val="20"/>
                <w:szCs w:val="20"/>
                <w:color w:val="231F20"/>
              </w:rPr>
              <w:t>............................................................................................</w:t>
            </w:r>
          </w:p>
        </w:tc>
        <w:tc>
          <w:tcPr>
            <w:tcW w:w="30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25.1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4.2</w:t>
            </w:r>
          </w:p>
        </w:tc>
      </w:tr>
      <w:tr>
        <w:trPr>
          <w:trHeight w:val="202"/>
        </w:trPr>
        <w:tc>
          <w:tcPr>
            <w:tcW w:w="6940" w:type="dxa"/>
            <w:vAlign w:val="bottom"/>
          </w:tcPr>
          <w:p>
            <w:pPr>
              <w:jc w:val="right"/>
              <w:spacing w:after="0" w:line="202" w:lineRule="exact"/>
              <w:rPr>
                <w:sz w:val="20"/>
                <w:szCs w:val="20"/>
                <w:color w:val="auto"/>
              </w:rPr>
            </w:pPr>
            <w:r>
              <w:rPr>
                <w:rFonts w:ascii="Arial" w:cs="Arial" w:eastAsia="Arial" w:hAnsi="Arial"/>
                <w:sz w:val="18"/>
                <w:szCs w:val="18"/>
                <w:b w:val="1"/>
                <w:bCs w:val="1"/>
                <w:color w:val="231F20"/>
              </w:rPr>
              <w:t xml:space="preserve">DISCONTINUED OPERATING INCOME </w:t>
            </w:r>
            <w:r>
              <w:rPr>
                <w:rFonts w:ascii="Times New Roman" w:cs="Times New Roman" w:eastAsia="Times New Roman" w:hAnsi="Times New Roman"/>
                <w:sz w:val="20"/>
                <w:szCs w:val="20"/>
                <w:color w:val="231F20"/>
              </w:rPr>
              <w:t>.......................................................................</w:t>
            </w:r>
          </w:p>
        </w:tc>
        <w:tc>
          <w:tcPr>
            <w:tcW w:w="3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20"/>
                <w:szCs w:val="20"/>
                <w:color w:val="231F20"/>
              </w:rPr>
              <w:t>212.4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20"/>
                <w:szCs w:val="20"/>
                <w:color w:val="231F20"/>
              </w:rPr>
              <w:t>279.2</w:t>
            </w:r>
          </w:p>
        </w:tc>
      </w:tr>
      <w:tr>
        <w:trPr>
          <w:trHeight w:val="233"/>
        </w:trPr>
        <w:tc>
          <w:tcPr>
            <w:tcW w:w="6940" w:type="dxa"/>
            <w:vAlign w:val="bottom"/>
          </w:tcPr>
          <w:p>
            <w:pPr>
              <w:jc w:val="right"/>
              <w:spacing w:after="0"/>
              <w:rPr>
                <w:sz w:val="20"/>
                <w:szCs w:val="20"/>
                <w:color w:val="auto"/>
              </w:rPr>
            </w:pPr>
            <w:r>
              <w:rPr>
                <w:rFonts w:ascii="Arial" w:cs="Arial" w:eastAsia="Arial" w:hAnsi="Arial"/>
                <w:sz w:val="20"/>
                <w:szCs w:val="20"/>
                <w:color w:val="231F20"/>
              </w:rPr>
              <w:t xml:space="preserve">Interest expense </w:t>
            </w:r>
            <w:r>
              <w:rPr>
                <w:rFonts w:ascii="Times New Roman" w:cs="Times New Roman" w:eastAsia="Times New Roman" w:hAnsi="Times New Roman"/>
                <w:sz w:val="20"/>
                <w:szCs w:val="20"/>
                <w:color w:val="231F20"/>
              </w:rPr>
              <w:t>.....................................................................................................</w:t>
            </w:r>
          </w:p>
        </w:tc>
        <w:tc>
          <w:tcPr>
            <w:tcW w:w="3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20"/>
                <w:szCs w:val="20"/>
                <w:color w:val="231F20"/>
              </w:rPr>
              <w:t>0.2</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0.1</w:t>
            </w:r>
          </w:p>
        </w:tc>
      </w:tr>
      <w:tr>
        <w:trPr>
          <w:trHeight w:val="253"/>
        </w:trPr>
        <w:tc>
          <w:tcPr>
            <w:tcW w:w="6940" w:type="dxa"/>
            <w:vAlign w:val="bottom"/>
          </w:tcPr>
          <w:p>
            <w:pPr>
              <w:jc w:val="right"/>
              <w:spacing w:after="0"/>
              <w:rPr>
                <w:sz w:val="20"/>
                <w:szCs w:val="20"/>
                <w:color w:val="auto"/>
              </w:rPr>
            </w:pPr>
            <w:r>
              <w:rPr>
                <w:rFonts w:ascii="Arial" w:cs="Arial" w:eastAsia="Arial" w:hAnsi="Arial"/>
                <w:sz w:val="20"/>
                <w:szCs w:val="20"/>
                <w:color w:val="231F20"/>
              </w:rPr>
              <w:t xml:space="preserve">Other expense, net </w:t>
            </w:r>
            <w:r>
              <w:rPr>
                <w:rFonts w:ascii="Times New Roman" w:cs="Times New Roman" w:eastAsia="Times New Roman" w:hAnsi="Times New Roman"/>
                <w:sz w:val="20"/>
                <w:szCs w:val="20"/>
                <w:color w:val="231F20"/>
              </w:rPr>
              <w:t>.................................................................................................</w:t>
            </w:r>
          </w:p>
        </w:tc>
        <w:tc>
          <w:tcPr>
            <w:tcW w:w="30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20"/>
                <w:szCs w:val="20"/>
                <w:color w:val="231F20"/>
              </w:rPr>
              <w:t>2.2</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0.4</w:t>
            </w:r>
          </w:p>
        </w:tc>
      </w:tr>
      <w:tr>
        <w:trPr>
          <w:trHeight w:val="202"/>
        </w:trPr>
        <w:tc>
          <w:tcPr>
            <w:tcW w:w="6940" w:type="dxa"/>
            <w:vAlign w:val="bottom"/>
            <w:tcBorders>
              <w:top w:val="single" w:sz="8" w:color="231F20"/>
            </w:tcBorders>
          </w:tcPr>
          <w:p>
            <w:pPr>
              <w:jc w:val="right"/>
              <w:spacing w:after="0" w:line="202" w:lineRule="exact"/>
              <w:rPr>
                <w:sz w:val="20"/>
                <w:szCs w:val="20"/>
                <w:color w:val="auto"/>
              </w:rPr>
            </w:pPr>
            <w:r>
              <w:rPr>
                <w:rFonts w:ascii="Arial" w:cs="Arial" w:eastAsia="Arial" w:hAnsi="Arial"/>
                <w:sz w:val="18"/>
                <w:szCs w:val="18"/>
                <w:b w:val="1"/>
                <w:bCs w:val="1"/>
                <w:color w:val="231F20"/>
              </w:rPr>
              <w:t xml:space="preserve">INCOME FROM DISCONTINUED OPERATIONS BEFORE INCOME TAXES </w:t>
            </w:r>
            <w:r>
              <w:rPr>
                <w:rFonts w:ascii="Times New Roman" w:cs="Times New Roman" w:eastAsia="Times New Roman" w:hAnsi="Times New Roman"/>
                <w:sz w:val="20"/>
                <w:szCs w:val="20"/>
                <w:color w:val="231F20"/>
              </w:rPr>
              <w:t>.............</w:t>
            </w:r>
          </w:p>
        </w:tc>
        <w:tc>
          <w:tcPr>
            <w:tcW w:w="300" w:type="dxa"/>
            <w:vAlign w:val="bottom"/>
            <w:tcBorders>
              <w:top w:val="single" w:sz="8" w:color="231F20"/>
            </w:tcBorders>
          </w:tcPr>
          <w:p>
            <w:pPr>
              <w:spacing w:after="0"/>
              <w:rPr>
                <w:sz w:val="17"/>
                <w:szCs w:val="17"/>
                <w:color w:val="auto"/>
              </w:rPr>
            </w:pPr>
          </w:p>
        </w:tc>
        <w:tc>
          <w:tcPr>
            <w:tcW w:w="860" w:type="dxa"/>
            <w:vAlign w:val="bottom"/>
            <w:tcBorders>
              <w:top w:val="single" w:sz="8" w:color="231F20"/>
            </w:tcBorders>
          </w:tcPr>
          <w:p>
            <w:pPr>
              <w:jc w:val="right"/>
              <w:spacing w:after="0" w:line="203" w:lineRule="exact"/>
              <w:rPr>
                <w:sz w:val="20"/>
                <w:szCs w:val="20"/>
                <w:color w:val="auto"/>
              </w:rPr>
            </w:pPr>
            <w:r>
              <w:rPr>
                <w:rFonts w:ascii="Arial" w:cs="Arial" w:eastAsia="Arial" w:hAnsi="Arial"/>
                <w:sz w:val="20"/>
                <w:szCs w:val="20"/>
                <w:color w:val="231F20"/>
              </w:rPr>
              <w:t>210.0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231F20"/>
            </w:tcBorders>
          </w:tcPr>
          <w:p>
            <w:pPr>
              <w:spacing w:after="0"/>
              <w:rPr>
                <w:sz w:val="17"/>
                <w:szCs w:val="17"/>
                <w:color w:val="auto"/>
              </w:rPr>
            </w:pPr>
          </w:p>
        </w:tc>
        <w:tc>
          <w:tcPr>
            <w:tcW w:w="860" w:type="dxa"/>
            <w:vAlign w:val="bottom"/>
            <w:tcBorders>
              <w:top w:val="single" w:sz="8" w:color="231F20"/>
            </w:tcBorders>
          </w:tcPr>
          <w:p>
            <w:pPr>
              <w:jc w:val="right"/>
              <w:spacing w:after="0" w:line="203" w:lineRule="exact"/>
              <w:rPr>
                <w:sz w:val="20"/>
                <w:szCs w:val="20"/>
                <w:color w:val="auto"/>
              </w:rPr>
            </w:pPr>
            <w:r>
              <w:rPr>
                <w:rFonts w:ascii="Arial" w:cs="Arial" w:eastAsia="Arial" w:hAnsi="Arial"/>
                <w:sz w:val="20"/>
                <w:szCs w:val="20"/>
                <w:color w:val="231F20"/>
              </w:rPr>
              <w:t>278.7</w:t>
            </w:r>
          </w:p>
        </w:tc>
      </w:tr>
      <w:tr>
        <w:trPr>
          <w:trHeight w:val="253"/>
        </w:trPr>
        <w:tc>
          <w:tcPr>
            <w:tcW w:w="69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Income taxes </w:t>
            </w:r>
            <w:r>
              <w:rPr>
                <w:rFonts w:ascii="Times New Roman" w:cs="Times New Roman" w:eastAsia="Times New Roman" w:hAnsi="Times New Roman"/>
                <w:sz w:val="20"/>
                <w:szCs w:val="20"/>
                <w:color w:val="231F20"/>
              </w:rPr>
              <w:t>...........................................................................................................</w:t>
            </w:r>
          </w:p>
        </w:tc>
        <w:tc>
          <w:tcPr>
            <w:tcW w:w="30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63.2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66.0</w:t>
            </w:r>
          </w:p>
        </w:tc>
      </w:tr>
      <w:tr>
        <w:trPr>
          <w:trHeight w:val="223"/>
        </w:trPr>
        <w:tc>
          <w:tcPr>
            <w:tcW w:w="69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18"/>
                <w:szCs w:val="18"/>
                <w:b w:val="1"/>
                <w:bCs w:val="1"/>
                <w:color w:val="231F20"/>
              </w:rPr>
              <w:t xml:space="preserve">INCOME FROM DISCONTINUED OPERATIONS, NET OF TAX </w:t>
            </w:r>
            <w:r>
              <w:rPr>
                <w:rFonts w:ascii="Times New Roman" w:cs="Times New Roman" w:eastAsia="Times New Roman" w:hAnsi="Times New Roman"/>
                <w:sz w:val="20"/>
                <w:szCs w:val="20"/>
                <w:color w:val="231F20"/>
              </w:rPr>
              <w:t>..................................</w:t>
            </w:r>
          </w:p>
        </w:tc>
        <w:tc>
          <w:tcPr>
            <w:tcW w:w="300" w:type="dxa"/>
            <w:vAlign w:val="bottom"/>
            <w:tcBorders>
              <w:bottom w:val="single" w:sz="8" w:color="231F20"/>
            </w:tcBorders>
          </w:tcPr>
          <w:p>
            <w:pPr>
              <w:jc w:val="right"/>
              <w:ind w:right="99"/>
              <w:spacing w:after="0" w:line="223" w:lineRule="exact"/>
              <w:rPr>
                <w:sz w:val="20"/>
                <w:szCs w:val="20"/>
                <w:color w:val="auto"/>
              </w:rPr>
            </w:pPr>
            <w:r>
              <w:rPr>
                <w:rFonts w:ascii="Arial" w:cs="Arial" w:eastAsia="Arial" w:hAnsi="Arial"/>
                <w:sz w:val="20"/>
                <w:szCs w:val="20"/>
                <w:color w:val="231F20"/>
                <w:w w:val="71"/>
              </w:rPr>
              <w:t>$</w:t>
            </w:r>
          </w:p>
        </w:tc>
        <w:tc>
          <w:tcPr>
            <w:tcW w:w="8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146.8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231F20"/>
            </w:tcBorders>
          </w:tcPr>
          <w:p>
            <w:pPr>
              <w:jc w:val="right"/>
              <w:ind w:right="79"/>
              <w:spacing w:after="0" w:line="223" w:lineRule="exact"/>
              <w:rPr>
                <w:sz w:val="20"/>
                <w:szCs w:val="20"/>
                <w:color w:val="auto"/>
              </w:rPr>
            </w:pPr>
            <w:r>
              <w:rPr>
                <w:rFonts w:ascii="Arial" w:cs="Arial" w:eastAsia="Arial" w:hAnsi="Arial"/>
                <w:sz w:val="20"/>
                <w:szCs w:val="20"/>
                <w:color w:val="231F20"/>
                <w:w w:val="89"/>
              </w:rPr>
              <w:t>$</w:t>
            </w:r>
          </w:p>
        </w:tc>
        <w:tc>
          <w:tcPr>
            <w:tcW w:w="8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212.7</w:t>
            </w:r>
          </w:p>
        </w:tc>
      </w:tr>
    </w:tbl>
    <w:p>
      <w:pPr>
        <w:spacing w:after="0" w:line="213" w:lineRule="exact"/>
        <w:rPr>
          <w:sz w:val="20"/>
          <w:szCs w:val="20"/>
          <w:color w:val="auto"/>
        </w:rPr>
      </w:pPr>
    </w:p>
    <w:p>
      <w:pPr>
        <w:ind w:right="320"/>
        <w:spacing w:after="0" w:line="254" w:lineRule="auto"/>
        <w:rPr>
          <w:sz w:val="20"/>
          <w:szCs w:val="20"/>
          <w:color w:val="auto"/>
        </w:rPr>
      </w:pPr>
      <w:r>
        <w:rPr>
          <w:rFonts w:ascii="Arial" w:cs="Arial" w:eastAsia="Arial" w:hAnsi="Arial"/>
          <w:sz w:val="20"/>
          <w:szCs w:val="20"/>
          <w:color w:val="231F20"/>
        </w:rPr>
        <w:t>We incurred $63.2 million of transaction costs in connection with the Separation during the year ended December 31, 2022, which are included in the consolidated statements of operations as discontinued operations. These costs include legal, accounting and advisory fees, implementation and integration costs, duplicative costs for subscriptions and information technology systems, employee and contract costs, and other incremental separation costs related to the Separation.</w:t>
      </w:r>
    </w:p>
    <w:p>
      <w:pPr>
        <w:spacing w:after="0" w:line="179" w:lineRule="exact"/>
        <w:rPr>
          <w:sz w:val="20"/>
          <w:szCs w:val="20"/>
          <w:color w:val="auto"/>
        </w:rPr>
      </w:pPr>
    </w:p>
    <w:p>
      <w:pPr>
        <w:ind w:right="300"/>
        <w:spacing w:after="0" w:line="287" w:lineRule="auto"/>
        <w:rPr>
          <w:sz w:val="20"/>
          <w:szCs w:val="20"/>
          <w:color w:val="auto"/>
        </w:rPr>
      </w:pPr>
      <w:r>
        <w:rPr>
          <w:rFonts w:ascii="Arial" w:cs="Arial" w:eastAsia="Arial" w:hAnsi="Arial"/>
          <w:sz w:val="20"/>
          <w:szCs w:val="20"/>
          <w:color w:val="231F20"/>
        </w:rPr>
        <w:t>The following table summarizes the cash flows of MasterBrand, which are reflected in the consolidated statements of cash flows: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460" w:type="dxa"/>
            <w:vAlign w:val="bottom"/>
            <w:tcBorders>
              <w:top w:val="single" w:sz="8" w:color="231F20"/>
              <w:bottom w:val="single" w:sz="8" w:color="231F20"/>
            </w:tcBorders>
          </w:tcPr>
          <w:p>
            <w:pPr>
              <w:jc w:val="right"/>
              <w:ind w:right="223"/>
              <w:spacing w:after="0" w:line="184"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720" w:type="dxa"/>
            <w:vAlign w:val="bottom"/>
            <w:tcBorders>
              <w:top w:val="single" w:sz="8" w:color="231F20"/>
              <w:bottom w:val="single" w:sz="8" w:color="231F20"/>
            </w:tcBorders>
          </w:tcPr>
          <w:p>
            <w:pPr>
              <w:spacing w:after="0"/>
              <w:rPr>
                <w:sz w:val="16"/>
                <w:szCs w:val="16"/>
                <w:color w:val="auto"/>
              </w:rPr>
            </w:pPr>
          </w:p>
        </w:tc>
        <w:tc>
          <w:tcPr>
            <w:tcW w:w="76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5"/>
                <w:szCs w:val="15"/>
                <w:color w:val="231F20"/>
              </w:rPr>
              <w:t>2022</w:t>
            </w:r>
          </w:p>
        </w:tc>
        <w:tc>
          <w:tcPr>
            <w:tcW w:w="100" w:type="dxa"/>
            <w:vAlign w:val="bottom"/>
          </w:tcPr>
          <w:p>
            <w:pPr>
              <w:spacing w:after="0"/>
              <w:rPr>
                <w:sz w:val="16"/>
                <w:szCs w:val="16"/>
                <w:color w:val="auto"/>
              </w:rPr>
            </w:pPr>
          </w:p>
        </w:tc>
        <w:tc>
          <w:tcPr>
            <w:tcW w:w="540" w:type="dxa"/>
            <w:vAlign w:val="bottom"/>
            <w:tcBorders>
              <w:top w:val="single" w:sz="8" w:color="231F20"/>
              <w:bottom w:val="single" w:sz="8" w:color="231F20"/>
            </w:tcBorders>
          </w:tcPr>
          <w:p>
            <w:pPr>
              <w:spacing w:after="0"/>
              <w:rPr>
                <w:sz w:val="16"/>
                <w:szCs w:val="16"/>
                <w:color w:val="auto"/>
              </w:rPr>
            </w:pPr>
          </w:p>
        </w:tc>
        <w:tc>
          <w:tcPr>
            <w:tcW w:w="76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5"/>
                <w:szCs w:val="15"/>
                <w:color w:val="231F20"/>
              </w:rPr>
              <w:t>2021</w:t>
            </w:r>
          </w:p>
        </w:tc>
        <w:tc>
          <w:tcPr>
            <w:tcW w:w="80" w:type="dxa"/>
            <w:vAlign w:val="bottom"/>
          </w:tcPr>
          <w:p>
            <w:pPr>
              <w:spacing w:after="0"/>
              <w:rPr>
                <w:sz w:val="16"/>
                <w:szCs w:val="16"/>
                <w:color w:val="auto"/>
              </w:rPr>
            </w:pPr>
          </w:p>
        </w:tc>
      </w:tr>
      <w:tr>
        <w:trPr>
          <w:trHeight w:val="202"/>
        </w:trPr>
        <w:tc>
          <w:tcPr>
            <w:tcW w:w="6460" w:type="dxa"/>
            <w:vAlign w:val="bottom"/>
          </w:tcPr>
          <w:p>
            <w:pPr>
              <w:jc w:val="right"/>
              <w:ind w:right="223"/>
              <w:spacing w:after="0" w:line="202" w:lineRule="exact"/>
              <w:rPr>
                <w:sz w:val="20"/>
                <w:szCs w:val="20"/>
                <w:color w:val="auto"/>
              </w:rPr>
            </w:pPr>
            <w:r>
              <w:rPr>
                <w:rFonts w:ascii="Arial" w:cs="Arial" w:eastAsia="Arial" w:hAnsi="Arial"/>
                <w:sz w:val="20"/>
                <w:szCs w:val="20"/>
                <w:color w:val="231F20"/>
              </w:rPr>
              <w:t xml:space="preserve">Net cash provided by operating activities </w:t>
            </w:r>
            <w:r>
              <w:rPr>
                <w:rFonts w:ascii="Times New Roman" w:cs="Times New Roman" w:eastAsia="Times New Roman" w:hAnsi="Times New Roman"/>
                <w:sz w:val="20"/>
                <w:szCs w:val="20"/>
                <w:color w:val="231F20"/>
              </w:rPr>
              <w:t>.................................................</w:t>
            </w:r>
          </w:p>
        </w:tc>
        <w:tc>
          <w:tcPr>
            <w:tcW w:w="720" w:type="dxa"/>
            <w:vAlign w:val="bottom"/>
          </w:tcPr>
          <w:p>
            <w:pPr>
              <w:jc w:val="right"/>
              <w:ind w:right="179"/>
              <w:spacing w:after="0" w:line="203" w:lineRule="exact"/>
              <w:rPr>
                <w:sz w:val="20"/>
                <w:szCs w:val="20"/>
                <w:color w:val="auto"/>
              </w:rPr>
            </w:pPr>
            <w:r>
              <w:rPr>
                <w:rFonts w:ascii="Arial" w:cs="Arial" w:eastAsia="Arial" w:hAnsi="Arial"/>
                <w:sz w:val="20"/>
                <w:szCs w:val="20"/>
                <w:color w:val="231F20"/>
              </w:rPr>
              <w:t>$</w:t>
            </w:r>
          </w:p>
        </w:tc>
        <w:tc>
          <w:tcPr>
            <w:tcW w:w="760" w:type="dxa"/>
            <w:vAlign w:val="bottom"/>
          </w:tcPr>
          <w:p>
            <w:pPr>
              <w:jc w:val="right"/>
              <w:spacing w:after="0" w:line="203" w:lineRule="exact"/>
              <w:rPr>
                <w:sz w:val="20"/>
                <w:szCs w:val="20"/>
                <w:color w:val="auto"/>
              </w:rPr>
            </w:pPr>
            <w:r>
              <w:rPr>
                <w:rFonts w:ascii="Arial" w:cs="Arial" w:eastAsia="Arial" w:hAnsi="Arial"/>
                <w:sz w:val="20"/>
                <w:szCs w:val="20"/>
                <w:color w:val="231F20"/>
              </w:rPr>
              <w:t>213.0</w:t>
            </w:r>
          </w:p>
        </w:tc>
        <w:tc>
          <w:tcPr>
            <w:tcW w:w="100" w:type="dxa"/>
            <w:vAlign w:val="bottom"/>
          </w:tcPr>
          <w:p>
            <w:pPr>
              <w:spacing w:after="0"/>
              <w:rPr>
                <w:sz w:val="17"/>
                <w:szCs w:val="17"/>
                <w:color w:val="auto"/>
              </w:rPr>
            </w:pPr>
          </w:p>
        </w:tc>
        <w:tc>
          <w:tcPr>
            <w:tcW w:w="540" w:type="dxa"/>
            <w:vAlign w:val="bottom"/>
          </w:tcPr>
          <w:p>
            <w:pPr>
              <w:jc w:val="right"/>
              <w:ind w:right="139"/>
              <w:spacing w:after="0" w:line="203" w:lineRule="exact"/>
              <w:rPr>
                <w:sz w:val="20"/>
                <w:szCs w:val="20"/>
                <w:color w:val="auto"/>
              </w:rPr>
            </w:pPr>
            <w:r>
              <w:rPr>
                <w:rFonts w:ascii="Arial" w:cs="Arial" w:eastAsia="Arial" w:hAnsi="Arial"/>
                <w:sz w:val="20"/>
                <w:szCs w:val="20"/>
                <w:color w:val="231F20"/>
              </w:rPr>
              <w:t>$</w:t>
            </w:r>
          </w:p>
        </w:tc>
        <w:tc>
          <w:tcPr>
            <w:tcW w:w="760" w:type="dxa"/>
            <w:vAlign w:val="bottom"/>
          </w:tcPr>
          <w:p>
            <w:pPr>
              <w:jc w:val="right"/>
              <w:spacing w:after="0" w:line="203" w:lineRule="exact"/>
              <w:rPr>
                <w:sz w:val="20"/>
                <w:szCs w:val="20"/>
                <w:color w:val="auto"/>
              </w:rPr>
            </w:pPr>
            <w:r>
              <w:rPr>
                <w:rFonts w:ascii="Arial" w:cs="Arial" w:eastAsia="Arial" w:hAnsi="Arial"/>
                <w:sz w:val="20"/>
                <w:szCs w:val="20"/>
                <w:color w:val="231F20"/>
              </w:rPr>
              <w:t>162.7</w:t>
            </w:r>
          </w:p>
        </w:tc>
        <w:tc>
          <w:tcPr>
            <w:tcW w:w="80" w:type="dxa"/>
            <w:vAlign w:val="bottom"/>
          </w:tcPr>
          <w:p>
            <w:pPr>
              <w:spacing w:after="0"/>
              <w:rPr>
                <w:sz w:val="17"/>
                <w:szCs w:val="17"/>
                <w:color w:val="auto"/>
              </w:rPr>
            </w:pPr>
          </w:p>
        </w:tc>
      </w:tr>
      <w:tr>
        <w:trPr>
          <w:trHeight w:val="233"/>
        </w:trPr>
        <w:tc>
          <w:tcPr>
            <w:tcW w:w="6460" w:type="dxa"/>
            <w:vAlign w:val="bottom"/>
          </w:tcPr>
          <w:p>
            <w:pPr>
              <w:jc w:val="right"/>
              <w:ind w:right="223"/>
              <w:spacing w:after="0"/>
              <w:rPr>
                <w:sz w:val="20"/>
                <w:szCs w:val="20"/>
                <w:color w:val="auto"/>
              </w:rPr>
            </w:pPr>
            <w:r>
              <w:rPr>
                <w:rFonts w:ascii="Arial" w:cs="Arial" w:eastAsia="Arial" w:hAnsi="Arial"/>
                <w:sz w:val="20"/>
                <w:szCs w:val="20"/>
                <w:color w:val="231F20"/>
              </w:rPr>
              <w:t>Net cash used in investing activities</w:t>
            </w:r>
            <w:r>
              <w:rPr>
                <w:rFonts w:ascii="Times New Roman" w:cs="Times New Roman" w:eastAsia="Times New Roman" w:hAnsi="Times New Roman"/>
                <w:sz w:val="20"/>
                <w:szCs w:val="20"/>
                <w:color w:val="231F20"/>
              </w:rPr>
              <w:t>..........................................................</w:t>
            </w:r>
          </w:p>
        </w:tc>
        <w:tc>
          <w:tcPr>
            <w:tcW w:w="7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20"/>
                <w:szCs w:val="20"/>
                <w:color w:val="231F20"/>
              </w:rPr>
              <w:t>(55.8)</w:t>
            </w:r>
          </w:p>
        </w:tc>
        <w:tc>
          <w:tcPr>
            <w:tcW w:w="5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231F20"/>
              </w:rPr>
              <w:t>(51.5)</w:t>
            </w:r>
          </w:p>
        </w:tc>
      </w:tr>
      <w:tr>
        <w:trPr>
          <w:trHeight w:val="233"/>
        </w:trPr>
        <w:tc>
          <w:tcPr>
            <w:tcW w:w="6460" w:type="dxa"/>
            <w:vAlign w:val="bottom"/>
          </w:tcPr>
          <w:p>
            <w:pPr>
              <w:jc w:val="right"/>
              <w:ind w:right="223"/>
              <w:spacing w:after="0"/>
              <w:rPr>
                <w:sz w:val="20"/>
                <w:szCs w:val="20"/>
                <w:color w:val="auto"/>
              </w:rPr>
            </w:pPr>
            <w:r>
              <w:rPr>
                <w:rFonts w:ascii="Arial" w:cs="Arial" w:eastAsia="Arial" w:hAnsi="Arial"/>
                <w:sz w:val="20"/>
                <w:szCs w:val="20"/>
                <w:color w:val="231F20"/>
              </w:rPr>
              <w:t>Net cash used in financing activities</w:t>
            </w:r>
            <w:r>
              <w:rPr>
                <w:rFonts w:ascii="Times New Roman" w:cs="Times New Roman" w:eastAsia="Times New Roman" w:hAnsi="Times New Roman"/>
                <w:sz w:val="20"/>
                <w:szCs w:val="20"/>
                <w:color w:val="231F20"/>
              </w:rPr>
              <w:t>..........................................................</w:t>
            </w:r>
          </w:p>
        </w:tc>
        <w:tc>
          <w:tcPr>
            <w:tcW w:w="7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5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r>
      <w:tr>
        <w:trPr>
          <w:trHeight w:val="253"/>
        </w:trPr>
        <w:tc>
          <w:tcPr>
            <w:tcW w:w="6460" w:type="dxa"/>
            <w:vAlign w:val="bottom"/>
          </w:tcPr>
          <w:p>
            <w:pPr>
              <w:jc w:val="right"/>
              <w:ind w:right="223"/>
              <w:spacing w:after="0"/>
              <w:rPr>
                <w:sz w:val="20"/>
                <w:szCs w:val="20"/>
                <w:color w:val="auto"/>
              </w:rPr>
            </w:pPr>
            <w:r>
              <w:rPr>
                <w:rFonts w:ascii="Arial" w:cs="Arial" w:eastAsia="Arial" w:hAnsi="Arial"/>
                <w:sz w:val="20"/>
                <w:szCs w:val="20"/>
                <w:color w:val="231F20"/>
              </w:rPr>
              <w:t xml:space="preserve">Effect of foreign exchange rate changes on cash </w:t>
            </w:r>
            <w:r>
              <w:rPr>
                <w:rFonts w:ascii="Times New Roman" w:cs="Times New Roman" w:eastAsia="Times New Roman" w:hAnsi="Times New Roman"/>
                <w:sz w:val="20"/>
                <w:szCs w:val="20"/>
                <w:color w:val="231F20"/>
              </w:rPr>
              <w:t>...................................</w:t>
            </w:r>
          </w:p>
        </w:tc>
        <w:tc>
          <w:tcPr>
            <w:tcW w:w="72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20"/>
                <w:szCs w:val="20"/>
                <w:color w:val="231F20"/>
              </w:rPr>
              <w:t>(0.2)</w:t>
            </w:r>
          </w:p>
        </w:tc>
        <w:tc>
          <w:tcPr>
            <w:tcW w:w="54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20"/>
                <w:szCs w:val="20"/>
                <w:color w:val="231F20"/>
              </w:rPr>
              <w:t>0.1</w:t>
            </w:r>
          </w:p>
        </w:tc>
      </w:tr>
      <w:tr>
        <w:trPr>
          <w:trHeight w:val="223"/>
        </w:trPr>
        <w:tc>
          <w:tcPr>
            <w:tcW w:w="6460" w:type="dxa"/>
            <w:vAlign w:val="bottom"/>
            <w:tcBorders>
              <w:top w:val="single" w:sz="8" w:color="231F20"/>
              <w:bottom w:val="single" w:sz="8" w:color="231F20"/>
            </w:tcBorders>
          </w:tcPr>
          <w:p>
            <w:pPr>
              <w:jc w:val="right"/>
              <w:ind w:right="223"/>
              <w:spacing w:after="0" w:line="223" w:lineRule="exact"/>
              <w:rPr>
                <w:sz w:val="20"/>
                <w:szCs w:val="20"/>
                <w:color w:val="auto"/>
              </w:rPr>
            </w:pPr>
            <w:r>
              <w:rPr>
                <w:rFonts w:ascii="Arial" w:cs="Arial" w:eastAsia="Arial" w:hAnsi="Arial"/>
                <w:sz w:val="20"/>
                <w:szCs w:val="20"/>
                <w:color w:val="231F20"/>
              </w:rPr>
              <w:t xml:space="preserve">Net increase in cash and cash equivalents </w:t>
            </w:r>
            <w:r>
              <w:rPr>
                <w:rFonts w:ascii="Times New Roman" w:cs="Times New Roman" w:eastAsia="Times New Roman" w:hAnsi="Times New Roman"/>
                <w:sz w:val="20"/>
                <w:szCs w:val="20"/>
                <w:color w:val="231F20"/>
              </w:rPr>
              <w:t>........................................</w:t>
            </w:r>
          </w:p>
        </w:tc>
        <w:tc>
          <w:tcPr>
            <w:tcW w:w="720" w:type="dxa"/>
            <w:vAlign w:val="bottom"/>
            <w:tcBorders>
              <w:top w:val="single" w:sz="8" w:color="231F20"/>
              <w:bottom w:val="single" w:sz="8" w:color="231F20"/>
            </w:tcBorders>
          </w:tcPr>
          <w:p>
            <w:pPr>
              <w:jc w:val="right"/>
              <w:ind w:right="179"/>
              <w:spacing w:after="0" w:line="223" w:lineRule="exact"/>
              <w:rPr>
                <w:sz w:val="20"/>
                <w:szCs w:val="20"/>
                <w:color w:val="auto"/>
              </w:rPr>
            </w:pPr>
            <w:r>
              <w:rPr>
                <w:rFonts w:ascii="Arial" w:cs="Arial" w:eastAsia="Arial" w:hAnsi="Arial"/>
                <w:sz w:val="20"/>
                <w:szCs w:val="20"/>
                <w:color w:val="231F20"/>
              </w:rPr>
              <w:t>$</w:t>
            </w:r>
          </w:p>
        </w:tc>
        <w:tc>
          <w:tcPr>
            <w:tcW w:w="760" w:type="dxa"/>
            <w:vAlign w:val="bottom"/>
            <w:tcBorders>
              <w:top w:val="single" w:sz="8" w:color="231F20"/>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157.0</w:t>
            </w:r>
          </w:p>
        </w:tc>
        <w:tc>
          <w:tcPr>
            <w:tcW w:w="100" w:type="dxa"/>
            <w:vAlign w:val="bottom"/>
          </w:tcPr>
          <w:p>
            <w:pPr>
              <w:spacing w:after="0"/>
              <w:rPr>
                <w:sz w:val="19"/>
                <w:szCs w:val="19"/>
                <w:color w:val="auto"/>
              </w:rPr>
            </w:pPr>
          </w:p>
        </w:tc>
        <w:tc>
          <w:tcPr>
            <w:tcW w:w="540" w:type="dxa"/>
            <w:vAlign w:val="bottom"/>
            <w:tcBorders>
              <w:top w:val="single" w:sz="8" w:color="231F20"/>
              <w:bottom w:val="single" w:sz="8" w:color="231F20"/>
            </w:tcBorders>
          </w:tcPr>
          <w:p>
            <w:pPr>
              <w:jc w:val="right"/>
              <w:ind w:right="139"/>
              <w:spacing w:after="0" w:line="223" w:lineRule="exact"/>
              <w:rPr>
                <w:sz w:val="20"/>
                <w:szCs w:val="20"/>
                <w:color w:val="auto"/>
              </w:rPr>
            </w:pPr>
            <w:r>
              <w:rPr>
                <w:rFonts w:ascii="Arial" w:cs="Arial" w:eastAsia="Arial" w:hAnsi="Arial"/>
                <w:sz w:val="20"/>
                <w:szCs w:val="20"/>
                <w:color w:val="231F20"/>
              </w:rPr>
              <w:t>$</w:t>
            </w:r>
          </w:p>
        </w:tc>
        <w:tc>
          <w:tcPr>
            <w:tcW w:w="760" w:type="dxa"/>
            <w:vAlign w:val="bottom"/>
            <w:tcBorders>
              <w:top w:val="single" w:sz="8" w:color="231F20"/>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111.3</w:t>
            </w:r>
          </w:p>
        </w:tc>
        <w:tc>
          <w:tcPr>
            <w:tcW w:w="80" w:type="dxa"/>
            <w:vAlign w:val="bottom"/>
          </w:tcPr>
          <w:p>
            <w:pPr>
              <w:spacing w:after="0"/>
              <w:rPr>
                <w:sz w:val="19"/>
                <w:szCs w:val="19"/>
                <w:color w:val="auto"/>
              </w:rPr>
            </w:pPr>
          </w:p>
        </w:tc>
      </w:tr>
    </w:tbl>
    <w:p>
      <w:pPr>
        <w:spacing w:after="0" w:line="213"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231F20"/>
        </w:rPr>
        <w:t>MasterBrand depreciation for 2022 and 2021 was $43.6 million and $44.4 million, respectively. MasterBrand amortization of intangibles for 2022 and 2021 was $16.8 million and $17.8 million, respectively. MasterBrand capital expenditures for 2022 and 2021 were $55.8 million and $51.6 million, respectively.</w:t>
      </w:r>
    </w:p>
    <w:p>
      <w:pPr>
        <w:spacing w:after="0" w:line="123" w:lineRule="exact"/>
        <w:rPr>
          <w:sz w:val="20"/>
          <w:szCs w:val="20"/>
          <w:color w:val="auto"/>
        </w:rPr>
      </w:pPr>
    </w:p>
    <w:p>
      <w:pPr>
        <w:ind w:left="400" w:hanging="394"/>
        <w:spacing w:after="0"/>
        <w:tabs>
          <w:tab w:leader="none" w:pos="400" w:val="left"/>
        </w:tabs>
        <w:numPr>
          <w:ilvl w:val="0"/>
          <w:numId w:val="28"/>
        </w:numPr>
        <w:rPr>
          <w:rFonts w:ascii="Arial" w:cs="Arial" w:eastAsia="Arial" w:hAnsi="Arial"/>
          <w:sz w:val="20"/>
          <w:szCs w:val="20"/>
          <w:b w:val="1"/>
          <w:bCs w:val="1"/>
          <w:color w:val="231F20"/>
        </w:rPr>
      </w:pPr>
      <w:r>
        <w:rPr>
          <w:rFonts w:ascii="Arial" w:cs="Arial" w:eastAsia="Arial" w:hAnsi="Arial"/>
          <w:sz w:val="20"/>
          <w:szCs w:val="20"/>
          <w:b w:val="1"/>
          <w:bCs w:val="1"/>
          <w:color w:val="231F20"/>
        </w:rPr>
        <w:t>Goodwill and Identifiable Intangible Assets</w:t>
      </w:r>
    </w:p>
    <w:p>
      <w:pPr>
        <w:spacing w:after="0" w:line="189" w:lineRule="exact"/>
        <w:rPr>
          <w:sz w:val="20"/>
          <w:szCs w:val="20"/>
          <w:color w:val="auto"/>
        </w:rPr>
      </w:pPr>
    </w:p>
    <w:p>
      <w:pPr>
        <w:ind w:right="360"/>
        <w:spacing w:after="0" w:line="287" w:lineRule="auto"/>
        <w:rPr>
          <w:sz w:val="20"/>
          <w:szCs w:val="20"/>
          <w:color w:val="auto"/>
        </w:rPr>
      </w:pPr>
      <w:r>
        <w:rPr>
          <w:rFonts w:ascii="Arial" w:cs="Arial" w:eastAsia="Arial" w:hAnsi="Arial"/>
          <w:sz w:val="20"/>
          <w:szCs w:val="20"/>
          <w:color w:val="231F20"/>
        </w:rPr>
        <w:t>We had goodwill of $1,906.8 million and $1,640.7 million as of December 30, 2023 and December 31, 2022, respectively. The change in the net carrying amount of goodwill by segment was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4960" w:type="dxa"/>
            <w:vAlign w:val="bottom"/>
            <w:tcBorders>
              <w:top w:val="single" w:sz="8" w:color="231F20"/>
            </w:tcBorders>
          </w:tcPr>
          <w:p>
            <w:pPr>
              <w:spacing w:after="0"/>
              <w:rPr>
                <w:sz w:val="13"/>
                <w:szCs w:val="13"/>
                <w:color w:val="auto"/>
              </w:rPr>
            </w:pPr>
          </w:p>
        </w:tc>
        <w:tc>
          <w:tcPr>
            <w:tcW w:w="280" w:type="dxa"/>
            <w:vAlign w:val="bottom"/>
            <w:tcBorders>
              <w:top w:val="single" w:sz="8" w:color="231F20"/>
            </w:tcBorders>
          </w:tcPr>
          <w:p>
            <w:pPr>
              <w:spacing w:after="0"/>
              <w:rPr>
                <w:sz w:val="13"/>
                <w:szCs w:val="13"/>
                <w:color w:val="auto"/>
              </w:rPr>
            </w:pPr>
          </w:p>
        </w:tc>
        <w:tc>
          <w:tcPr>
            <w:tcW w:w="980" w:type="dxa"/>
            <w:vAlign w:val="bottom"/>
            <w:tcBorders>
              <w:top w:val="single" w:sz="8" w:color="231F20"/>
              <w:right w:val="single" w:sz="8" w:color="231F20"/>
            </w:tcBorders>
          </w:tcPr>
          <w:p>
            <w:pPr>
              <w:spacing w:after="0"/>
              <w:rPr>
                <w:sz w:val="13"/>
                <w:szCs w:val="13"/>
                <w:color w:val="auto"/>
              </w:rPr>
            </w:pPr>
          </w:p>
        </w:tc>
        <w:tc>
          <w:tcPr>
            <w:tcW w:w="340" w:type="dxa"/>
            <w:vAlign w:val="bottom"/>
            <w:tcBorders>
              <w:top w:val="single" w:sz="8" w:color="231F20"/>
            </w:tcBorders>
          </w:tcPr>
          <w:p>
            <w:pPr>
              <w:spacing w:after="0"/>
              <w:rPr>
                <w:sz w:val="13"/>
                <w:szCs w:val="13"/>
                <w:color w:val="auto"/>
              </w:rPr>
            </w:pPr>
          </w:p>
        </w:tc>
        <w:tc>
          <w:tcPr>
            <w:tcW w:w="720" w:type="dxa"/>
            <w:vAlign w:val="bottom"/>
            <w:tcBorders>
              <w:top w:val="single" w:sz="8" w:color="231F20"/>
            </w:tcBorders>
          </w:tcPr>
          <w:p>
            <w:pPr>
              <w:spacing w:after="0"/>
              <w:rPr>
                <w:sz w:val="13"/>
                <w:szCs w:val="13"/>
                <w:color w:val="auto"/>
              </w:rPr>
            </w:pPr>
          </w:p>
        </w:tc>
        <w:tc>
          <w:tcPr>
            <w:tcW w:w="260" w:type="dxa"/>
            <w:vAlign w:val="bottom"/>
            <w:tcBorders>
              <w:top w:val="single" w:sz="8" w:color="231F20"/>
            </w:tcBorders>
          </w:tcPr>
          <w:p>
            <w:pPr>
              <w:spacing w:after="0"/>
              <w:rPr>
                <w:sz w:val="13"/>
                <w:szCs w:val="13"/>
                <w:color w:val="auto"/>
              </w:rPr>
            </w:pPr>
          </w:p>
        </w:tc>
        <w:tc>
          <w:tcPr>
            <w:tcW w:w="820" w:type="dxa"/>
            <w:vAlign w:val="bottom"/>
            <w:tcBorders>
              <w:top w:val="single" w:sz="8" w:color="231F20"/>
              <w:right w:val="single" w:sz="8" w:color="231F20"/>
            </w:tcBorders>
          </w:tcPr>
          <w:p>
            <w:pPr>
              <w:spacing w:after="0"/>
              <w:rPr>
                <w:sz w:val="13"/>
                <w:szCs w:val="13"/>
                <w:color w:val="auto"/>
              </w:rPr>
            </w:pPr>
          </w:p>
        </w:tc>
        <w:tc>
          <w:tcPr>
            <w:tcW w:w="200" w:type="dxa"/>
            <w:vAlign w:val="bottom"/>
            <w:tcBorders>
              <w:top w:val="single" w:sz="8" w:color="231F20"/>
            </w:tcBorders>
          </w:tcPr>
          <w:p>
            <w:pPr>
              <w:spacing w:after="0"/>
              <w:rPr>
                <w:sz w:val="13"/>
                <w:szCs w:val="13"/>
                <w:color w:val="auto"/>
              </w:rPr>
            </w:pPr>
          </w:p>
        </w:tc>
        <w:tc>
          <w:tcPr>
            <w:tcW w:w="880" w:type="dxa"/>
            <w:vAlign w:val="bottom"/>
            <w:tcBorders>
              <w:top w:val="single" w:sz="8" w:color="231F20"/>
            </w:tcBorders>
          </w:tcPr>
          <w:p>
            <w:pPr>
              <w:jc w:val="right"/>
              <w:ind w:right="4"/>
              <w:spacing w:after="0" w:line="153" w:lineRule="exact"/>
              <w:rPr>
                <w:sz w:val="20"/>
                <w:szCs w:val="20"/>
                <w:color w:val="auto"/>
              </w:rPr>
            </w:pPr>
            <w:r>
              <w:rPr>
                <w:rFonts w:ascii="Arial" w:cs="Arial" w:eastAsia="Arial" w:hAnsi="Arial"/>
                <w:sz w:val="15"/>
                <w:szCs w:val="15"/>
                <w:color w:val="231F20"/>
              </w:rPr>
              <w:t>Total</w:t>
            </w:r>
          </w:p>
        </w:tc>
      </w:tr>
      <w:tr>
        <w:trPr>
          <w:trHeight w:val="207"/>
        </w:trPr>
        <w:tc>
          <w:tcPr>
            <w:tcW w:w="4960" w:type="dxa"/>
            <w:vAlign w:val="bottom"/>
            <w:tcBorders>
              <w:bottom w:val="single" w:sz="8" w:color="231F20"/>
            </w:tcBorders>
          </w:tcPr>
          <w:p>
            <w:pPr>
              <w:jc w:val="right"/>
              <w:spacing w:after="0" w:line="206"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28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right w:val="single" w:sz="8" w:color="231F20"/>
            </w:tcBorders>
          </w:tcPr>
          <w:p>
            <w:pPr>
              <w:jc w:val="right"/>
              <w:ind w:right="122"/>
              <w:spacing w:after="0"/>
              <w:rPr>
                <w:sz w:val="20"/>
                <w:szCs w:val="20"/>
                <w:color w:val="auto"/>
              </w:rPr>
            </w:pPr>
            <w:r>
              <w:rPr>
                <w:rFonts w:ascii="Arial" w:cs="Arial" w:eastAsia="Arial" w:hAnsi="Arial"/>
                <w:sz w:val="15"/>
                <w:szCs w:val="15"/>
                <w:color w:val="231F20"/>
              </w:rPr>
              <w:t>Water</w:t>
            </w:r>
          </w:p>
        </w:tc>
        <w:tc>
          <w:tcPr>
            <w:tcW w:w="1060" w:type="dxa"/>
            <w:vAlign w:val="bottom"/>
            <w:tcBorders>
              <w:bottom w:val="single" w:sz="8" w:color="231F20"/>
            </w:tcBorders>
            <w:gridSpan w:val="2"/>
          </w:tcPr>
          <w:p>
            <w:pPr>
              <w:jc w:val="right"/>
              <w:ind w:right="99"/>
              <w:spacing w:after="0"/>
              <w:rPr>
                <w:sz w:val="20"/>
                <w:szCs w:val="20"/>
                <w:color w:val="auto"/>
              </w:rPr>
            </w:pPr>
            <w:r>
              <w:rPr>
                <w:rFonts w:ascii="Arial" w:cs="Arial" w:eastAsia="Arial" w:hAnsi="Arial"/>
                <w:sz w:val="15"/>
                <w:szCs w:val="15"/>
                <w:color w:val="231F20"/>
              </w:rPr>
              <w:t>Outdoors</w:t>
            </w:r>
          </w:p>
        </w:tc>
        <w:tc>
          <w:tcPr>
            <w:tcW w:w="26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right w:val="single" w:sz="8" w:color="231F20"/>
            </w:tcBorders>
          </w:tcPr>
          <w:p>
            <w:pPr>
              <w:jc w:val="right"/>
              <w:ind w:right="122"/>
              <w:spacing w:after="0"/>
              <w:rPr>
                <w:sz w:val="20"/>
                <w:szCs w:val="20"/>
                <w:color w:val="auto"/>
              </w:rPr>
            </w:pPr>
            <w:r>
              <w:rPr>
                <w:rFonts w:ascii="Arial" w:cs="Arial" w:eastAsia="Arial" w:hAnsi="Arial"/>
                <w:sz w:val="15"/>
                <w:szCs w:val="15"/>
                <w:color w:val="231F20"/>
              </w:rPr>
              <w:t>Security</w:t>
            </w:r>
          </w:p>
        </w:tc>
        <w:tc>
          <w:tcPr>
            <w:tcW w:w="20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ind w:right="4"/>
              <w:spacing w:after="0"/>
              <w:rPr>
                <w:sz w:val="20"/>
                <w:szCs w:val="20"/>
                <w:color w:val="auto"/>
              </w:rPr>
            </w:pPr>
            <w:r>
              <w:rPr>
                <w:rFonts w:ascii="Arial" w:cs="Arial" w:eastAsia="Arial" w:hAnsi="Arial"/>
                <w:sz w:val="15"/>
                <w:szCs w:val="15"/>
                <w:color w:val="231F20"/>
              </w:rPr>
              <w:t>Goodwill</w:t>
            </w:r>
          </w:p>
        </w:tc>
      </w:tr>
      <w:tr>
        <w:trPr>
          <w:trHeight w:val="248"/>
        </w:trPr>
        <w:tc>
          <w:tcPr>
            <w:tcW w:w="4960" w:type="dxa"/>
            <w:vAlign w:val="bottom"/>
            <w:tcBorders>
              <w:bottom w:val="single" w:sz="8" w:color="231F20"/>
            </w:tcBorders>
          </w:tcPr>
          <w:p>
            <w:pPr>
              <w:jc w:val="right"/>
              <w:spacing w:after="0" w:line="222" w:lineRule="exact"/>
              <w:rPr>
                <w:sz w:val="20"/>
                <w:szCs w:val="20"/>
                <w:color w:val="auto"/>
              </w:rPr>
            </w:pPr>
            <w:r>
              <w:rPr>
                <w:rFonts w:ascii="Arial" w:cs="Arial" w:eastAsia="Arial" w:hAnsi="Arial"/>
                <w:sz w:val="19"/>
                <w:szCs w:val="19"/>
                <w:color w:val="231F20"/>
              </w:rPr>
              <w:t>Balance at December 31, 2021</w:t>
            </w:r>
            <w:r>
              <w:rPr>
                <w:rFonts w:ascii="Arial" w:cs="Arial" w:eastAsia="Arial" w:hAnsi="Arial"/>
                <w:sz w:val="25"/>
                <w:szCs w:val="25"/>
                <w:color w:val="231F20"/>
                <w:vertAlign w:val="superscript"/>
              </w:rPr>
              <w:t>(a)</w:t>
            </w:r>
            <w:r>
              <w:rPr>
                <w:rFonts w:ascii="Arial" w:cs="Arial" w:eastAsia="Arial" w:hAnsi="Arial"/>
                <w:sz w:val="19"/>
                <w:szCs w:val="19"/>
                <w:color w:val="231F20"/>
              </w:rPr>
              <w:t xml:space="preserve"> </w:t>
            </w:r>
            <w:r>
              <w:rPr>
                <w:rFonts w:ascii="Times New Roman" w:cs="Times New Roman" w:eastAsia="Times New Roman" w:hAnsi="Times New Roman"/>
                <w:sz w:val="19"/>
                <w:szCs w:val="19"/>
                <w:color w:val="231F20"/>
              </w:rPr>
              <w:t>......................................</w:t>
            </w:r>
          </w:p>
        </w:tc>
        <w:tc>
          <w:tcPr>
            <w:tcW w:w="280" w:type="dxa"/>
            <w:vAlign w:val="bottom"/>
            <w:tcBorders>
              <w:bottom w:val="single" w:sz="8" w:color="231F20"/>
            </w:tcBorders>
          </w:tcPr>
          <w:p>
            <w:pPr>
              <w:jc w:val="right"/>
              <w:ind w:right="19"/>
              <w:spacing w:after="0" w:line="223" w:lineRule="exact"/>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right w:val="single" w:sz="8" w:color="231F20"/>
            </w:tcBorders>
          </w:tcPr>
          <w:p>
            <w:pPr>
              <w:jc w:val="right"/>
              <w:ind w:right="122"/>
              <w:spacing w:after="0" w:line="223" w:lineRule="exact"/>
              <w:rPr>
                <w:sz w:val="20"/>
                <w:szCs w:val="20"/>
                <w:color w:val="auto"/>
              </w:rPr>
            </w:pPr>
            <w:r>
              <w:rPr>
                <w:rFonts w:ascii="Arial" w:cs="Arial" w:eastAsia="Arial" w:hAnsi="Arial"/>
                <w:sz w:val="20"/>
                <w:szCs w:val="20"/>
                <w:color w:val="231F20"/>
              </w:rPr>
              <w:t>814.1</w:t>
            </w:r>
          </w:p>
        </w:tc>
        <w:tc>
          <w:tcPr>
            <w:tcW w:w="340" w:type="dxa"/>
            <w:vAlign w:val="bottom"/>
            <w:tcBorders>
              <w:bottom w:val="single" w:sz="8" w:color="231F20"/>
            </w:tcBorders>
          </w:tcPr>
          <w:p>
            <w:pPr>
              <w:jc w:val="right"/>
              <w:ind w:right="5"/>
              <w:spacing w:after="0" w:line="223" w:lineRule="exact"/>
              <w:rPr>
                <w:sz w:val="20"/>
                <w:szCs w:val="20"/>
                <w:color w:val="auto"/>
              </w:rPr>
            </w:pPr>
            <w:r>
              <w:rPr>
                <w:rFonts w:ascii="Arial" w:cs="Arial" w:eastAsia="Arial" w:hAnsi="Arial"/>
                <w:sz w:val="20"/>
                <w:szCs w:val="20"/>
                <w:color w:val="231F20"/>
              </w:rPr>
              <w:t>$</w:t>
            </w:r>
          </w:p>
        </w:tc>
        <w:tc>
          <w:tcPr>
            <w:tcW w:w="7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627.7</w:t>
            </w:r>
          </w:p>
        </w:tc>
        <w:tc>
          <w:tcPr>
            <w:tcW w:w="2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right w:val="single" w:sz="8" w:color="231F20"/>
            </w:tcBorders>
          </w:tcPr>
          <w:p>
            <w:pPr>
              <w:jc w:val="right"/>
              <w:ind w:right="122"/>
              <w:spacing w:after="0" w:line="223" w:lineRule="exact"/>
              <w:rPr>
                <w:sz w:val="20"/>
                <w:szCs w:val="20"/>
                <w:color w:val="auto"/>
              </w:rPr>
            </w:pPr>
            <w:r>
              <w:rPr>
                <w:rFonts w:ascii="Arial" w:cs="Arial" w:eastAsia="Arial" w:hAnsi="Arial"/>
                <w:sz w:val="20"/>
                <w:szCs w:val="20"/>
                <w:color w:val="231F20"/>
              </w:rPr>
              <w:t>97.1</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71"/>
              </w:rPr>
              <w:t>$</w:t>
            </w:r>
          </w:p>
        </w:tc>
        <w:tc>
          <w:tcPr>
            <w:tcW w:w="880" w:type="dxa"/>
            <w:vAlign w:val="bottom"/>
            <w:tcBorders>
              <w:bottom w:val="single" w:sz="8" w:color="231F20"/>
            </w:tcBorders>
          </w:tcPr>
          <w:p>
            <w:pPr>
              <w:jc w:val="right"/>
              <w:ind w:right="4"/>
              <w:spacing w:after="0" w:line="223" w:lineRule="exact"/>
              <w:rPr>
                <w:sz w:val="20"/>
                <w:szCs w:val="20"/>
                <w:color w:val="auto"/>
              </w:rPr>
            </w:pPr>
            <w:r>
              <w:rPr>
                <w:rFonts w:ascii="Arial" w:cs="Arial" w:eastAsia="Arial" w:hAnsi="Arial"/>
                <w:sz w:val="20"/>
                <w:szCs w:val="20"/>
                <w:color w:val="231F20"/>
              </w:rPr>
              <w:t>1,538.9</w:t>
            </w:r>
          </w:p>
        </w:tc>
      </w:tr>
      <w:tr>
        <w:trPr>
          <w:trHeight w:val="212"/>
        </w:trPr>
        <w:tc>
          <w:tcPr>
            <w:tcW w:w="4960" w:type="dxa"/>
            <w:vAlign w:val="bottom"/>
          </w:tcPr>
          <w:p>
            <w:pPr>
              <w:jc w:val="right"/>
              <w:spacing w:after="0" w:line="212" w:lineRule="exact"/>
              <w:rPr>
                <w:sz w:val="20"/>
                <w:szCs w:val="20"/>
                <w:color w:val="auto"/>
              </w:rPr>
            </w:pPr>
            <w:r>
              <w:rPr>
                <w:rFonts w:ascii="Arial" w:cs="Arial" w:eastAsia="Arial" w:hAnsi="Arial"/>
                <w:sz w:val="20"/>
                <w:szCs w:val="20"/>
                <w:color w:val="231F20"/>
              </w:rPr>
              <w:t>2022 translation adjustments</w:t>
            </w:r>
            <w:r>
              <w:rPr>
                <w:rFonts w:ascii="Times New Roman" w:cs="Times New Roman" w:eastAsia="Times New Roman" w:hAnsi="Times New Roman"/>
                <w:sz w:val="20"/>
                <w:szCs w:val="20"/>
                <w:color w:val="231F20"/>
              </w:rPr>
              <w:t>........................................</w:t>
            </w:r>
          </w:p>
        </w:tc>
        <w:tc>
          <w:tcPr>
            <w:tcW w:w="280" w:type="dxa"/>
            <w:vAlign w:val="bottom"/>
          </w:tcPr>
          <w:p>
            <w:pPr>
              <w:spacing w:after="0"/>
              <w:rPr>
                <w:sz w:val="18"/>
                <w:szCs w:val="18"/>
                <w:color w:val="auto"/>
              </w:rPr>
            </w:pPr>
          </w:p>
        </w:tc>
        <w:tc>
          <w:tcPr>
            <w:tcW w:w="980" w:type="dxa"/>
            <w:vAlign w:val="bottom"/>
            <w:tcBorders>
              <w:right w:val="single" w:sz="8" w:color="231F20"/>
            </w:tcBorders>
          </w:tcPr>
          <w:p>
            <w:pPr>
              <w:jc w:val="right"/>
              <w:ind w:right="42"/>
              <w:spacing w:after="0" w:line="212" w:lineRule="exact"/>
              <w:rPr>
                <w:sz w:val="20"/>
                <w:szCs w:val="20"/>
                <w:color w:val="auto"/>
              </w:rPr>
            </w:pPr>
            <w:r>
              <w:rPr>
                <w:rFonts w:ascii="Arial" w:cs="Arial" w:eastAsia="Arial" w:hAnsi="Arial"/>
                <w:sz w:val="20"/>
                <w:szCs w:val="20"/>
                <w:color w:val="231F20"/>
              </w:rPr>
              <w:t>(9.4)</w:t>
            </w:r>
          </w:p>
        </w:tc>
        <w:tc>
          <w:tcPr>
            <w:tcW w:w="340" w:type="dxa"/>
            <w:vAlign w:val="bottom"/>
          </w:tcPr>
          <w:p>
            <w:pPr>
              <w:spacing w:after="0"/>
              <w:rPr>
                <w:sz w:val="18"/>
                <w:szCs w:val="18"/>
                <w:color w:val="auto"/>
              </w:rPr>
            </w:pPr>
          </w:p>
        </w:tc>
        <w:tc>
          <w:tcPr>
            <w:tcW w:w="720" w:type="dxa"/>
            <w:vAlign w:val="bottom"/>
          </w:tcPr>
          <w:p>
            <w:pPr>
              <w:jc w:val="right"/>
              <w:spacing w:after="0" w:line="212" w:lineRule="exact"/>
              <w:rPr>
                <w:sz w:val="20"/>
                <w:szCs w:val="20"/>
                <w:color w:val="auto"/>
              </w:rPr>
            </w:pPr>
            <w:r>
              <w:rPr>
                <w:rFonts w:ascii="Arial" w:cs="Arial" w:eastAsia="Arial" w:hAnsi="Arial"/>
                <w:sz w:val="20"/>
                <w:szCs w:val="20"/>
                <w:color w:val="231F20"/>
              </w:rPr>
              <w:t>—</w:t>
            </w:r>
          </w:p>
        </w:tc>
        <w:tc>
          <w:tcPr>
            <w:tcW w:w="260" w:type="dxa"/>
            <w:vAlign w:val="bottom"/>
          </w:tcPr>
          <w:p>
            <w:pPr>
              <w:spacing w:after="0"/>
              <w:rPr>
                <w:sz w:val="18"/>
                <w:szCs w:val="18"/>
                <w:color w:val="auto"/>
              </w:rPr>
            </w:pPr>
          </w:p>
        </w:tc>
        <w:tc>
          <w:tcPr>
            <w:tcW w:w="820" w:type="dxa"/>
            <w:vAlign w:val="bottom"/>
            <w:tcBorders>
              <w:right w:val="single" w:sz="8" w:color="231F20"/>
            </w:tcBorders>
          </w:tcPr>
          <w:p>
            <w:pPr>
              <w:jc w:val="right"/>
              <w:ind w:right="42"/>
              <w:spacing w:after="0" w:line="212" w:lineRule="exact"/>
              <w:rPr>
                <w:sz w:val="20"/>
                <w:szCs w:val="20"/>
                <w:color w:val="auto"/>
              </w:rPr>
            </w:pPr>
            <w:r>
              <w:rPr>
                <w:rFonts w:ascii="Arial" w:cs="Arial" w:eastAsia="Arial" w:hAnsi="Arial"/>
                <w:sz w:val="20"/>
                <w:szCs w:val="20"/>
                <w:color w:val="231F20"/>
              </w:rPr>
              <w:t>(0.8)</w:t>
            </w:r>
          </w:p>
        </w:tc>
        <w:tc>
          <w:tcPr>
            <w:tcW w:w="200" w:type="dxa"/>
            <w:vAlign w:val="bottom"/>
          </w:tcPr>
          <w:p>
            <w:pPr>
              <w:spacing w:after="0"/>
              <w:rPr>
                <w:sz w:val="18"/>
                <w:szCs w:val="18"/>
                <w:color w:val="auto"/>
              </w:rPr>
            </w:pPr>
          </w:p>
        </w:tc>
        <w:tc>
          <w:tcPr>
            <w:tcW w:w="880" w:type="dxa"/>
            <w:vAlign w:val="bottom"/>
          </w:tcPr>
          <w:p>
            <w:pPr>
              <w:jc w:val="right"/>
              <w:spacing w:after="0" w:line="212" w:lineRule="exact"/>
              <w:rPr>
                <w:sz w:val="20"/>
                <w:szCs w:val="20"/>
                <w:color w:val="auto"/>
              </w:rPr>
            </w:pPr>
            <w:r>
              <w:rPr>
                <w:rFonts w:ascii="Arial" w:cs="Arial" w:eastAsia="Arial" w:hAnsi="Arial"/>
                <w:sz w:val="20"/>
                <w:szCs w:val="20"/>
                <w:color w:val="231F20"/>
              </w:rPr>
              <w:t>(10.2)</w:t>
            </w:r>
          </w:p>
        </w:tc>
      </w:tr>
      <w:tr>
        <w:trPr>
          <w:trHeight w:val="253"/>
        </w:trPr>
        <w:tc>
          <w:tcPr>
            <w:tcW w:w="4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Acquisition-related adjustments </w:t>
            </w:r>
            <w:r>
              <w:rPr>
                <w:rFonts w:ascii="Times New Roman" w:cs="Times New Roman" w:eastAsia="Times New Roman" w:hAnsi="Times New Roman"/>
                <w:sz w:val="20"/>
                <w:szCs w:val="20"/>
                <w:color w:val="231F20"/>
              </w:rPr>
              <w:t>...................................</w:t>
            </w:r>
          </w:p>
        </w:tc>
        <w:tc>
          <w:tcPr>
            <w:tcW w:w="2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right w:val="single" w:sz="8" w:color="231F20"/>
            </w:tcBorders>
          </w:tcPr>
          <w:p>
            <w:pPr>
              <w:jc w:val="right"/>
              <w:ind w:right="122"/>
              <w:spacing w:after="0"/>
              <w:rPr>
                <w:sz w:val="20"/>
                <w:szCs w:val="20"/>
                <w:color w:val="auto"/>
              </w:rPr>
            </w:pPr>
            <w:r>
              <w:rPr>
                <w:rFonts w:ascii="Arial" w:cs="Arial" w:eastAsia="Arial" w:hAnsi="Arial"/>
                <w:sz w:val="20"/>
                <w:szCs w:val="20"/>
                <w:color w:val="231F20"/>
              </w:rPr>
              <w:t>88.7</w:t>
            </w:r>
          </w:p>
        </w:tc>
        <w:tc>
          <w:tcPr>
            <w:tcW w:w="34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23.3</w:t>
            </w:r>
          </w:p>
        </w:tc>
        <w:tc>
          <w:tcPr>
            <w:tcW w:w="26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right w:val="single" w:sz="8" w:color="231F20"/>
            </w:tcBorders>
          </w:tcPr>
          <w:p>
            <w:pPr>
              <w:jc w:val="right"/>
              <w:ind w:right="122"/>
              <w:spacing w:after="0"/>
              <w:rPr>
                <w:sz w:val="20"/>
                <w:szCs w:val="20"/>
                <w:color w:val="auto"/>
              </w:rPr>
            </w:pPr>
            <w:r>
              <w:rPr>
                <w:rFonts w:ascii="Arial" w:cs="Arial" w:eastAsia="Arial" w:hAnsi="Arial"/>
                <w:sz w:val="20"/>
                <w:szCs w:val="20"/>
                <w:color w:val="231F20"/>
              </w:rPr>
              <w:t>—</w:t>
            </w:r>
          </w:p>
        </w:tc>
        <w:tc>
          <w:tcPr>
            <w:tcW w:w="20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4"/>
              <w:spacing w:after="0"/>
              <w:rPr>
                <w:sz w:val="20"/>
                <w:szCs w:val="20"/>
                <w:color w:val="auto"/>
              </w:rPr>
            </w:pPr>
            <w:r>
              <w:rPr>
                <w:rFonts w:ascii="Arial" w:cs="Arial" w:eastAsia="Arial" w:hAnsi="Arial"/>
                <w:sz w:val="20"/>
                <w:szCs w:val="20"/>
                <w:color w:val="231F20"/>
              </w:rPr>
              <w:t>112.0</w:t>
            </w:r>
          </w:p>
        </w:tc>
      </w:tr>
      <w:tr>
        <w:trPr>
          <w:trHeight w:val="248"/>
        </w:trPr>
        <w:tc>
          <w:tcPr>
            <w:tcW w:w="4960" w:type="dxa"/>
            <w:vAlign w:val="bottom"/>
            <w:tcBorders>
              <w:bottom w:val="single" w:sz="8" w:color="231F20"/>
            </w:tcBorders>
          </w:tcPr>
          <w:p>
            <w:pPr>
              <w:jc w:val="right"/>
              <w:spacing w:after="0" w:line="222" w:lineRule="exact"/>
              <w:rPr>
                <w:sz w:val="20"/>
                <w:szCs w:val="20"/>
                <w:color w:val="auto"/>
              </w:rPr>
            </w:pPr>
            <w:r>
              <w:rPr>
                <w:rFonts w:ascii="Arial" w:cs="Arial" w:eastAsia="Arial" w:hAnsi="Arial"/>
                <w:sz w:val="19"/>
                <w:szCs w:val="19"/>
                <w:color w:val="231F20"/>
              </w:rPr>
              <w:t>Balance at December 31, 2022</w:t>
            </w:r>
            <w:r>
              <w:rPr>
                <w:rFonts w:ascii="Arial" w:cs="Arial" w:eastAsia="Arial" w:hAnsi="Arial"/>
                <w:sz w:val="25"/>
                <w:szCs w:val="25"/>
                <w:color w:val="231F20"/>
                <w:vertAlign w:val="superscript"/>
              </w:rPr>
              <w:t>(a)</w:t>
            </w:r>
            <w:r>
              <w:rPr>
                <w:rFonts w:ascii="Arial" w:cs="Arial" w:eastAsia="Arial" w:hAnsi="Arial"/>
                <w:sz w:val="19"/>
                <w:szCs w:val="19"/>
                <w:color w:val="231F20"/>
              </w:rPr>
              <w:t xml:space="preserve"> </w:t>
            </w:r>
            <w:r>
              <w:rPr>
                <w:rFonts w:ascii="Times New Roman" w:cs="Times New Roman" w:eastAsia="Times New Roman" w:hAnsi="Times New Roman"/>
                <w:sz w:val="19"/>
                <w:szCs w:val="19"/>
                <w:color w:val="231F20"/>
              </w:rPr>
              <w:t>......................................</w:t>
            </w:r>
          </w:p>
        </w:tc>
        <w:tc>
          <w:tcPr>
            <w:tcW w:w="280" w:type="dxa"/>
            <w:vAlign w:val="bottom"/>
            <w:tcBorders>
              <w:bottom w:val="single" w:sz="8" w:color="231F20"/>
            </w:tcBorders>
          </w:tcPr>
          <w:p>
            <w:pPr>
              <w:jc w:val="right"/>
              <w:ind w:right="19"/>
              <w:spacing w:after="0" w:line="223" w:lineRule="exact"/>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right w:val="single" w:sz="8" w:color="231F20"/>
            </w:tcBorders>
          </w:tcPr>
          <w:p>
            <w:pPr>
              <w:jc w:val="right"/>
              <w:ind w:right="122"/>
              <w:spacing w:after="0" w:line="223" w:lineRule="exact"/>
              <w:rPr>
                <w:sz w:val="20"/>
                <w:szCs w:val="20"/>
                <w:color w:val="auto"/>
              </w:rPr>
            </w:pPr>
            <w:r>
              <w:rPr>
                <w:rFonts w:ascii="Arial" w:cs="Arial" w:eastAsia="Arial" w:hAnsi="Arial"/>
                <w:sz w:val="20"/>
                <w:szCs w:val="20"/>
                <w:color w:val="231F20"/>
              </w:rPr>
              <w:t>893.4</w:t>
            </w:r>
          </w:p>
        </w:tc>
        <w:tc>
          <w:tcPr>
            <w:tcW w:w="340" w:type="dxa"/>
            <w:vAlign w:val="bottom"/>
            <w:tcBorders>
              <w:bottom w:val="single" w:sz="8" w:color="231F20"/>
            </w:tcBorders>
          </w:tcPr>
          <w:p>
            <w:pPr>
              <w:jc w:val="right"/>
              <w:ind w:right="5"/>
              <w:spacing w:after="0" w:line="223" w:lineRule="exact"/>
              <w:rPr>
                <w:sz w:val="20"/>
                <w:szCs w:val="20"/>
                <w:color w:val="auto"/>
              </w:rPr>
            </w:pPr>
            <w:r>
              <w:rPr>
                <w:rFonts w:ascii="Arial" w:cs="Arial" w:eastAsia="Arial" w:hAnsi="Arial"/>
                <w:sz w:val="20"/>
                <w:szCs w:val="20"/>
                <w:color w:val="231F20"/>
              </w:rPr>
              <w:t>$</w:t>
            </w:r>
          </w:p>
        </w:tc>
        <w:tc>
          <w:tcPr>
            <w:tcW w:w="7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651.0</w:t>
            </w:r>
          </w:p>
        </w:tc>
        <w:tc>
          <w:tcPr>
            <w:tcW w:w="2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right w:val="single" w:sz="8" w:color="231F20"/>
            </w:tcBorders>
          </w:tcPr>
          <w:p>
            <w:pPr>
              <w:jc w:val="right"/>
              <w:ind w:right="122"/>
              <w:spacing w:after="0" w:line="223" w:lineRule="exact"/>
              <w:rPr>
                <w:sz w:val="20"/>
                <w:szCs w:val="20"/>
                <w:color w:val="auto"/>
              </w:rPr>
            </w:pPr>
            <w:r>
              <w:rPr>
                <w:rFonts w:ascii="Arial" w:cs="Arial" w:eastAsia="Arial" w:hAnsi="Arial"/>
                <w:sz w:val="20"/>
                <w:szCs w:val="20"/>
                <w:color w:val="231F20"/>
              </w:rPr>
              <w:t>96.3</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71"/>
              </w:rPr>
              <w:t>$</w:t>
            </w:r>
          </w:p>
        </w:tc>
        <w:tc>
          <w:tcPr>
            <w:tcW w:w="880" w:type="dxa"/>
            <w:vAlign w:val="bottom"/>
            <w:tcBorders>
              <w:bottom w:val="single" w:sz="8" w:color="231F20"/>
            </w:tcBorders>
          </w:tcPr>
          <w:p>
            <w:pPr>
              <w:jc w:val="right"/>
              <w:ind w:right="4"/>
              <w:spacing w:after="0" w:line="223" w:lineRule="exact"/>
              <w:rPr>
                <w:sz w:val="20"/>
                <w:szCs w:val="20"/>
                <w:color w:val="auto"/>
              </w:rPr>
            </w:pPr>
            <w:r>
              <w:rPr>
                <w:rFonts w:ascii="Arial" w:cs="Arial" w:eastAsia="Arial" w:hAnsi="Arial"/>
                <w:sz w:val="20"/>
                <w:szCs w:val="20"/>
                <w:color w:val="231F20"/>
              </w:rPr>
              <w:t>1,640.7</w:t>
            </w:r>
          </w:p>
        </w:tc>
      </w:tr>
      <w:tr>
        <w:trPr>
          <w:trHeight w:val="212"/>
        </w:trPr>
        <w:tc>
          <w:tcPr>
            <w:tcW w:w="4960" w:type="dxa"/>
            <w:vAlign w:val="bottom"/>
          </w:tcPr>
          <w:p>
            <w:pPr>
              <w:jc w:val="right"/>
              <w:spacing w:after="0" w:line="212" w:lineRule="exact"/>
              <w:rPr>
                <w:sz w:val="20"/>
                <w:szCs w:val="20"/>
                <w:color w:val="auto"/>
              </w:rPr>
            </w:pPr>
            <w:r>
              <w:rPr>
                <w:rFonts w:ascii="Arial" w:cs="Arial" w:eastAsia="Arial" w:hAnsi="Arial"/>
                <w:sz w:val="20"/>
                <w:szCs w:val="20"/>
                <w:color w:val="231F20"/>
              </w:rPr>
              <w:t>2023 translation adjustments</w:t>
            </w:r>
            <w:r>
              <w:rPr>
                <w:rFonts w:ascii="Times New Roman" w:cs="Times New Roman" w:eastAsia="Times New Roman" w:hAnsi="Times New Roman"/>
                <w:sz w:val="20"/>
                <w:szCs w:val="20"/>
                <w:color w:val="231F20"/>
              </w:rPr>
              <w:t>........................................</w:t>
            </w:r>
          </w:p>
        </w:tc>
        <w:tc>
          <w:tcPr>
            <w:tcW w:w="280" w:type="dxa"/>
            <w:vAlign w:val="bottom"/>
          </w:tcPr>
          <w:p>
            <w:pPr>
              <w:spacing w:after="0"/>
              <w:rPr>
                <w:sz w:val="18"/>
                <w:szCs w:val="18"/>
                <w:color w:val="auto"/>
              </w:rPr>
            </w:pPr>
          </w:p>
        </w:tc>
        <w:tc>
          <w:tcPr>
            <w:tcW w:w="980" w:type="dxa"/>
            <w:vAlign w:val="bottom"/>
            <w:tcBorders>
              <w:right w:val="single" w:sz="8" w:color="231F20"/>
            </w:tcBorders>
          </w:tcPr>
          <w:p>
            <w:pPr>
              <w:jc w:val="right"/>
              <w:ind w:right="122"/>
              <w:spacing w:after="0" w:line="212" w:lineRule="exact"/>
              <w:rPr>
                <w:sz w:val="20"/>
                <w:szCs w:val="20"/>
                <w:color w:val="auto"/>
              </w:rPr>
            </w:pPr>
            <w:r>
              <w:rPr>
                <w:rFonts w:ascii="Arial" w:cs="Arial" w:eastAsia="Arial" w:hAnsi="Arial"/>
                <w:sz w:val="20"/>
                <w:szCs w:val="20"/>
                <w:color w:val="231F20"/>
              </w:rPr>
              <w:t>8.1</w:t>
            </w:r>
          </w:p>
        </w:tc>
        <w:tc>
          <w:tcPr>
            <w:tcW w:w="340" w:type="dxa"/>
            <w:vAlign w:val="bottom"/>
          </w:tcPr>
          <w:p>
            <w:pPr>
              <w:spacing w:after="0"/>
              <w:rPr>
                <w:sz w:val="18"/>
                <w:szCs w:val="18"/>
                <w:color w:val="auto"/>
              </w:rPr>
            </w:pPr>
          </w:p>
        </w:tc>
        <w:tc>
          <w:tcPr>
            <w:tcW w:w="720" w:type="dxa"/>
            <w:vAlign w:val="bottom"/>
          </w:tcPr>
          <w:p>
            <w:pPr>
              <w:jc w:val="right"/>
              <w:spacing w:after="0" w:line="212" w:lineRule="exact"/>
              <w:rPr>
                <w:sz w:val="20"/>
                <w:szCs w:val="20"/>
                <w:color w:val="auto"/>
              </w:rPr>
            </w:pPr>
            <w:r>
              <w:rPr>
                <w:rFonts w:ascii="Arial" w:cs="Arial" w:eastAsia="Arial" w:hAnsi="Arial"/>
                <w:sz w:val="20"/>
                <w:szCs w:val="20"/>
                <w:color w:val="231F20"/>
              </w:rPr>
              <w:t>—</w:t>
            </w:r>
          </w:p>
        </w:tc>
        <w:tc>
          <w:tcPr>
            <w:tcW w:w="260" w:type="dxa"/>
            <w:vAlign w:val="bottom"/>
          </w:tcPr>
          <w:p>
            <w:pPr>
              <w:spacing w:after="0"/>
              <w:rPr>
                <w:sz w:val="18"/>
                <w:szCs w:val="18"/>
                <w:color w:val="auto"/>
              </w:rPr>
            </w:pPr>
          </w:p>
        </w:tc>
        <w:tc>
          <w:tcPr>
            <w:tcW w:w="820" w:type="dxa"/>
            <w:vAlign w:val="bottom"/>
            <w:tcBorders>
              <w:right w:val="single" w:sz="8" w:color="231F20"/>
            </w:tcBorders>
          </w:tcPr>
          <w:p>
            <w:pPr>
              <w:jc w:val="right"/>
              <w:ind w:right="122"/>
              <w:spacing w:after="0" w:line="212" w:lineRule="exact"/>
              <w:rPr>
                <w:sz w:val="20"/>
                <w:szCs w:val="20"/>
                <w:color w:val="auto"/>
              </w:rPr>
            </w:pPr>
            <w:r>
              <w:rPr>
                <w:rFonts w:ascii="Arial" w:cs="Arial" w:eastAsia="Arial" w:hAnsi="Arial"/>
                <w:sz w:val="20"/>
                <w:szCs w:val="20"/>
                <w:color w:val="231F20"/>
              </w:rPr>
              <w:t>0.4</w:t>
            </w:r>
          </w:p>
        </w:tc>
        <w:tc>
          <w:tcPr>
            <w:tcW w:w="200" w:type="dxa"/>
            <w:vAlign w:val="bottom"/>
          </w:tcPr>
          <w:p>
            <w:pPr>
              <w:spacing w:after="0"/>
              <w:rPr>
                <w:sz w:val="18"/>
                <w:szCs w:val="18"/>
                <w:color w:val="auto"/>
              </w:rPr>
            </w:pPr>
          </w:p>
        </w:tc>
        <w:tc>
          <w:tcPr>
            <w:tcW w:w="880" w:type="dxa"/>
            <w:vAlign w:val="bottom"/>
          </w:tcPr>
          <w:p>
            <w:pPr>
              <w:jc w:val="right"/>
              <w:ind w:right="4"/>
              <w:spacing w:after="0" w:line="212" w:lineRule="exact"/>
              <w:rPr>
                <w:sz w:val="20"/>
                <w:szCs w:val="20"/>
                <w:color w:val="auto"/>
              </w:rPr>
            </w:pPr>
            <w:r>
              <w:rPr>
                <w:rFonts w:ascii="Arial" w:cs="Arial" w:eastAsia="Arial" w:hAnsi="Arial"/>
                <w:sz w:val="20"/>
                <w:szCs w:val="20"/>
                <w:color w:val="231F20"/>
              </w:rPr>
              <w:t>8.5</w:t>
            </w:r>
          </w:p>
        </w:tc>
      </w:tr>
      <w:tr>
        <w:trPr>
          <w:trHeight w:val="253"/>
        </w:trPr>
        <w:tc>
          <w:tcPr>
            <w:tcW w:w="4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Acquisition-related adjustments </w:t>
            </w:r>
            <w:r>
              <w:rPr>
                <w:rFonts w:ascii="Times New Roman" w:cs="Times New Roman" w:eastAsia="Times New Roman" w:hAnsi="Times New Roman"/>
                <w:sz w:val="20"/>
                <w:szCs w:val="20"/>
                <w:color w:val="231F20"/>
              </w:rPr>
              <w:t>...................................</w:t>
            </w:r>
          </w:p>
        </w:tc>
        <w:tc>
          <w:tcPr>
            <w:tcW w:w="28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right w:val="single" w:sz="8" w:color="231F20"/>
            </w:tcBorders>
          </w:tcPr>
          <w:p>
            <w:pPr>
              <w:jc w:val="right"/>
              <w:ind w:right="122"/>
              <w:spacing w:after="0"/>
              <w:rPr>
                <w:sz w:val="20"/>
                <w:szCs w:val="20"/>
                <w:color w:val="auto"/>
              </w:rPr>
            </w:pPr>
            <w:r>
              <w:rPr>
                <w:rFonts w:ascii="Arial" w:cs="Arial" w:eastAsia="Arial" w:hAnsi="Arial"/>
                <w:sz w:val="20"/>
                <w:szCs w:val="20"/>
                <w:color w:val="231F20"/>
              </w:rPr>
              <w:t>227.8</w:t>
            </w:r>
          </w:p>
        </w:tc>
        <w:tc>
          <w:tcPr>
            <w:tcW w:w="34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0.1</w:t>
            </w:r>
          </w:p>
        </w:tc>
        <w:tc>
          <w:tcPr>
            <w:tcW w:w="26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right w:val="single" w:sz="8" w:color="231F20"/>
            </w:tcBorders>
          </w:tcPr>
          <w:p>
            <w:pPr>
              <w:jc w:val="right"/>
              <w:ind w:right="122"/>
              <w:spacing w:after="0"/>
              <w:rPr>
                <w:sz w:val="20"/>
                <w:szCs w:val="20"/>
                <w:color w:val="auto"/>
              </w:rPr>
            </w:pPr>
            <w:r>
              <w:rPr>
                <w:rFonts w:ascii="Arial" w:cs="Arial" w:eastAsia="Arial" w:hAnsi="Arial"/>
                <w:sz w:val="20"/>
                <w:szCs w:val="20"/>
                <w:color w:val="231F20"/>
              </w:rPr>
              <w:t>29.7</w:t>
            </w:r>
          </w:p>
        </w:tc>
        <w:tc>
          <w:tcPr>
            <w:tcW w:w="20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4"/>
              <w:spacing w:after="0"/>
              <w:rPr>
                <w:sz w:val="20"/>
                <w:szCs w:val="20"/>
                <w:color w:val="auto"/>
              </w:rPr>
            </w:pPr>
            <w:r>
              <w:rPr>
                <w:rFonts w:ascii="Arial" w:cs="Arial" w:eastAsia="Arial" w:hAnsi="Arial"/>
                <w:sz w:val="20"/>
                <w:szCs w:val="20"/>
                <w:color w:val="231F20"/>
              </w:rPr>
              <w:t>257.6</w:t>
            </w:r>
          </w:p>
        </w:tc>
      </w:tr>
      <w:tr>
        <w:trPr>
          <w:trHeight w:val="248"/>
        </w:trPr>
        <w:tc>
          <w:tcPr>
            <w:tcW w:w="4960" w:type="dxa"/>
            <w:vAlign w:val="bottom"/>
            <w:tcBorders>
              <w:bottom w:val="single" w:sz="8" w:color="231F20"/>
            </w:tcBorders>
          </w:tcPr>
          <w:p>
            <w:pPr>
              <w:jc w:val="right"/>
              <w:spacing w:after="0" w:line="222" w:lineRule="exact"/>
              <w:rPr>
                <w:sz w:val="20"/>
                <w:szCs w:val="20"/>
                <w:color w:val="auto"/>
              </w:rPr>
            </w:pPr>
            <w:r>
              <w:rPr>
                <w:rFonts w:ascii="Arial" w:cs="Arial" w:eastAsia="Arial" w:hAnsi="Arial"/>
                <w:sz w:val="19"/>
                <w:szCs w:val="19"/>
                <w:color w:val="231F20"/>
              </w:rPr>
              <w:t>Balance at December 30, 2023</w:t>
            </w:r>
            <w:r>
              <w:rPr>
                <w:rFonts w:ascii="Arial" w:cs="Arial" w:eastAsia="Arial" w:hAnsi="Arial"/>
                <w:sz w:val="25"/>
                <w:szCs w:val="25"/>
                <w:color w:val="231F20"/>
                <w:vertAlign w:val="superscript"/>
              </w:rPr>
              <w:t>(a)</w:t>
            </w:r>
            <w:r>
              <w:rPr>
                <w:rFonts w:ascii="Arial" w:cs="Arial" w:eastAsia="Arial" w:hAnsi="Arial"/>
                <w:sz w:val="19"/>
                <w:szCs w:val="19"/>
                <w:color w:val="231F20"/>
              </w:rPr>
              <w:t xml:space="preserve"> </w:t>
            </w:r>
            <w:r>
              <w:rPr>
                <w:rFonts w:ascii="Times New Roman" w:cs="Times New Roman" w:eastAsia="Times New Roman" w:hAnsi="Times New Roman"/>
                <w:sz w:val="19"/>
                <w:szCs w:val="19"/>
                <w:color w:val="231F20"/>
              </w:rPr>
              <w:t>......................................</w:t>
            </w:r>
          </w:p>
        </w:tc>
        <w:tc>
          <w:tcPr>
            <w:tcW w:w="280" w:type="dxa"/>
            <w:vAlign w:val="bottom"/>
            <w:tcBorders>
              <w:bottom w:val="single" w:sz="8" w:color="231F20"/>
            </w:tcBorders>
          </w:tcPr>
          <w:p>
            <w:pPr>
              <w:jc w:val="right"/>
              <w:ind w:right="19"/>
              <w:spacing w:after="0" w:line="223" w:lineRule="exact"/>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right w:val="single" w:sz="8" w:color="231F20"/>
            </w:tcBorders>
          </w:tcPr>
          <w:p>
            <w:pPr>
              <w:jc w:val="right"/>
              <w:ind w:right="122"/>
              <w:spacing w:after="0" w:line="223" w:lineRule="exact"/>
              <w:rPr>
                <w:sz w:val="20"/>
                <w:szCs w:val="20"/>
                <w:color w:val="auto"/>
              </w:rPr>
            </w:pPr>
            <w:r>
              <w:rPr>
                <w:rFonts w:ascii="Arial" w:cs="Arial" w:eastAsia="Arial" w:hAnsi="Arial"/>
                <w:sz w:val="20"/>
                <w:szCs w:val="20"/>
                <w:color w:val="231F20"/>
              </w:rPr>
              <w:t>1,129.3</w:t>
            </w:r>
          </w:p>
        </w:tc>
        <w:tc>
          <w:tcPr>
            <w:tcW w:w="340" w:type="dxa"/>
            <w:vAlign w:val="bottom"/>
            <w:tcBorders>
              <w:bottom w:val="single" w:sz="8" w:color="231F20"/>
            </w:tcBorders>
          </w:tcPr>
          <w:p>
            <w:pPr>
              <w:jc w:val="right"/>
              <w:ind w:right="5"/>
              <w:spacing w:after="0" w:line="223" w:lineRule="exact"/>
              <w:rPr>
                <w:sz w:val="20"/>
                <w:szCs w:val="20"/>
                <w:color w:val="auto"/>
              </w:rPr>
            </w:pPr>
            <w:r>
              <w:rPr>
                <w:rFonts w:ascii="Arial" w:cs="Arial" w:eastAsia="Arial" w:hAnsi="Arial"/>
                <w:sz w:val="20"/>
                <w:szCs w:val="20"/>
                <w:color w:val="231F20"/>
              </w:rPr>
              <w:t>$</w:t>
            </w:r>
          </w:p>
        </w:tc>
        <w:tc>
          <w:tcPr>
            <w:tcW w:w="7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651.1</w:t>
            </w:r>
          </w:p>
        </w:tc>
        <w:tc>
          <w:tcPr>
            <w:tcW w:w="2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right w:val="single" w:sz="8" w:color="231F20"/>
            </w:tcBorders>
          </w:tcPr>
          <w:p>
            <w:pPr>
              <w:jc w:val="right"/>
              <w:ind w:right="122"/>
              <w:spacing w:after="0" w:line="223" w:lineRule="exact"/>
              <w:rPr>
                <w:sz w:val="20"/>
                <w:szCs w:val="20"/>
                <w:color w:val="auto"/>
              </w:rPr>
            </w:pPr>
            <w:r>
              <w:rPr>
                <w:rFonts w:ascii="Arial" w:cs="Arial" w:eastAsia="Arial" w:hAnsi="Arial"/>
                <w:sz w:val="20"/>
                <w:szCs w:val="20"/>
                <w:color w:val="231F20"/>
              </w:rPr>
              <w:t>126.4</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71"/>
              </w:rPr>
              <w:t>$</w:t>
            </w:r>
          </w:p>
        </w:tc>
        <w:tc>
          <w:tcPr>
            <w:tcW w:w="880" w:type="dxa"/>
            <w:vAlign w:val="bottom"/>
            <w:tcBorders>
              <w:bottom w:val="single" w:sz="8" w:color="231F20"/>
            </w:tcBorders>
          </w:tcPr>
          <w:p>
            <w:pPr>
              <w:jc w:val="right"/>
              <w:ind w:right="4"/>
              <w:spacing w:after="0" w:line="223" w:lineRule="exact"/>
              <w:rPr>
                <w:sz w:val="20"/>
                <w:szCs w:val="20"/>
                <w:color w:val="auto"/>
              </w:rPr>
            </w:pPr>
            <w:r>
              <w:rPr>
                <w:rFonts w:ascii="Arial" w:cs="Arial" w:eastAsia="Arial" w:hAnsi="Arial"/>
                <w:sz w:val="20"/>
                <w:szCs w:val="20"/>
                <w:color w:val="231F20"/>
              </w:rPr>
              <w:t>1,906.8</w:t>
            </w:r>
          </w:p>
        </w:tc>
      </w:tr>
    </w:tbl>
    <w:p>
      <w:pPr>
        <w:spacing w:after="0" w:line="201"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0"/>
          <w:szCs w:val="10"/>
          <w:i w:val="1"/>
          <w:iCs w:val="1"/>
          <w:color w:val="231F20"/>
        </w:rPr>
      </w:pPr>
      <w:r>
        <w:rPr>
          <w:rFonts w:ascii="Arial" w:cs="Arial" w:eastAsia="Arial" w:hAnsi="Arial"/>
          <w:sz w:val="16"/>
          <w:szCs w:val="16"/>
          <w:i w:val="1"/>
          <w:iCs w:val="1"/>
          <w:color w:val="231F20"/>
        </w:rPr>
        <w:t>Net of accumulated impairment losses of $399.5 million in the Outdoors segment.</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63</w:t>
      </w:r>
    </w:p>
    <w:p>
      <w:pPr>
        <w:sectPr>
          <w:pgSz w:w="12240" w:h="15840" w:orient="portrait"/>
          <w:cols w:equalWidth="0" w:num="1">
            <w:col w:w="9460"/>
          </w:cols>
          <w:pgMar w:left="1380" w:top="1346" w:right="1400" w:bottom="95" w:gutter="0" w:footer="0" w:header="0"/>
          <w:type w:val="continuous"/>
        </w:sectPr>
      </w:pPr>
    </w:p>
    <w:bookmarkStart w:id="71" w:name="page72"/>
    <w:bookmarkEnd w:id="71"/>
    <w:p>
      <w:pPr>
        <w:ind w:right="100"/>
        <w:spacing w:after="0" w:line="287" w:lineRule="auto"/>
        <w:rPr>
          <w:sz w:val="20"/>
          <w:szCs w:val="20"/>
          <w:color w:val="auto"/>
        </w:rPr>
      </w:pPr>
      <w:r>
        <w:rPr>
          <w:rFonts w:ascii="Arial" w:cs="Arial" w:eastAsia="Arial" w:hAnsi="Arial"/>
          <w:sz w:val="20"/>
          <w:szCs w:val="20"/>
          <w:color w:val="231F20"/>
        </w:rPr>
        <w:t>The gross carrying value and accumulated amortization by class of intangible assets as of December 30, 2023 and December 31, 2022 were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80" w:type="dxa"/>
            <w:vAlign w:val="bottom"/>
            <w:tcBorders>
              <w:top w:val="single" w:sz="8" w:color="231F20"/>
              <w:bottom w:val="single" w:sz="8" w:color="231F20"/>
            </w:tcBorders>
          </w:tcPr>
          <w:p>
            <w:pPr>
              <w:spacing w:after="0"/>
              <w:rPr>
                <w:sz w:val="16"/>
                <w:szCs w:val="16"/>
                <w:color w:val="auto"/>
              </w:rPr>
            </w:pPr>
          </w:p>
        </w:tc>
        <w:tc>
          <w:tcPr>
            <w:tcW w:w="220" w:type="dxa"/>
            <w:vAlign w:val="bottom"/>
            <w:tcBorders>
              <w:top w:val="single" w:sz="8" w:color="231F20"/>
              <w:bottom w:val="single" w:sz="8" w:color="231F20"/>
            </w:tcBorders>
          </w:tcPr>
          <w:p>
            <w:pPr>
              <w:spacing w:after="0"/>
              <w:rPr>
                <w:sz w:val="16"/>
                <w:szCs w:val="16"/>
                <w:color w:val="auto"/>
              </w:rPr>
            </w:pPr>
          </w:p>
        </w:tc>
        <w:tc>
          <w:tcPr>
            <w:tcW w:w="2220" w:type="dxa"/>
            <w:vAlign w:val="bottom"/>
            <w:tcBorders>
              <w:top w:val="single" w:sz="8" w:color="231F20"/>
              <w:bottom w:val="single" w:sz="8" w:color="231F20"/>
            </w:tcBorders>
            <w:gridSpan w:val="4"/>
          </w:tcPr>
          <w:p>
            <w:pPr>
              <w:jc w:val="right"/>
              <w:spacing w:after="0"/>
              <w:rPr>
                <w:sz w:val="20"/>
                <w:szCs w:val="20"/>
                <w:color w:val="auto"/>
              </w:rPr>
            </w:pPr>
            <w:r>
              <w:rPr>
                <w:rFonts w:ascii="Arial" w:cs="Arial" w:eastAsia="Arial" w:hAnsi="Arial"/>
                <w:sz w:val="15"/>
                <w:szCs w:val="15"/>
                <w:color w:val="231F20"/>
              </w:rPr>
              <w:t>As of December 30, 2023</w:t>
            </w:r>
          </w:p>
        </w:tc>
        <w:tc>
          <w:tcPr>
            <w:tcW w:w="820" w:type="dxa"/>
            <w:vAlign w:val="bottom"/>
            <w:tcBorders>
              <w:top w:val="single" w:sz="8" w:color="231F20"/>
              <w:bottom w:val="single" w:sz="8" w:color="231F20"/>
            </w:tcBorders>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2940" w:type="dxa"/>
            <w:vAlign w:val="bottom"/>
            <w:tcBorders>
              <w:top w:val="single" w:sz="8" w:color="231F20"/>
              <w:bottom w:val="single" w:sz="8" w:color="231F20"/>
            </w:tcBorders>
            <w:gridSpan w:val="5"/>
          </w:tcPr>
          <w:p>
            <w:pPr>
              <w:jc w:val="right"/>
              <w:ind w:right="646"/>
              <w:spacing w:after="0"/>
              <w:rPr>
                <w:sz w:val="20"/>
                <w:szCs w:val="20"/>
                <w:color w:val="auto"/>
              </w:rPr>
            </w:pPr>
            <w:r>
              <w:rPr>
                <w:rFonts w:ascii="Arial" w:cs="Arial" w:eastAsia="Arial" w:hAnsi="Arial"/>
                <w:sz w:val="15"/>
                <w:szCs w:val="15"/>
                <w:color w:val="231F20"/>
              </w:rPr>
              <w:t>As of December 31, 2022</w:t>
            </w:r>
          </w:p>
        </w:tc>
      </w:tr>
      <w:tr>
        <w:trPr>
          <w:trHeight w:val="150"/>
        </w:trPr>
        <w:tc>
          <w:tcPr>
            <w:tcW w:w="3080" w:type="dxa"/>
            <w:vAlign w:val="bottom"/>
            <w:tcBorders>
              <w:right w:val="single" w:sz="8" w:color="231F20"/>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Arial" w:cs="Arial" w:eastAsia="Arial" w:hAnsi="Arial"/>
                <w:sz w:val="15"/>
                <w:szCs w:val="15"/>
                <w:color w:val="231F20"/>
              </w:rPr>
              <w:t>Gross</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right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0" w:lineRule="exact"/>
              <w:rPr>
                <w:sz w:val="20"/>
                <w:szCs w:val="20"/>
                <w:color w:val="auto"/>
              </w:rPr>
            </w:pPr>
            <w:r>
              <w:rPr>
                <w:rFonts w:ascii="Arial" w:cs="Arial" w:eastAsia="Arial" w:hAnsi="Arial"/>
                <w:sz w:val="15"/>
                <w:szCs w:val="15"/>
                <w:color w:val="231F20"/>
              </w:rPr>
              <w:t>Gross</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3080" w:type="dxa"/>
            <w:vAlign w:val="bottom"/>
            <w:tcBorders>
              <w:right w:val="single" w:sz="8" w:color="231F20"/>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5"/>
                <w:szCs w:val="15"/>
                <w:color w:val="231F20"/>
              </w:rPr>
              <w:t>Carrying</w:t>
            </w:r>
          </w:p>
        </w:tc>
        <w:tc>
          <w:tcPr>
            <w:tcW w:w="22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5"/>
                <w:szCs w:val="15"/>
                <w:color w:val="231F20"/>
              </w:rPr>
              <w:t>Accumulated</w:t>
            </w:r>
          </w:p>
        </w:tc>
        <w:tc>
          <w:tcPr>
            <w:tcW w:w="160" w:type="dxa"/>
            <w:vAlign w:val="bottom"/>
          </w:tcPr>
          <w:p>
            <w:pPr>
              <w:spacing w:after="0"/>
              <w:rPr>
                <w:sz w:val="13"/>
                <w:szCs w:val="13"/>
                <w:color w:val="auto"/>
              </w:rPr>
            </w:pPr>
          </w:p>
        </w:tc>
        <w:tc>
          <w:tcPr>
            <w:tcW w:w="820" w:type="dxa"/>
            <w:vAlign w:val="bottom"/>
            <w:tcBorders>
              <w:right w:val="single" w:sz="8" w:color="231F20"/>
            </w:tcBorders>
          </w:tcPr>
          <w:p>
            <w:pPr>
              <w:jc w:val="right"/>
              <w:ind w:right="26"/>
              <w:spacing w:after="0" w:line="157" w:lineRule="exact"/>
              <w:rPr>
                <w:sz w:val="20"/>
                <w:szCs w:val="20"/>
                <w:color w:val="auto"/>
              </w:rPr>
            </w:pPr>
            <w:r>
              <w:rPr>
                <w:rFonts w:ascii="Arial" w:cs="Arial" w:eastAsia="Arial" w:hAnsi="Arial"/>
                <w:sz w:val="15"/>
                <w:szCs w:val="15"/>
                <w:color w:val="231F20"/>
              </w:rPr>
              <w:t>Net Book</w:t>
            </w:r>
          </w:p>
        </w:tc>
        <w:tc>
          <w:tcPr>
            <w:tcW w:w="16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5"/>
                <w:szCs w:val="15"/>
                <w:color w:val="231F20"/>
              </w:rPr>
              <w:t>Carrying</w:t>
            </w:r>
          </w:p>
        </w:tc>
        <w:tc>
          <w:tcPr>
            <w:tcW w:w="20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5"/>
                <w:szCs w:val="15"/>
                <w:color w:val="231F20"/>
              </w:rPr>
              <w:t>Accumulated</w:t>
            </w:r>
          </w:p>
        </w:tc>
        <w:tc>
          <w:tcPr>
            <w:tcW w:w="16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5"/>
                <w:szCs w:val="15"/>
                <w:color w:val="231F20"/>
              </w:rPr>
              <w:t>Net Book</w:t>
            </w:r>
          </w:p>
        </w:tc>
      </w:tr>
      <w:tr>
        <w:trPr>
          <w:trHeight w:val="207"/>
        </w:trPr>
        <w:tc>
          <w:tcPr>
            <w:tcW w:w="3080" w:type="dxa"/>
            <w:vAlign w:val="bottom"/>
            <w:tcBorders>
              <w:bottom w:val="single" w:sz="8" w:color="231F20"/>
              <w:right w:val="single" w:sz="8" w:color="231F20"/>
            </w:tcBorders>
          </w:tcPr>
          <w:p>
            <w:pPr>
              <w:jc w:val="right"/>
              <w:spacing w:after="0" w:line="206"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Amounts</w:t>
            </w:r>
          </w:p>
        </w:tc>
        <w:tc>
          <w:tcPr>
            <w:tcW w:w="2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Amortization</w:t>
            </w:r>
          </w:p>
        </w:tc>
        <w:tc>
          <w:tcPr>
            <w:tcW w:w="16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right w:val="single" w:sz="8" w:color="231F20"/>
            </w:tcBorders>
          </w:tcPr>
          <w:p>
            <w:pPr>
              <w:jc w:val="right"/>
              <w:ind w:right="26"/>
              <w:spacing w:after="0"/>
              <w:rPr>
                <w:sz w:val="20"/>
                <w:szCs w:val="20"/>
                <w:color w:val="auto"/>
              </w:rPr>
            </w:pPr>
            <w:r>
              <w:rPr>
                <w:rFonts w:ascii="Arial" w:cs="Arial" w:eastAsia="Arial" w:hAnsi="Arial"/>
                <w:sz w:val="15"/>
                <w:szCs w:val="15"/>
                <w:color w:val="231F20"/>
              </w:rPr>
              <w:t>Value</w:t>
            </w:r>
          </w:p>
        </w:tc>
        <w:tc>
          <w:tcPr>
            <w:tcW w:w="16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Amounts</w:t>
            </w:r>
          </w:p>
        </w:tc>
        <w:tc>
          <w:tcPr>
            <w:tcW w:w="2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Amortization</w:t>
            </w:r>
          </w:p>
        </w:tc>
        <w:tc>
          <w:tcPr>
            <w:tcW w:w="16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Value</w:t>
            </w:r>
          </w:p>
        </w:tc>
      </w:tr>
      <w:tr>
        <w:trPr>
          <w:trHeight w:val="203"/>
        </w:trPr>
        <w:tc>
          <w:tcPr>
            <w:tcW w:w="3080" w:type="dxa"/>
            <w:vAlign w:val="bottom"/>
            <w:tcBorders>
              <w:right w:val="single" w:sz="8" w:color="231F20"/>
            </w:tcBorders>
          </w:tcPr>
          <w:p>
            <w:pPr>
              <w:jc w:val="right"/>
              <w:spacing w:after="0" w:line="203" w:lineRule="exact"/>
              <w:rPr>
                <w:sz w:val="20"/>
                <w:szCs w:val="20"/>
                <w:color w:val="auto"/>
              </w:rPr>
            </w:pPr>
            <w:r>
              <w:rPr>
                <w:rFonts w:ascii="Arial" w:cs="Arial" w:eastAsia="Arial" w:hAnsi="Arial"/>
                <w:sz w:val="20"/>
                <w:szCs w:val="20"/>
                <w:color w:val="231F20"/>
                <w:w w:val="99"/>
              </w:rPr>
              <w:t xml:space="preserve">Indefinite-lived tradenames </w:t>
            </w:r>
            <w:r>
              <w:rPr>
                <w:rFonts w:ascii="Times New Roman" w:cs="Times New Roman" w:eastAsia="Times New Roman" w:hAnsi="Times New Roman"/>
                <w:sz w:val="20"/>
                <w:szCs w:val="20"/>
                <w:color w:val="231F20"/>
                <w:w w:val="99"/>
              </w:rPr>
              <w:t>............</w:t>
            </w:r>
          </w:p>
        </w:tc>
        <w:tc>
          <w:tcPr>
            <w:tcW w:w="220" w:type="dxa"/>
            <w:vAlign w:val="bottom"/>
          </w:tcPr>
          <w:p>
            <w:pPr>
              <w:jc w:val="right"/>
              <w:ind w:right="21"/>
              <w:spacing w:after="0" w:line="204" w:lineRule="exact"/>
              <w:rPr>
                <w:sz w:val="20"/>
                <w:szCs w:val="20"/>
                <w:color w:val="auto"/>
              </w:rPr>
            </w:pPr>
            <w:r>
              <w:rPr>
                <w:rFonts w:ascii="Arial" w:cs="Arial" w:eastAsia="Arial" w:hAnsi="Arial"/>
                <w:sz w:val="20"/>
                <w:szCs w:val="20"/>
                <w:color w:val="231F20"/>
                <w:w w:val="71"/>
              </w:rPr>
              <w:t>$</w:t>
            </w:r>
          </w:p>
        </w:tc>
        <w:tc>
          <w:tcPr>
            <w:tcW w:w="820" w:type="dxa"/>
            <w:vAlign w:val="bottom"/>
          </w:tcPr>
          <w:p>
            <w:pPr>
              <w:jc w:val="right"/>
              <w:spacing w:after="0" w:line="204" w:lineRule="exact"/>
              <w:rPr>
                <w:sz w:val="20"/>
                <w:szCs w:val="20"/>
                <w:color w:val="auto"/>
              </w:rPr>
            </w:pPr>
            <w:r>
              <w:rPr>
                <w:rFonts w:ascii="Arial" w:cs="Arial" w:eastAsia="Arial" w:hAnsi="Arial"/>
                <w:sz w:val="20"/>
                <w:szCs w:val="20"/>
                <w:color w:val="231F20"/>
              </w:rPr>
              <w:t>520.1</w:t>
            </w:r>
          </w:p>
        </w:tc>
        <w:tc>
          <w:tcPr>
            <w:tcW w:w="220" w:type="dxa"/>
            <w:vAlign w:val="bottom"/>
          </w:tcPr>
          <w:p>
            <w:pPr>
              <w:jc w:val="right"/>
              <w:spacing w:after="0" w:line="204" w:lineRule="exact"/>
              <w:rPr>
                <w:sz w:val="20"/>
                <w:szCs w:val="20"/>
                <w:color w:val="auto"/>
              </w:rPr>
            </w:pPr>
            <w:r>
              <w:rPr>
                <w:rFonts w:ascii="Arial" w:cs="Arial" w:eastAsia="Arial" w:hAnsi="Arial"/>
                <w:sz w:val="20"/>
                <w:szCs w:val="20"/>
                <w:color w:val="231F20"/>
              </w:rPr>
              <w:t>$</w:t>
            </w:r>
          </w:p>
        </w:tc>
        <w:tc>
          <w:tcPr>
            <w:tcW w:w="1180" w:type="dxa"/>
            <w:vAlign w:val="bottom"/>
            <w:gridSpan w:val="2"/>
          </w:tcPr>
          <w:p>
            <w:pPr>
              <w:jc w:val="right"/>
              <w:spacing w:after="0" w:line="204" w:lineRule="exact"/>
              <w:rPr>
                <w:sz w:val="20"/>
                <w:szCs w:val="20"/>
                <w:color w:val="auto"/>
              </w:rPr>
            </w:pPr>
            <w:r>
              <w:rPr>
                <w:rFonts w:ascii="Arial" w:cs="Arial" w:eastAsia="Arial" w:hAnsi="Arial"/>
                <w:sz w:val="20"/>
                <w:szCs w:val="20"/>
                <w:color w:val="231F20"/>
              </w:rPr>
              <w:t>— $</w:t>
            </w:r>
          </w:p>
        </w:tc>
        <w:tc>
          <w:tcPr>
            <w:tcW w:w="820" w:type="dxa"/>
            <w:vAlign w:val="bottom"/>
            <w:tcBorders>
              <w:right w:val="single" w:sz="8" w:color="231F20"/>
            </w:tcBorders>
          </w:tcPr>
          <w:p>
            <w:pPr>
              <w:jc w:val="right"/>
              <w:ind w:right="26"/>
              <w:spacing w:after="0" w:line="204" w:lineRule="exact"/>
              <w:rPr>
                <w:sz w:val="20"/>
                <w:szCs w:val="20"/>
                <w:color w:val="auto"/>
              </w:rPr>
            </w:pPr>
            <w:r>
              <w:rPr>
                <w:rFonts w:ascii="Arial" w:cs="Arial" w:eastAsia="Arial" w:hAnsi="Arial"/>
                <w:sz w:val="20"/>
                <w:szCs w:val="20"/>
                <w:color w:val="231F20"/>
              </w:rPr>
              <w:t>520.1</w:t>
            </w:r>
          </w:p>
        </w:tc>
        <w:tc>
          <w:tcPr>
            <w:tcW w:w="160" w:type="dxa"/>
            <w:vAlign w:val="bottom"/>
          </w:tcPr>
          <w:p>
            <w:pPr>
              <w:jc w:val="right"/>
              <w:spacing w:after="0" w:line="204" w:lineRule="exact"/>
              <w:rPr>
                <w:sz w:val="20"/>
                <w:szCs w:val="20"/>
                <w:color w:val="auto"/>
              </w:rPr>
            </w:pPr>
            <w:r>
              <w:rPr>
                <w:rFonts w:ascii="Arial" w:cs="Arial" w:eastAsia="Arial" w:hAnsi="Arial"/>
                <w:sz w:val="20"/>
                <w:szCs w:val="20"/>
                <w:color w:val="231F20"/>
                <w:w w:val="71"/>
              </w:rPr>
              <w:t>$</w:t>
            </w:r>
          </w:p>
        </w:tc>
        <w:tc>
          <w:tcPr>
            <w:tcW w:w="780" w:type="dxa"/>
            <w:vAlign w:val="bottom"/>
          </w:tcPr>
          <w:p>
            <w:pPr>
              <w:jc w:val="right"/>
              <w:spacing w:after="0" w:line="204" w:lineRule="exact"/>
              <w:rPr>
                <w:sz w:val="20"/>
                <w:szCs w:val="20"/>
                <w:color w:val="auto"/>
              </w:rPr>
            </w:pPr>
            <w:r>
              <w:rPr>
                <w:rFonts w:ascii="Arial" w:cs="Arial" w:eastAsia="Arial" w:hAnsi="Arial"/>
                <w:sz w:val="20"/>
                <w:szCs w:val="20"/>
                <w:color w:val="231F20"/>
              </w:rPr>
              <w:t>478.1</w:t>
            </w:r>
          </w:p>
        </w:tc>
        <w:tc>
          <w:tcPr>
            <w:tcW w:w="200" w:type="dxa"/>
            <w:vAlign w:val="bottom"/>
          </w:tcPr>
          <w:p>
            <w:pPr>
              <w:jc w:val="right"/>
              <w:spacing w:after="0" w:line="204" w:lineRule="exact"/>
              <w:rPr>
                <w:sz w:val="20"/>
                <w:szCs w:val="20"/>
                <w:color w:val="auto"/>
              </w:rPr>
            </w:pPr>
            <w:r>
              <w:rPr>
                <w:rFonts w:ascii="Arial" w:cs="Arial" w:eastAsia="Arial" w:hAnsi="Arial"/>
                <w:sz w:val="20"/>
                <w:szCs w:val="20"/>
                <w:color w:val="231F20"/>
              </w:rPr>
              <w:t>$</w:t>
            </w:r>
          </w:p>
        </w:tc>
        <w:tc>
          <w:tcPr>
            <w:tcW w:w="1140" w:type="dxa"/>
            <w:vAlign w:val="bottom"/>
            <w:gridSpan w:val="2"/>
          </w:tcPr>
          <w:p>
            <w:pPr>
              <w:jc w:val="right"/>
              <w:spacing w:after="0" w:line="204" w:lineRule="exact"/>
              <w:rPr>
                <w:sz w:val="20"/>
                <w:szCs w:val="20"/>
                <w:color w:val="auto"/>
              </w:rPr>
            </w:pPr>
            <w:r>
              <w:rPr>
                <w:rFonts w:ascii="Arial" w:cs="Arial" w:eastAsia="Arial" w:hAnsi="Arial"/>
                <w:sz w:val="20"/>
                <w:szCs w:val="20"/>
                <w:color w:val="231F20"/>
              </w:rPr>
              <w:t>— $</w:t>
            </w:r>
          </w:p>
        </w:tc>
        <w:tc>
          <w:tcPr>
            <w:tcW w:w="820" w:type="dxa"/>
            <w:vAlign w:val="bottom"/>
          </w:tcPr>
          <w:p>
            <w:pPr>
              <w:jc w:val="right"/>
              <w:spacing w:after="0" w:line="204" w:lineRule="exact"/>
              <w:rPr>
                <w:sz w:val="20"/>
                <w:szCs w:val="20"/>
                <w:color w:val="auto"/>
              </w:rPr>
            </w:pPr>
            <w:r>
              <w:rPr>
                <w:rFonts w:ascii="Arial" w:cs="Arial" w:eastAsia="Arial" w:hAnsi="Arial"/>
                <w:sz w:val="20"/>
                <w:szCs w:val="20"/>
                <w:color w:val="231F20"/>
              </w:rPr>
              <w:t>478.1</w:t>
            </w:r>
          </w:p>
        </w:tc>
      </w:tr>
      <w:tr>
        <w:trPr>
          <w:trHeight w:val="209"/>
        </w:trPr>
        <w:tc>
          <w:tcPr>
            <w:tcW w:w="3080" w:type="dxa"/>
            <w:vAlign w:val="bottom"/>
            <w:tcBorders>
              <w:right w:val="single" w:sz="8" w:color="231F20"/>
            </w:tcBorders>
          </w:tcPr>
          <w:p>
            <w:pPr>
              <w:jc w:val="right"/>
              <w:ind w:right="363"/>
              <w:spacing w:after="0" w:line="189" w:lineRule="exact"/>
              <w:rPr>
                <w:sz w:val="20"/>
                <w:szCs w:val="20"/>
                <w:color w:val="auto"/>
              </w:rPr>
            </w:pPr>
            <w:r>
              <w:rPr>
                <w:rFonts w:ascii="Arial" w:cs="Arial" w:eastAsia="Arial" w:hAnsi="Arial"/>
                <w:sz w:val="20"/>
                <w:szCs w:val="20"/>
                <w:color w:val="231F20"/>
                <w:w w:val="99"/>
              </w:rPr>
              <w:t>Amortizable intangible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3"/>
        </w:trPr>
        <w:tc>
          <w:tcPr>
            <w:tcW w:w="3080" w:type="dxa"/>
            <w:vAlign w:val="bottom"/>
            <w:tcBorders>
              <w:right w:val="single" w:sz="8" w:color="231F20"/>
            </w:tcBorders>
          </w:tcPr>
          <w:p>
            <w:pPr>
              <w:jc w:val="right"/>
              <w:spacing w:after="0" w:line="213" w:lineRule="exact"/>
              <w:rPr>
                <w:sz w:val="20"/>
                <w:szCs w:val="20"/>
                <w:color w:val="auto"/>
              </w:rPr>
            </w:pPr>
            <w:r>
              <w:rPr>
                <w:rFonts w:ascii="Arial" w:cs="Arial" w:eastAsia="Arial" w:hAnsi="Arial"/>
                <w:sz w:val="20"/>
                <w:szCs w:val="20"/>
                <w:color w:val="231F20"/>
              </w:rPr>
              <w:t xml:space="preserve">Tradenames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820" w:type="dxa"/>
            <w:vAlign w:val="bottom"/>
          </w:tcPr>
          <w:p>
            <w:pPr>
              <w:jc w:val="right"/>
              <w:spacing w:after="0" w:line="212" w:lineRule="exact"/>
              <w:rPr>
                <w:sz w:val="20"/>
                <w:szCs w:val="20"/>
                <w:color w:val="auto"/>
              </w:rPr>
            </w:pPr>
            <w:r>
              <w:rPr>
                <w:rFonts w:ascii="Arial" w:cs="Arial" w:eastAsia="Arial" w:hAnsi="Arial"/>
                <w:sz w:val="20"/>
                <w:szCs w:val="20"/>
                <w:color w:val="231F20"/>
              </w:rPr>
              <w:t>58.4</w:t>
            </w:r>
          </w:p>
        </w:tc>
        <w:tc>
          <w:tcPr>
            <w:tcW w:w="220" w:type="dxa"/>
            <w:vAlign w:val="bottom"/>
          </w:tcPr>
          <w:p>
            <w:pPr>
              <w:spacing w:after="0"/>
              <w:rPr>
                <w:sz w:val="20"/>
                <w:szCs w:val="20"/>
                <w:color w:val="auto"/>
              </w:rPr>
            </w:pPr>
          </w:p>
        </w:tc>
        <w:tc>
          <w:tcPr>
            <w:tcW w:w="1020" w:type="dxa"/>
            <w:vAlign w:val="bottom"/>
          </w:tcPr>
          <w:p>
            <w:pPr>
              <w:jc w:val="right"/>
              <w:spacing w:after="0" w:line="212" w:lineRule="exact"/>
              <w:rPr>
                <w:sz w:val="20"/>
                <w:szCs w:val="20"/>
                <w:color w:val="auto"/>
              </w:rPr>
            </w:pPr>
            <w:r>
              <w:rPr>
                <w:rFonts w:ascii="Arial" w:cs="Arial" w:eastAsia="Arial" w:hAnsi="Arial"/>
                <w:sz w:val="20"/>
                <w:szCs w:val="20"/>
                <w:color w:val="231F20"/>
              </w:rPr>
              <w:t>(9.3)</w:t>
            </w:r>
          </w:p>
        </w:tc>
        <w:tc>
          <w:tcPr>
            <w:tcW w:w="160" w:type="dxa"/>
            <w:vAlign w:val="bottom"/>
          </w:tcPr>
          <w:p>
            <w:pPr>
              <w:spacing w:after="0"/>
              <w:rPr>
                <w:sz w:val="20"/>
                <w:szCs w:val="20"/>
                <w:color w:val="auto"/>
              </w:rPr>
            </w:pPr>
          </w:p>
        </w:tc>
        <w:tc>
          <w:tcPr>
            <w:tcW w:w="820" w:type="dxa"/>
            <w:vAlign w:val="bottom"/>
            <w:tcBorders>
              <w:right w:val="single" w:sz="8" w:color="231F20"/>
            </w:tcBorders>
          </w:tcPr>
          <w:p>
            <w:pPr>
              <w:jc w:val="right"/>
              <w:ind w:right="26"/>
              <w:spacing w:after="0" w:line="212" w:lineRule="exact"/>
              <w:rPr>
                <w:sz w:val="20"/>
                <w:szCs w:val="20"/>
                <w:color w:val="auto"/>
              </w:rPr>
            </w:pPr>
            <w:r>
              <w:rPr>
                <w:rFonts w:ascii="Arial" w:cs="Arial" w:eastAsia="Arial" w:hAnsi="Arial"/>
                <w:sz w:val="20"/>
                <w:szCs w:val="20"/>
                <w:color w:val="231F20"/>
              </w:rPr>
              <w:t>49.1</w:t>
            </w:r>
          </w:p>
        </w:tc>
        <w:tc>
          <w:tcPr>
            <w:tcW w:w="160" w:type="dxa"/>
            <w:vAlign w:val="bottom"/>
          </w:tcPr>
          <w:p>
            <w:pPr>
              <w:spacing w:after="0"/>
              <w:rPr>
                <w:sz w:val="20"/>
                <w:szCs w:val="20"/>
                <w:color w:val="auto"/>
              </w:rPr>
            </w:pPr>
          </w:p>
        </w:tc>
        <w:tc>
          <w:tcPr>
            <w:tcW w:w="780" w:type="dxa"/>
            <w:vAlign w:val="bottom"/>
          </w:tcPr>
          <w:p>
            <w:pPr>
              <w:jc w:val="right"/>
              <w:spacing w:after="0" w:line="212" w:lineRule="exact"/>
              <w:rPr>
                <w:sz w:val="20"/>
                <w:szCs w:val="20"/>
                <w:color w:val="auto"/>
              </w:rPr>
            </w:pPr>
            <w:r>
              <w:rPr>
                <w:rFonts w:ascii="Arial" w:cs="Arial" w:eastAsia="Arial" w:hAnsi="Arial"/>
                <w:sz w:val="20"/>
                <w:szCs w:val="20"/>
                <w:color w:val="231F20"/>
              </w:rPr>
              <w:t>47.5</w:t>
            </w:r>
          </w:p>
        </w:tc>
        <w:tc>
          <w:tcPr>
            <w:tcW w:w="200" w:type="dxa"/>
            <w:vAlign w:val="bottom"/>
          </w:tcPr>
          <w:p>
            <w:pPr>
              <w:spacing w:after="0"/>
              <w:rPr>
                <w:sz w:val="20"/>
                <w:szCs w:val="20"/>
                <w:color w:val="auto"/>
              </w:rPr>
            </w:pPr>
          </w:p>
        </w:tc>
        <w:tc>
          <w:tcPr>
            <w:tcW w:w="980" w:type="dxa"/>
            <w:vAlign w:val="bottom"/>
          </w:tcPr>
          <w:p>
            <w:pPr>
              <w:jc w:val="right"/>
              <w:spacing w:after="0" w:line="212" w:lineRule="exact"/>
              <w:rPr>
                <w:sz w:val="20"/>
                <w:szCs w:val="20"/>
                <w:color w:val="auto"/>
              </w:rPr>
            </w:pPr>
            <w:r>
              <w:rPr>
                <w:rFonts w:ascii="Arial" w:cs="Arial" w:eastAsia="Arial" w:hAnsi="Arial"/>
                <w:sz w:val="20"/>
                <w:szCs w:val="20"/>
                <w:color w:val="231F20"/>
              </w:rPr>
              <w:t>(6.8)</w:t>
            </w:r>
          </w:p>
        </w:tc>
        <w:tc>
          <w:tcPr>
            <w:tcW w:w="160" w:type="dxa"/>
            <w:vAlign w:val="bottom"/>
          </w:tcPr>
          <w:p>
            <w:pPr>
              <w:spacing w:after="0"/>
              <w:rPr>
                <w:sz w:val="20"/>
                <w:szCs w:val="20"/>
                <w:color w:val="auto"/>
              </w:rPr>
            </w:pPr>
          </w:p>
        </w:tc>
        <w:tc>
          <w:tcPr>
            <w:tcW w:w="820" w:type="dxa"/>
            <w:vAlign w:val="bottom"/>
          </w:tcPr>
          <w:p>
            <w:pPr>
              <w:jc w:val="right"/>
              <w:spacing w:after="0" w:line="212" w:lineRule="exact"/>
              <w:rPr>
                <w:sz w:val="20"/>
                <w:szCs w:val="20"/>
                <w:color w:val="auto"/>
              </w:rPr>
            </w:pPr>
            <w:r>
              <w:rPr>
                <w:rFonts w:ascii="Arial" w:cs="Arial" w:eastAsia="Arial" w:hAnsi="Arial"/>
                <w:sz w:val="20"/>
                <w:szCs w:val="20"/>
                <w:color w:val="231F20"/>
              </w:rPr>
              <w:t>40.7</w:t>
            </w:r>
          </w:p>
        </w:tc>
      </w:tr>
      <w:tr>
        <w:trPr>
          <w:trHeight w:val="233"/>
        </w:trPr>
        <w:tc>
          <w:tcPr>
            <w:tcW w:w="3080" w:type="dxa"/>
            <w:vAlign w:val="bottom"/>
            <w:tcBorders>
              <w:right w:val="single" w:sz="8" w:color="231F20"/>
            </w:tcBorders>
          </w:tcPr>
          <w:p>
            <w:pPr>
              <w:jc w:val="right"/>
              <w:spacing w:after="0" w:line="212" w:lineRule="exact"/>
              <w:rPr>
                <w:sz w:val="20"/>
                <w:szCs w:val="20"/>
                <w:color w:val="auto"/>
              </w:rPr>
            </w:pPr>
            <w:r>
              <w:rPr>
                <w:rFonts w:ascii="Arial" w:cs="Arial" w:eastAsia="Arial" w:hAnsi="Arial"/>
                <w:sz w:val="20"/>
                <w:szCs w:val="20"/>
                <w:color w:val="231F20"/>
              </w:rPr>
              <w:t>Customer and contractual relat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right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3"/>
        </w:trPr>
        <w:tc>
          <w:tcPr>
            <w:tcW w:w="3080" w:type="dxa"/>
            <w:vAlign w:val="bottom"/>
            <w:tcBorders>
              <w:right w:val="single" w:sz="8" w:color="231F20"/>
            </w:tcBorders>
          </w:tcPr>
          <w:p>
            <w:pPr>
              <w:jc w:val="right"/>
              <w:spacing w:after="0" w:line="213" w:lineRule="exact"/>
              <w:rPr>
                <w:sz w:val="20"/>
                <w:szCs w:val="20"/>
                <w:color w:val="auto"/>
              </w:rPr>
            </w:pPr>
            <w:r>
              <w:rPr>
                <w:rFonts w:ascii="Arial" w:cs="Arial" w:eastAsia="Arial" w:hAnsi="Arial"/>
                <w:sz w:val="20"/>
                <w:szCs w:val="20"/>
                <w:color w:val="231F20"/>
              </w:rPr>
              <w:t>ionships</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820" w:type="dxa"/>
            <w:vAlign w:val="bottom"/>
          </w:tcPr>
          <w:p>
            <w:pPr>
              <w:jc w:val="right"/>
              <w:spacing w:after="0" w:line="212" w:lineRule="exact"/>
              <w:rPr>
                <w:sz w:val="20"/>
                <w:szCs w:val="20"/>
                <w:color w:val="auto"/>
              </w:rPr>
            </w:pPr>
            <w:r>
              <w:rPr>
                <w:rFonts w:ascii="Arial" w:cs="Arial" w:eastAsia="Arial" w:hAnsi="Arial"/>
                <w:sz w:val="20"/>
                <w:szCs w:val="20"/>
                <w:color w:val="231F20"/>
              </w:rPr>
              <w:t>1,017.3</w:t>
            </w:r>
          </w:p>
        </w:tc>
        <w:tc>
          <w:tcPr>
            <w:tcW w:w="220" w:type="dxa"/>
            <w:vAlign w:val="bottom"/>
          </w:tcPr>
          <w:p>
            <w:pPr>
              <w:spacing w:after="0"/>
              <w:rPr>
                <w:sz w:val="20"/>
                <w:szCs w:val="20"/>
                <w:color w:val="auto"/>
              </w:rPr>
            </w:pPr>
          </w:p>
        </w:tc>
        <w:tc>
          <w:tcPr>
            <w:tcW w:w="1020" w:type="dxa"/>
            <w:vAlign w:val="bottom"/>
          </w:tcPr>
          <w:p>
            <w:pPr>
              <w:jc w:val="right"/>
              <w:spacing w:after="0" w:line="212" w:lineRule="exact"/>
              <w:rPr>
                <w:sz w:val="20"/>
                <w:szCs w:val="20"/>
                <w:color w:val="auto"/>
              </w:rPr>
            </w:pPr>
            <w:r>
              <w:rPr>
                <w:rFonts w:ascii="Arial" w:cs="Arial" w:eastAsia="Arial" w:hAnsi="Arial"/>
                <w:sz w:val="20"/>
                <w:szCs w:val="20"/>
                <w:color w:val="231F20"/>
              </w:rPr>
              <w:t>(289.4)</w:t>
            </w:r>
          </w:p>
        </w:tc>
        <w:tc>
          <w:tcPr>
            <w:tcW w:w="160" w:type="dxa"/>
            <w:vAlign w:val="bottom"/>
          </w:tcPr>
          <w:p>
            <w:pPr>
              <w:spacing w:after="0"/>
              <w:rPr>
                <w:sz w:val="20"/>
                <w:szCs w:val="20"/>
                <w:color w:val="auto"/>
              </w:rPr>
            </w:pPr>
          </w:p>
        </w:tc>
        <w:tc>
          <w:tcPr>
            <w:tcW w:w="820" w:type="dxa"/>
            <w:vAlign w:val="bottom"/>
            <w:tcBorders>
              <w:right w:val="single" w:sz="8" w:color="231F20"/>
            </w:tcBorders>
          </w:tcPr>
          <w:p>
            <w:pPr>
              <w:jc w:val="right"/>
              <w:ind w:right="26"/>
              <w:spacing w:after="0" w:line="212" w:lineRule="exact"/>
              <w:rPr>
                <w:sz w:val="20"/>
                <w:szCs w:val="20"/>
                <w:color w:val="auto"/>
              </w:rPr>
            </w:pPr>
            <w:r>
              <w:rPr>
                <w:rFonts w:ascii="Arial" w:cs="Arial" w:eastAsia="Arial" w:hAnsi="Arial"/>
                <w:sz w:val="20"/>
                <w:szCs w:val="20"/>
                <w:color w:val="231F20"/>
              </w:rPr>
              <w:t>727.9</w:t>
            </w:r>
          </w:p>
        </w:tc>
        <w:tc>
          <w:tcPr>
            <w:tcW w:w="160" w:type="dxa"/>
            <w:vAlign w:val="bottom"/>
          </w:tcPr>
          <w:p>
            <w:pPr>
              <w:spacing w:after="0"/>
              <w:rPr>
                <w:sz w:val="20"/>
                <w:szCs w:val="20"/>
                <w:color w:val="auto"/>
              </w:rPr>
            </w:pPr>
          </w:p>
        </w:tc>
        <w:tc>
          <w:tcPr>
            <w:tcW w:w="780" w:type="dxa"/>
            <w:vAlign w:val="bottom"/>
          </w:tcPr>
          <w:p>
            <w:pPr>
              <w:jc w:val="right"/>
              <w:spacing w:after="0" w:line="212" w:lineRule="exact"/>
              <w:rPr>
                <w:sz w:val="20"/>
                <w:szCs w:val="20"/>
                <w:color w:val="auto"/>
              </w:rPr>
            </w:pPr>
            <w:r>
              <w:rPr>
                <w:rFonts w:ascii="Arial" w:cs="Arial" w:eastAsia="Arial" w:hAnsi="Arial"/>
                <w:sz w:val="20"/>
                <w:szCs w:val="20"/>
                <w:color w:val="231F20"/>
              </w:rPr>
              <w:t>662.6</w:t>
            </w:r>
          </w:p>
        </w:tc>
        <w:tc>
          <w:tcPr>
            <w:tcW w:w="200" w:type="dxa"/>
            <w:vAlign w:val="bottom"/>
          </w:tcPr>
          <w:p>
            <w:pPr>
              <w:spacing w:after="0"/>
              <w:rPr>
                <w:sz w:val="20"/>
                <w:szCs w:val="20"/>
                <w:color w:val="auto"/>
              </w:rPr>
            </w:pPr>
          </w:p>
        </w:tc>
        <w:tc>
          <w:tcPr>
            <w:tcW w:w="980" w:type="dxa"/>
            <w:vAlign w:val="bottom"/>
          </w:tcPr>
          <w:p>
            <w:pPr>
              <w:jc w:val="right"/>
              <w:spacing w:after="0" w:line="212" w:lineRule="exact"/>
              <w:rPr>
                <w:sz w:val="20"/>
                <w:szCs w:val="20"/>
                <w:color w:val="auto"/>
              </w:rPr>
            </w:pPr>
            <w:r>
              <w:rPr>
                <w:rFonts w:ascii="Arial" w:cs="Arial" w:eastAsia="Arial" w:hAnsi="Arial"/>
                <w:sz w:val="20"/>
                <w:szCs w:val="20"/>
                <w:color w:val="231F20"/>
              </w:rPr>
              <w:t>(239.6)</w:t>
            </w:r>
          </w:p>
        </w:tc>
        <w:tc>
          <w:tcPr>
            <w:tcW w:w="160" w:type="dxa"/>
            <w:vAlign w:val="bottom"/>
          </w:tcPr>
          <w:p>
            <w:pPr>
              <w:spacing w:after="0"/>
              <w:rPr>
                <w:sz w:val="20"/>
                <w:szCs w:val="20"/>
                <w:color w:val="auto"/>
              </w:rPr>
            </w:pPr>
          </w:p>
        </w:tc>
        <w:tc>
          <w:tcPr>
            <w:tcW w:w="820" w:type="dxa"/>
            <w:vAlign w:val="bottom"/>
          </w:tcPr>
          <w:p>
            <w:pPr>
              <w:jc w:val="right"/>
              <w:spacing w:after="0" w:line="212" w:lineRule="exact"/>
              <w:rPr>
                <w:sz w:val="20"/>
                <w:szCs w:val="20"/>
                <w:color w:val="auto"/>
              </w:rPr>
            </w:pPr>
            <w:r>
              <w:rPr>
                <w:rFonts w:ascii="Arial" w:cs="Arial" w:eastAsia="Arial" w:hAnsi="Arial"/>
                <w:sz w:val="20"/>
                <w:szCs w:val="20"/>
                <w:color w:val="231F20"/>
              </w:rPr>
              <w:t>423.0</w:t>
            </w:r>
          </w:p>
        </w:tc>
      </w:tr>
      <w:tr>
        <w:trPr>
          <w:trHeight w:val="275"/>
        </w:trPr>
        <w:tc>
          <w:tcPr>
            <w:tcW w:w="308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Patents/proprietary technology</w:t>
            </w:r>
          </w:p>
        </w:tc>
        <w:tc>
          <w:tcPr>
            <w:tcW w:w="22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138.2</w:t>
            </w:r>
          </w:p>
        </w:tc>
        <w:tc>
          <w:tcPr>
            <w:tcW w:w="220" w:type="dxa"/>
            <w:vAlign w:val="bottom"/>
            <w:tcBorders>
              <w:bottom w:val="single" w:sz="8" w:color="231F20"/>
            </w:tcBorders>
          </w:tcPr>
          <w:p>
            <w:pPr>
              <w:spacing w:after="0"/>
              <w:rPr>
                <w:sz w:val="23"/>
                <w:szCs w:val="23"/>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(80.6)</w:t>
            </w:r>
          </w:p>
        </w:tc>
        <w:tc>
          <w:tcPr>
            <w:tcW w:w="16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right w:val="single" w:sz="8" w:color="231F20"/>
            </w:tcBorders>
          </w:tcPr>
          <w:p>
            <w:pPr>
              <w:jc w:val="right"/>
              <w:ind w:right="26"/>
              <w:spacing w:after="0"/>
              <w:rPr>
                <w:sz w:val="20"/>
                <w:szCs w:val="20"/>
                <w:color w:val="auto"/>
              </w:rPr>
            </w:pPr>
            <w:r>
              <w:rPr>
                <w:rFonts w:ascii="Arial" w:cs="Arial" w:eastAsia="Arial" w:hAnsi="Arial"/>
                <w:sz w:val="20"/>
                <w:szCs w:val="20"/>
                <w:color w:val="231F20"/>
              </w:rPr>
              <w:t>57.6</w:t>
            </w:r>
          </w:p>
        </w:tc>
        <w:tc>
          <w:tcPr>
            <w:tcW w:w="160" w:type="dxa"/>
            <w:vAlign w:val="bottom"/>
            <w:tcBorders>
              <w:bottom w:val="single" w:sz="8" w:color="231F20"/>
            </w:tcBorders>
          </w:tcPr>
          <w:p>
            <w:pPr>
              <w:spacing w:after="0"/>
              <w:rPr>
                <w:sz w:val="23"/>
                <w:szCs w:val="23"/>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128.5</w:t>
            </w:r>
          </w:p>
        </w:tc>
        <w:tc>
          <w:tcPr>
            <w:tcW w:w="200" w:type="dxa"/>
            <w:vAlign w:val="bottom"/>
            <w:tcBorders>
              <w:bottom w:val="single" w:sz="8" w:color="231F20"/>
            </w:tcBorders>
          </w:tcPr>
          <w:p>
            <w:pPr>
              <w:spacing w:after="0"/>
              <w:rPr>
                <w:sz w:val="23"/>
                <w:szCs w:val="23"/>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(69.5)</w:t>
            </w:r>
          </w:p>
        </w:tc>
        <w:tc>
          <w:tcPr>
            <w:tcW w:w="16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59.0</w:t>
            </w:r>
          </w:p>
        </w:tc>
      </w:tr>
      <w:tr>
        <w:trPr>
          <w:trHeight w:val="223"/>
        </w:trPr>
        <w:tc>
          <w:tcPr>
            <w:tcW w:w="3080" w:type="dxa"/>
            <w:vAlign w:val="bottom"/>
            <w:tcBorders>
              <w:bottom w:val="single" w:sz="8" w:color="231F20"/>
              <w:right w:val="single" w:sz="8" w:color="231F20"/>
            </w:tcBorders>
          </w:tcPr>
          <w:p>
            <w:pPr>
              <w:jc w:val="right"/>
              <w:spacing w:after="0" w:line="170" w:lineRule="exact"/>
              <w:rPr>
                <w:sz w:val="20"/>
                <w:szCs w:val="20"/>
                <w:color w:val="auto"/>
              </w:rPr>
            </w:pPr>
            <w:r>
              <w:rPr>
                <w:rFonts w:ascii="Arial" w:cs="Arial" w:eastAsia="Arial" w:hAnsi="Arial"/>
                <w:sz w:val="19"/>
                <w:szCs w:val="19"/>
                <w:color w:val="231F20"/>
              </w:rPr>
              <w:t>Total</w:t>
            </w:r>
            <w:r>
              <w:rPr>
                <w:rFonts w:ascii="Times New Roman" w:cs="Times New Roman" w:eastAsia="Times New Roman" w:hAnsi="Times New Roman"/>
                <w:sz w:val="19"/>
                <w:szCs w:val="19"/>
                <w:color w:val="231F20"/>
              </w:rPr>
              <w:t>..............................................</w:t>
            </w:r>
          </w:p>
        </w:tc>
        <w:tc>
          <w:tcPr>
            <w:tcW w:w="22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1,213.9</w:t>
            </w:r>
          </w:p>
        </w:tc>
        <w:tc>
          <w:tcPr>
            <w:tcW w:w="22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(379.3)</w:t>
            </w:r>
          </w:p>
        </w:tc>
        <w:tc>
          <w:tcPr>
            <w:tcW w:w="16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right w:val="single" w:sz="8" w:color="231F20"/>
            </w:tcBorders>
          </w:tcPr>
          <w:p>
            <w:pPr>
              <w:jc w:val="right"/>
              <w:ind w:right="26"/>
              <w:spacing w:after="0" w:line="170" w:lineRule="exact"/>
              <w:rPr>
                <w:sz w:val="20"/>
                <w:szCs w:val="20"/>
                <w:color w:val="auto"/>
              </w:rPr>
            </w:pPr>
            <w:r>
              <w:rPr>
                <w:rFonts w:ascii="Arial" w:cs="Arial" w:eastAsia="Arial" w:hAnsi="Arial"/>
                <w:sz w:val="19"/>
                <w:szCs w:val="19"/>
                <w:color w:val="231F20"/>
              </w:rPr>
              <w:t>834.6</w:t>
            </w:r>
          </w:p>
        </w:tc>
        <w:tc>
          <w:tcPr>
            <w:tcW w:w="16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838.6</w:t>
            </w:r>
          </w:p>
        </w:tc>
        <w:tc>
          <w:tcPr>
            <w:tcW w:w="200" w:type="dxa"/>
            <w:vAlign w:val="bottom"/>
            <w:tcBorders>
              <w:bottom w:val="single" w:sz="8" w:color="231F20"/>
            </w:tcBorders>
          </w:tcPr>
          <w:p>
            <w:pPr>
              <w:spacing w:after="0"/>
              <w:rPr>
                <w:sz w:val="19"/>
                <w:szCs w:val="19"/>
                <w:color w:val="auto"/>
              </w:rPr>
            </w:pPr>
          </w:p>
        </w:tc>
        <w:tc>
          <w:tcPr>
            <w:tcW w:w="98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(315.9)</w:t>
            </w:r>
          </w:p>
        </w:tc>
        <w:tc>
          <w:tcPr>
            <w:tcW w:w="16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522.7</w:t>
            </w:r>
          </w:p>
        </w:tc>
      </w:tr>
      <w:tr>
        <w:trPr>
          <w:trHeight w:val="248"/>
        </w:trPr>
        <w:tc>
          <w:tcPr>
            <w:tcW w:w="3080" w:type="dxa"/>
            <w:vAlign w:val="bottom"/>
            <w:tcBorders>
              <w:bottom w:val="single" w:sz="8" w:color="231F20"/>
              <w:right w:val="single" w:sz="8" w:color="231F20"/>
            </w:tcBorders>
          </w:tcPr>
          <w:p>
            <w:pPr>
              <w:jc w:val="right"/>
              <w:spacing w:after="0" w:line="170" w:lineRule="exact"/>
              <w:rPr>
                <w:sz w:val="20"/>
                <w:szCs w:val="20"/>
                <w:color w:val="auto"/>
              </w:rPr>
            </w:pPr>
            <w:r>
              <w:rPr>
                <w:rFonts w:ascii="Arial" w:cs="Arial" w:eastAsia="Arial" w:hAnsi="Arial"/>
                <w:sz w:val="19"/>
                <w:szCs w:val="19"/>
                <w:color w:val="231F20"/>
              </w:rPr>
              <w:t>Total identifiable intangibles</w:t>
            </w:r>
            <w:r>
              <w:rPr>
                <w:rFonts w:ascii="Times New Roman" w:cs="Times New Roman" w:eastAsia="Times New Roman" w:hAnsi="Times New Roman"/>
                <w:sz w:val="19"/>
                <w:szCs w:val="19"/>
                <w:color w:val="231F20"/>
              </w:rPr>
              <w:t>...........</w:t>
            </w:r>
          </w:p>
        </w:tc>
        <w:tc>
          <w:tcPr>
            <w:tcW w:w="220" w:type="dxa"/>
            <w:vAlign w:val="bottom"/>
            <w:tcBorders>
              <w:bottom w:val="single" w:sz="8" w:color="231F20"/>
            </w:tcBorders>
          </w:tcPr>
          <w:p>
            <w:pPr>
              <w:jc w:val="right"/>
              <w:ind w:right="21"/>
              <w:spacing w:after="0" w:line="170" w:lineRule="exact"/>
              <w:rPr>
                <w:sz w:val="20"/>
                <w:szCs w:val="20"/>
                <w:color w:val="auto"/>
              </w:rPr>
            </w:pPr>
            <w:r>
              <w:rPr>
                <w:rFonts w:ascii="Arial" w:cs="Arial" w:eastAsia="Arial" w:hAnsi="Arial"/>
                <w:sz w:val="19"/>
                <w:szCs w:val="19"/>
                <w:color w:val="231F20"/>
                <w:w w:val="75"/>
              </w:rPr>
              <w:t>$</w:t>
            </w:r>
          </w:p>
        </w:tc>
        <w:tc>
          <w:tcPr>
            <w:tcW w:w="82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1,734.0</w:t>
            </w:r>
          </w:p>
        </w:tc>
        <w:tc>
          <w:tcPr>
            <w:tcW w:w="22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w:t>
            </w:r>
          </w:p>
        </w:tc>
        <w:tc>
          <w:tcPr>
            <w:tcW w:w="102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(379.3)</w:t>
            </w:r>
          </w:p>
        </w:tc>
        <w:tc>
          <w:tcPr>
            <w:tcW w:w="16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w w:val="94"/>
              </w:rPr>
              <w:t>$</w:t>
            </w:r>
          </w:p>
        </w:tc>
        <w:tc>
          <w:tcPr>
            <w:tcW w:w="820" w:type="dxa"/>
            <w:vAlign w:val="bottom"/>
            <w:tcBorders>
              <w:bottom w:val="single" w:sz="8" w:color="231F20"/>
              <w:right w:val="single" w:sz="8" w:color="231F20"/>
            </w:tcBorders>
          </w:tcPr>
          <w:p>
            <w:pPr>
              <w:jc w:val="right"/>
              <w:ind w:right="26"/>
              <w:spacing w:after="0" w:line="170" w:lineRule="exact"/>
              <w:rPr>
                <w:sz w:val="20"/>
                <w:szCs w:val="20"/>
                <w:color w:val="auto"/>
              </w:rPr>
            </w:pPr>
            <w:r>
              <w:rPr>
                <w:rFonts w:ascii="Arial" w:cs="Arial" w:eastAsia="Arial" w:hAnsi="Arial"/>
                <w:sz w:val="19"/>
                <w:szCs w:val="19"/>
                <w:color w:val="231F20"/>
              </w:rPr>
              <w:t>1,354.7</w:t>
            </w:r>
          </w:p>
        </w:tc>
        <w:tc>
          <w:tcPr>
            <w:tcW w:w="16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w w:val="75"/>
              </w:rPr>
              <w:t>$</w:t>
            </w:r>
          </w:p>
        </w:tc>
        <w:tc>
          <w:tcPr>
            <w:tcW w:w="78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1,316.7</w:t>
            </w:r>
          </w:p>
        </w:tc>
        <w:tc>
          <w:tcPr>
            <w:tcW w:w="20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w:t>
            </w:r>
          </w:p>
        </w:tc>
        <w:tc>
          <w:tcPr>
            <w:tcW w:w="98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(315.9)</w:t>
            </w:r>
          </w:p>
        </w:tc>
        <w:tc>
          <w:tcPr>
            <w:tcW w:w="16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w w:val="94"/>
              </w:rPr>
              <w:t>$</w:t>
            </w:r>
          </w:p>
        </w:tc>
        <w:tc>
          <w:tcPr>
            <w:tcW w:w="820" w:type="dxa"/>
            <w:vAlign w:val="bottom"/>
            <w:tcBorders>
              <w:bottom w:val="single" w:sz="8" w:color="231F20"/>
            </w:tcBorders>
          </w:tcPr>
          <w:p>
            <w:pPr>
              <w:jc w:val="right"/>
              <w:spacing w:after="0" w:line="170" w:lineRule="exact"/>
              <w:rPr>
                <w:sz w:val="20"/>
                <w:szCs w:val="20"/>
                <w:color w:val="auto"/>
              </w:rPr>
            </w:pPr>
            <w:r>
              <w:rPr>
                <w:rFonts w:ascii="Arial" w:cs="Arial" w:eastAsia="Arial" w:hAnsi="Arial"/>
                <w:sz w:val="19"/>
                <w:szCs w:val="19"/>
                <w:color w:val="231F20"/>
              </w:rPr>
              <w:t>1,000.8</w:t>
            </w:r>
          </w:p>
        </w:tc>
      </w:tr>
    </w:tbl>
    <w:p>
      <w:pPr>
        <w:spacing w:after="0" w:line="16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231F20"/>
        </w:rPr>
        <w:t>We had identifiable intangible assets, principally tradenames and customer relationships net of accumulated amortization, of $1,354.7 million and $1,000.8 million as of December 30, 2023 and December 31, 2022, respectively. The $417.3 million increase in gross identifiable intangible assets was primarily due to the acquisition the ASSA Businesses and foreign translation adjustments.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231F20"/>
        </w:rPr>
        <w:t>Amortizable intangible assets, principally customer relationships, are subject to amortization on a straight-line basis over their estimated useful life, ranging from 5 to 30 years, based on the assessment of a number of factors that may impact useful life, which include customer attrition rates and other relevant factors. We expect to record intangible amortization of approximately $72.0 million in 2024, $72.0 million in 2025, $71.0 million in 2026, $69.0 million in 2027 and $62.0 million in 2028.</w:t>
      </w:r>
    </w:p>
    <w:p>
      <w:pPr>
        <w:spacing w:after="0" w:line="128" w:lineRule="exact"/>
        <w:rPr>
          <w:sz w:val="20"/>
          <w:szCs w:val="20"/>
          <w:color w:val="auto"/>
        </w:rPr>
      </w:pPr>
    </w:p>
    <w:p>
      <w:pPr>
        <w:spacing w:after="0" w:line="251" w:lineRule="auto"/>
        <w:rPr>
          <w:sz w:val="20"/>
          <w:szCs w:val="20"/>
          <w:color w:val="auto"/>
        </w:rPr>
      </w:pPr>
      <w:r>
        <w:rPr>
          <w:rFonts w:ascii="Arial" w:cs="Arial" w:eastAsia="Arial" w:hAnsi="Arial"/>
          <w:sz w:val="20"/>
          <w:szCs w:val="20"/>
          <w:color w:val="231F20"/>
        </w:rPr>
        <w:t>During the fourth quarter of 2023, a reduction of revenue growth expectations, which were finalized during our annual planning process, led us to conclude that it was more likely than not that two indefinite-lived tradenames within our Outdoors segment were impaired. As a result of impairment tests performed, we recorded pre-tax impairment charges of $28.0 million and $5.5 million, respectively, related to the two indefinite-lived tradenames. As of December 30, 2023, the carrying values of these tradenames were $83.0 million and $12.5 million, respectively.</w:t>
      </w:r>
    </w:p>
    <w:p>
      <w:pPr>
        <w:spacing w:after="0" w:line="135"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231F20"/>
        </w:rPr>
        <w:t>The fair values of the impaired tradenames were measured using the relief-from-royalty approach, which estimates the present value of royalty income that could be hypothetically earned by licensing the tradename to a third party over its remaining useful life. Some of the more significant assumptions inherent in estimating the fair values include forecasted revenue growth rates, assumed royalty rates, and market-participant discount rates that reflect the level of risk associated with the tradenames’ future revenues and profitability. We selected the assumptions used in the financial forecasts using historical data, supplemented by current and anticipated market conditions, estimated growth rates and management plans. These assumptions represent level 3 inputs of the fair value hierarchy (refer to Note 10, "Fair Value Measurements").</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20"/>
          <w:szCs w:val="20"/>
          <w:color w:val="231F20"/>
        </w:rPr>
        <w:t>The significant assumptions used to estimate the fair value of the tradenames impaired during the year ended December 30, 2023 were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bottom w:val="single" w:sz="8" w:color="231F20"/>
            </w:tcBorders>
          </w:tcPr>
          <w:p>
            <w:pPr>
              <w:spacing w:after="0"/>
              <w:rPr>
                <w:sz w:val="17"/>
                <w:szCs w:val="17"/>
                <w:color w:val="auto"/>
              </w:rPr>
            </w:pPr>
          </w:p>
        </w:tc>
        <w:tc>
          <w:tcPr>
            <w:tcW w:w="42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right"/>
              <w:ind w:right="588"/>
              <w:spacing w:after="0"/>
              <w:rPr>
                <w:sz w:val="20"/>
                <w:szCs w:val="20"/>
                <w:color w:val="auto"/>
              </w:rPr>
            </w:pPr>
            <w:r>
              <w:rPr>
                <w:rFonts w:ascii="Arial" w:cs="Arial" w:eastAsia="Arial" w:hAnsi="Arial"/>
                <w:sz w:val="16"/>
                <w:szCs w:val="16"/>
                <w:color w:val="231F20"/>
              </w:rPr>
              <w:t>2023</w:t>
            </w:r>
          </w:p>
        </w:tc>
        <w:tc>
          <w:tcPr>
            <w:tcW w:w="3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Arial" w:cs="Arial" w:eastAsia="Arial" w:hAnsi="Arial"/>
                <w:sz w:val="15"/>
                <w:szCs w:val="15"/>
                <w:color w:val="231F20"/>
              </w:rPr>
              <w:t>Weighted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580" w:type="dxa"/>
            <w:vAlign w:val="bottom"/>
            <w:gridSpan w:val="2"/>
          </w:tcPr>
          <w:p>
            <w:pPr>
              <w:spacing w:after="0" w:line="206" w:lineRule="exact"/>
              <w:rPr>
                <w:sz w:val="20"/>
                <w:szCs w:val="20"/>
                <w:color w:val="auto"/>
              </w:rPr>
            </w:pPr>
            <w:r>
              <w:rPr>
                <w:rFonts w:ascii="Arial" w:cs="Arial" w:eastAsia="Arial" w:hAnsi="Arial"/>
                <w:sz w:val="15"/>
                <w:szCs w:val="15"/>
                <w:color w:val="231F20"/>
              </w:rPr>
              <w:t xml:space="preserve">Unobservable Input </w:t>
            </w:r>
            <w:r>
              <w:rPr>
                <w:rFonts w:ascii="Times New Roman" w:cs="Times New Roman" w:eastAsia="Times New Roman" w:hAnsi="Times New Roman"/>
                <w:sz w:val="20"/>
                <w:szCs w:val="20"/>
                <w:color w:val="231F20"/>
              </w:rPr>
              <w:t>.............................................................</w:t>
            </w:r>
          </w:p>
        </w:tc>
        <w:tc>
          <w:tcPr>
            <w:tcW w:w="1700" w:type="dxa"/>
            <w:vAlign w:val="bottom"/>
            <w:gridSpan w:val="2"/>
          </w:tcPr>
          <w:p>
            <w:pPr>
              <w:jc w:val="right"/>
              <w:ind w:right="420"/>
              <w:spacing w:after="0"/>
              <w:rPr>
                <w:sz w:val="20"/>
                <w:szCs w:val="20"/>
                <w:color w:val="auto"/>
              </w:rPr>
            </w:pPr>
            <w:r>
              <w:rPr>
                <w:rFonts w:ascii="Arial" w:cs="Arial" w:eastAsia="Arial" w:hAnsi="Arial"/>
                <w:sz w:val="15"/>
                <w:szCs w:val="15"/>
                <w:color w:val="231F20"/>
              </w:rPr>
              <w:t>Minimum</w:t>
            </w:r>
          </w:p>
        </w:tc>
        <w:tc>
          <w:tcPr>
            <w:tcW w:w="1820" w:type="dxa"/>
            <w:vAlign w:val="bottom"/>
            <w:gridSpan w:val="2"/>
          </w:tcPr>
          <w:p>
            <w:pPr>
              <w:jc w:val="right"/>
              <w:ind w:right="320"/>
              <w:spacing w:after="0"/>
              <w:rPr>
                <w:sz w:val="20"/>
                <w:szCs w:val="20"/>
                <w:color w:val="auto"/>
              </w:rPr>
            </w:pPr>
            <w:r>
              <w:rPr>
                <w:rFonts w:ascii="Arial" w:cs="Arial" w:eastAsia="Arial" w:hAnsi="Arial"/>
                <w:sz w:val="15"/>
                <w:szCs w:val="15"/>
                <w:color w:val="231F20"/>
              </w:rPr>
              <w:t>Maximum</w:t>
            </w:r>
          </w:p>
        </w:tc>
        <w:tc>
          <w:tcPr>
            <w:tcW w:w="1340" w:type="dxa"/>
            <w:vAlign w:val="bottom"/>
            <w:gridSpan w:val="2"/>
          </w:tcPr>
          <w:p>
            <w:pPr>
              <w:jc w:val="right"/>
              <w:ind w:right="180"/>
              <w:spacing w:after="0" w:line="207" w:lineRule="exact"/>
              <w:rPr>
                <w:sz w:val="20"/>
                <w:szCs w:val="20"/>
                <w:color w:val="auto"/>
              </w:rPr>
            </w:pPr>
            <w:r>
              <w:rPr>
                <w:rFonts w:ascii="Arial" w:cs="Arial" w:eastAsia="Arial" w:hAnsi="Arial"/>
                <w:sz w:val="15"/>
                <w:szCs w:val="15"/>
                <w:color w:val="231F20"/>
              </w:rPr>
              <w:t>Average</w:t>
            </w:r>
            <w:r>
              <w:rPr>
                <w:rFonts w:ascii="Arial" w:cs="Arial" w:eastAsia="Arial" w:hAnsi="Arial"/>
                <w:sz w:val="20"/>
                <w:szCs w:val="20"/>
                <w:color w:val="231F20"/>
                <w:vertAlign w:val="superscript"/>
              </w:rPr>
              <w:t>(a)</w:t>
            </w:r>
          </w:p>
        </w:tc>
        <w:tc>
          <w:tcPr>
            <w:tcW w:w="0" w:type="dxa"/>
            <w:vAlign w:val="bottom"/>
          </w:tcPr>
          <w:p>
            <w:pPr>
              <w:spacing w:after="0"/>
              <w:rPr>
                <w:sz w:val="1"/>
                <w:szCs w:val="1"/>
                <w:color w:val="auto"/>
              </w:rPr>
            </w:pPr>
          </w:p>
        </w:tc>
      </w:tr>
      <w:tr>
        <w:trPr>
          <w:trHeight w:val="20"/>
        </w:trPr>
        <w:tc>
          <w:tcPr>
            <w:tcW w:w="4440" w:type="dxa"/>
            <w:vAlign w:val="bottom"/>
            <w:shd w:val="clear" w:color="auto" w:fill="231F2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80" w:type="dxa"/>
            <w:vAlign w:val="bottom"/>
            <w:shd w:val="clear" w:color="auto" w:fill="231F2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231F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440" w:type="dxa"/>
            <w:vAlign w:val="bottom"/>
          </w:tcPr>
          <w:p>
            <w:pPr>
              <w:spacing w:after="0" w:line="202" w:lineRule="exact"/>
              <w:rPr>
                <w:sz w:val="20"/>
                <w:szCs w:val="20"/>
                <w:color w:val="auto"/>
              </w:rPr>
            </w:pPr>
            <w:r>
              <w:rPr>
                <w:rFonts w:ascii="Arial" w:cs="Arial" w:eastAsia="Arial" w:hAnsi="Arial"/>
                <w:sz w:val="20"/>
                <w:szCs w:val="20"/>
                <w:color w:val="231F20"/>
              </w:rPr>
              <w:t>Discount rates</w:t>
            </w:r>
            <w:r>
              <w:rPr>
                <w:rFonts w:ascii="Times New Roman" w:cs="Times New Roman" w:eastAsia="Times New Roman" w:hAnsi="Times New Roman"/>
                <w:sz w:val="20"/>
                <w:szCs w:val="20"/>
                <w:color w:val="231F20"/>
              </w:rPr>
              <w:t>..............................................................</w:t>
            </w:r>
          </w:p>
        </w:tc>
        <w:tc>
          <w:tcPr>
            <w:tcW w:w="140" w:type="dxa"/>
            <w:vAlign w:val="bottom"/>
            <w:vMerge w:val="continue"/>
          </w:tcPr>
          <w:p>
            <w:pPr>
              <w:spacing w:after="0"/>
              <w:rPr>
                <w:sz w:val="17"/>
                <w:szCs w:val="17"/>
                <w:color w:val="auto"/>
              </w:rPr>
            </w:pPr>
          </w:p>
        </w:tc>
        <w:tc>
          <w:tcPr>
            <w:tcW w:w="1700" w:type="dxa"/>
            <w:vAlign w:val="bottom"/>
            <w:gridSpan w:val="2"/>
          </w:tcPr>
          <w:p>
            <w:pPr>
              <w:jc w:val="right"/>
              <w:ind w:right="240"/>
              <w:spacing w:after="0" w:line="203" w:lineRule="exact"/>
              <w:rPr>
                <w:sz w:val="20"/>
                <w:szCs w:val="20"/>
                <w:color w:val="auto"/>
              </w:rPr>
            </w:pPr>
            <w:r>
              <w:rPr>
                <w:rFonts w:ascii="Arial" w:cs="Arial" w:eastAsia="Arial" w:hAnsi="Arial"/>
                <w:sz w:val="20"/>
                <w:szCs w:val="20"/>
                <w:color w:val="231F20"/>
              </w:rPr>
              <w:t>13.0%</w:t>
            </w:r>
          </w:p>
        </w:tc>
        <w:tc>
          <w:tcPr>
            <w:tcW w:w="1820" w:type="dxa"/>
            <w:vAlign w:val="bottom"/>
            <w:gridSpan w:val="2"/>
          </w:tcPr>
          <w:p>
            <w:pPr>
              <w:jc w:val="right"/>
              <w:ind w:right="140"/>
              <w:spacing w:after="0" w:line="203" w:lineRule="exact"/>
              <w:rPr>
                <w:sz w:val="20"/>
                <w:szCs w:val="20"/>
                <w:color w:val="auto"/>
              </w:rPr>
            </w:pPr>
            <w:r>
              <w:rPr>
                <w:rFonts w:ascii="Arial" w:cs="Arial" w:eastAsia="Arial" w:hAnsi="Arial"/>
                <w:sz w:val="20"/>
                <w:szCs w:val="20"/>
                <w:color w:val="231F20"/>
              </w:rPr>
              <w:t>14.5%</w:t>
            </w:r>
          </w:p>
        </w:tc>
        <w:tc>
          <w:tcPr>
            <w:tcW w:w="1340" w:type="dxa"/>
            <w:vAlign w:val="bottom"/>
            <w:gridSpan w:val="2"/>
          </w:tcPr>
          <w:p>
            <w:pPr>
              <w:jc w:val="right"/>
              <w:spacing w:after="0" w:line="203" w:lineRule="exact"/>
              <w:rPr>
                <w:sz w:val="20"/>
                <w:szCs w:val="20"/>
                <w:color w:val="auto"/>
              </w:rPr>
            </w:pPr>
            <w:r>
              <w:rPr>
                <w:rFonts w:ascii="Arial" w:cs="Arial" w:eastAsia="Arial" w:hAnsi="Arial"/>
                <w:sz w:val="20"/>
                <w:szCs w:val="20"/>
                <w:color w:val="231F20"/>
              </w:rPr>
              <w:t>14.3%</w:t>
            </w:r>
          </w:p>
        </w:tc>
        <w:tc>
          <w:tcPr>
            <w:tcW w:w="0" w:type="dxa"/>
            <w:vAlign w:val="bottom"/>
          </w:tcPr>
          <w:p>
            <w:pPr>
              <w:spacing w:after="0"/>
              <w:rPr>
                <w:sz w:val="1"/>
                <w:szCs w:val="1"/>
                <w:color w:val="auto"/>
              </w:rPr>
            </w:pPr>
          </w:p>
        </w:tc>
      </w:tr>
      <w:tr>
        <w:trPr>
          <w:trHeight w:val="233"/>
        </w:trPr>
        <w:tc>
          <w:tcPr>
            <w:tcW w:w="4580" w:type="dxa"/>
            <w:vAlign w:val="bottom"/>
            <w:gridSpan w:val="2"/>
          </w:tcPr>
          <w:p>
            <w:pPr>
              <w:spacing w:after="0" w:line="232" w:lineRule="exact"/>
              <w:rPr>
                <w:sz w:val="20"/>
                <w:szCs w:val="20"/>
                <w:color w:val="auto"/>
              </w:rPr>
            </w:pPr>
            <w:r>
              <w:rPr>
                <w:rFonts w:ascii="Arial" w:cs="Arial" w:eastAsia="Arial" w:hAnsi="Arial"/>
                <w:sz w:val="20"/>
                <w:szCs w:val="20"/>
                <w:color w:val="231F20"/>
              </w:rPr>
              <w:t>Royalty rates</w:t>
            </w:r>
            <w:r>
              <w:rPr>
                <w:rFonts w:ascii="Arial" w:cs="Arial" w:eastAsia="Arial" w:hAnsi="Arial"/>
                <w:sz w:val="26"/>
                <w:szCs w:val="26"/>
                <w:color w:val="231F20"/>
                <w:vertAlign w:val="superscript"/>
              </w:rPr>
              <w:t>(b)</w:t>
            </w:r>
            <w:r>
              <w:rPr>
                <w:rFonts w:ascii="Arial" w:cs="Arial" w:eastAsia="Arial" w:hAnsi="Arial"/>
                <w:sz w:val="20"/>
                <w:szCs w:val="20"/>
                <w:color w:val="231F20"/>
              </w:rPr>
              <w:t xml:space="preserve"> </w:t>
            </w:r>
            <w:r>
              <w:rPr>
                <w:rFonts w:ascii="Times New Roman" w:cs="Times New Roman" w:eastAsia="Times New Roman" w:hAnsi="Times New Roman"/>
                <w:sz w:val="20"/>
                <w:szCs w:val="20"/>
                <w:color w:val="231F20"/>
              </w:rPr>
              <w:t>.............................................................</w:t>
            </w:r>
          </w:p>
        </w:tc>
        <w:tc>
          <w:tcPr>
            <w:tcW w:w="1700" w:type="dxa"/>
            <w:vAlign w:val="bottom"/>
            <w:gridSpan w:val="2"/>
          </w:tcPr>
          <w:p>
            <w:pPr>
              <w:jc w:val="right"/>
              <w:ind w:right="240"/>
              <w:spacing w:after="0"/>
              <w:rPr>
                <w:sz w:val="20"/>
                <w:szCs w:val="20"/>
                <w:color w:val="auto"/>
              </w:rPr>
            </w:pPr>
            <w:r>
              <w:rPr>
                <w:rFonts w:ascii="Arial" w:cs="Arial" w:eastAsia="Arial" w:hAnsi="Arial"/>
                <w:sz w:val="20"/>
                <w:szCs w:val="20"/>
                <w:color w:val="231F20"/>
              </w:rPr>
              <w:t>2.5%</w:t>
            </w:r>
          </w:p>
        </w:tc>
        <w:tc>
          <w:tcPr>
            <w:tcW w:w="1820" w:type="dxa"/>
            <w:vAlign w:val="bottom"/>
            <w:gridSpan w:val="2"/>
          </w:tcPr>
          <w:p>
            <w:pPr>
              <w:jc w:val="right"/>
              <w:ind w:right="140"/>
              <w:spacing w:after="0"/>
              <w:rPr>
                <w:sz w:val="20"/>
                <w:szCs w:val="20"/>
                <w:color w:val="auto"/>
              </w:rPr>
            </w:pPr>
            <w:r>
              <w:rPr>
                <w:rFonts w:ascii="Arial" w:cs="Arial" w:eastAsia="Arial" w:hAnsi="Arial"/>
                <w:sz w:val="20"/>
                <w:szCs w:val="20"/>
                <w:color w:val="231F20"/>
              </w:rPr>
              <w:t>3.5%</w:t>
            </w:r>
          </w:p>
        </w:tc>
        <w:tc>
          <w:tcPr>
            <w:tcW w:w="1340" w:type="dxa"/>
            <w:vAlign w:val="bottom"/>
            <w:gridSpan w:val="2"/>
          </w:tcPr>
          <w:p>
            <w:pPr>
              <w:jc w:val="right"/>
              <w:spacing w:after="0"/>
              <w:rPr>
                <w:sz w:val="20"/>
                <w:szCs w:val="20"/>
                <w:color w:val="auto"/>
              </w:rPr>
            </w:pPr>
            <w:r>
              <w:rPr>
                <w:rFonts w:ascii="Arial" w:cs="Arial" w:eastAsia="Arial" w:hAnsi="Arial"/>
                <w:sz w:val="20"/>
                <w:szCs w:val="20"/>
                <w:color w:val="231F20"/>
              </w:rPr>
              <w:t>3.4%</w:t>
            </w:r>
          </w:p>
        </w:tc>
        <w:tc>
          <w:tcPr>
            <w:tcW w:w="0" w:type="dxa"/>
            <w:vAlign w:val="bottom"/>
          </w:tcPr>
          <w:p>
            <w:pPr>
              <w:spacing w:after="0"/>
              <w:rPr>
                <w:sz w:val="1"/>
                <w:szCs w:val="1"/>
                <w:color w:val="auto"/>
              </w:rPr>
            </w:pPr>
          </w:p>
        </w:tc>
      </w:tr>
      <w:tr>
        <w:trPr>
          <w:trHeight w:val="369"/>
        </w:trPr>
        <w:tc>
          <w:tcPr>
            <w:tcW w:w="4580" w:type="dxa"/>
            <w:vAlign w:val="bottom"/>
            <w:gridSpan w:val="2"/>
          </w:tcPr>
          <w:p>
            <w:pPr>
              <w:spacing w:after="0"/>
              <w:rPr>
                <w:sz w:val="20"/>
                <w:szCs w:val="20"/>
                <w:color w:val="auto"/>
              </w:rPr>
            </w:pPr>
            <w:r>
              <w:rPr>
                <w:rFonts w:ascii="Arial" w:cs="Arial" w:eastAsia="Arial" w:hAnsi="Arial"/>
                <w:sz w:val="20"/>
                <w:szCs w:val="20"/>
                <w:color w:val="231F20"/>
              </w:rPr>
              <w:t>Long-term revenue growth rates</w:t>
            </w:r>
            <w:r>
              <w:rPr>
                <w:rFonts w:ascii="Arial" w:cs="Arial" w:eastAsia="Arial" w:hAnsi="Arial"/>
                <w:sz w:val="26"/>
                <w:szCs w:val="26"/>
                <w:color w:val="231F20"/>
                <w:vertAlign w:val="superscript"/>
              </w:rPr>
              <w:t>(c)</w:t>
            </w:r>
            <w:r>
              <w:rPr>
                <w:rFonts w:ascii="Arial" w:cs="Arial" w:eastAsia="Arial" w:hAnsi="Arial"/>
                <w:sz w:val="20"/>
                <w:szCs w:val="20"/>
                <w:color w:val="231F20"/>
              </w:rPr>
              <w:t xml:space="preserve"> </w:t>
            </w:r>
            <w:r>
              <w:rPr>
                <w:rFonts w:ascii="Times New Roman" w:cs="Times New Roman" w:eastAsia="Times New Roman" w:hAnsi="Times New Roman"/>
                <w:sz w:val="20"/>
                <w:szCs w:val="20"/>
                <w:color w:val="231F20"/>
              </w:rPr>
              <w:t>...........................</w:t>
            </w:r>
          </w:p>
        </w:tc>
        <w:tc>
          <w:tcPr>
            <w:tcW w:w="1700" w:type="dxa"/>
            <w:vAlign w:val="bottom"/>
            <w:gridSpan w:val="2"/>
          </w:tcPr>
          <w:p>
            <w:pPr>
              <w:jc w:val="right"/>
              <w:ind w:right="240"/>
              <w:spacing w:after="0"/>
              <w:rPr>
                <w:sz w:val="20"/>
                <w:szCs w:val="20"/>
                <w:color w:val="auto"/>
              </w:rPr>
            </w:pPr>
            <w:r>
              <w:rPr>
                <w:rFonts w:ascii="Arial" w:cs="Arial" w:eastAsia="Arial" w:hAnsi="Arial"/>
                <w:sz w:val="20"/>
                <w:szCs w:val="20"/>
                <w:color w:val="231F20"/>
              </w:rPr>
              <w:t>2.0%</w:t>
            </w:r>
          </w:p>
        </w:tc>
        <w:tc>
          <w:tcPr>
            <w:tcW w:w="1820" w:type="dxa"/>
            <w:vAlign w:val="bottom"/>
            <w:gridSpan w:val="2"/>
          </w:tcPr>
          <w:p>
            <w:pPr>
              <w:jc w:val="right"/>
              <w:ind w:right="140"/>
              <w:spacing w:after="0"/>
              <w:rPr>
                <w:sz w:val="20"/>
                <w:szCs w:val="20"/>
                <w:color w:val="auto"/>
              </w:rPr>
            </w:pPr>
            <w:r>
              <w:rPr>
                <w:rFonts w:ascii="Arial" w:cs="Arial" w:eastAsia="Arial" w:hAnsi="Arial"/>
                <w:sz w:val="20"/>
                <w:szCs w:val="20"/>
                <w:color w:val="231F20"/>
              </w:rPr>
              <w:t>3.0%</w:t>
            </w:r>
          </w:p>
        </w:tc>
        <w:tc>
          <w:tcPr>
            <w:tcW w:w="1340" w:type="dxa"/>
            <w:vAlign w:val="bottom"/>
            <w:gridSpan w:val="2"/>
          </w:tcPr>
          <w:p>
            <w:pPr>
              <w:jc w:val="right"/>
              <w:spacing w:after="0"/>
              <w:rPr>
                <w:sz w:val="20"/>
                <w:szCs w:val="20"/>
                <w:color w:val="auto"/>
              </w:rPr>
            </w:pPr>
            <w:r>
              <w:rPr>
                <w:rFonts w:ascii="Arial" w:cs="Arial" w:eastAsia="Arial" w:hAnsi="Arial"/>
                <w:sz w:val="20"/>
                <w:szCs w:val="20"/>
                <w:color w:val="231F20"/>
              </w:rPr>
              <w:t>2.1%</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10"/>
          <w:szCs w:val="10"/>
          <w:i w:val="1"/>
          <w:iCs w:val="1"/>
          <w:color w:val="231F20"/>
        </w:rPr>
      </w:pPr>
      <w:r>
        <w:rPr>
          <w:rFonts w:ascii="Arial" w:cs="Arial" w:eastAsia="Arial" w:hAnsi="Arial"/>
          <w:sz w:val="16"/>
          <w:szCs w:val="16"/>
          <w:i w:val="1"/>
          <w:iCs w:val="1"/>
          <w:color w:val="231F20"/>
        </w:rPr>
        <w:t>Weighted by the relative fair value of the tradenames that were tested quantitatively.</w:t>
      </w:r>
    </w:p>
    <w:p>
      <w:pPr>
        <w:spacing w:after="0" w:line="16" w:lineRule="exact"/>
        <w:rPr>
          <w:rFonts w:ascii="Arial" w:cs="Arial" w:eastAsia="Arial" w:hAnsi="Arial"/>
          <w:sz w:val="10"/>
          <w:szCs w:val="10"/>
          <w:i w:val="1"/>
          <w:iCs w:val="1"/>
          <w:color w:val="231F20"/>
        </w:rPr>
      </w:pPr>
    </w:p>
    <w:p>
      <w:pPr>
        <w:ind w:left="320" w:hanging="314"/>
        <w:spacing w:after="0"/>
        <w:tabs>
          <w:tab w:leader="none" w:pos="320" w:val="left"/>
        </w:tabs>
        <w:numPr>
          <w:ilvl w:val="0"/>
          <w:numId w:val="30"/>
        </w:numPr>
        <w:rPr>
          <w:rFonts w:ascii="Arial" w:cs="Arial" w:eastAsia="Arial" w:hAnsi="Arial"/>
          <w:sz w:val="10"/>
          <w:szCs w:val="10"/>
          <w:i w:val="1"/>
          <w:iCs w:val="1"/>
          <w:color w:val="231F20"/>
        </w:rPr>
      </w:pPr>
      <w:r>
        <w:rPr>
          <w:rFonts w:ascii="Arial" w:cs="Arial" w:eastAsia="Arial" w:hAnsi="Arial"/>
          <w:sz w:val="16"/>
          <w:szCs w:val="16"/>
          <w:i w:val="1"/>
          <w:iCs w:val="1"/>
          <w:color w:val="231F20"/>
        </w:rPr>
        <w:t>Represents estimated percentage of sales a market-participant would pay to license the impaired tradenames.</w:t>
      </w:r>
    </w:p>
    <w:p>
      <w:pPr>
        <w:spacing w:after="0" w:line="2" w:lineRule="exact"/>
        <w:rPr>
          <w:rFonts w:ascii="Arial" w:cs="Arial" w:eastAsia="Arial" w:hAnsi="Arial"/>
          <w:sz w:val="10"/>
          <w:szCs w:val="10"/>
          <w:i w:val="1"/>
          <w:iCs w:val="1"/>
          <w:color w:val="231F20"/>
        </w:rPr>
      </w:pPr>
    </w:p>
    <w:p>
      <w:pPr>
        <w:ind w:left="320" w:hanging="314"/>
        <w:spacing w:after="0"/>
        <w:tabs>
          <w:tab w:leader="none" w:pos="320" w:val="left"/>
        </w:tabs>
        <w:numPr>
          <w:ilvl w:val="0"/>
          <w:numId w:val="30"/>
        </w:numPr>
        <w:rPr>
          <w:rFonts w:ascii="Arial" w:cs="Arial" w:eastAsia="Arial" w:hAnsi="Arial"/>
          <w:sz w:val="10"/>
          <w:szCs w:val="10"/>
          <w:i w:val="1"/>
          <w:iCs w:val="1"/>
          <w:color w:val="231F20"/>
        </w:rPr>
      </w:pPr>
      <w:r>
        <w:rPr>
          <w:rFonts w:ascii="Arial" w:cs="Arial" w:eastAsia="Arial" w:hAnsi="Arial"/>
          <w:sz w:val="16"/>
          <w:szCs w:val="16"/>
          <w:i w:val="1"/>
          <w:iCs w:val="1"/>
          <w:color w:val="231F20"/>
        </w:rPr>
        <w:t>Selected long-term revenue growth rate within 10-year projection period of the impaired tradenames.</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64</w:t>
      </w:r>
    </w:p>
    <w:p>
      <w:pPr>
        <w:sectPr>
          <w:pgSz w:w="12240" w:h="15840" w:orient="portrait"/>
          <w:cols w:equalWidth="0" w:num="1">
            <w:col w:w="9460"/>
          </w:cols>
          <w:pgMar w:left="1380" w:top="1346" w:right="1400" w:bottom="95" w:gutter="0" w:footer="0" w:header="0"/>
          <w:type w:val="continuous"/>
        </w:sectPr>
      </w:pPr>
    </w:p>
    <w:bookmarkStart w:id="72" w:name="page73"/>
    <w:bookmarkEnd w:id="72"/>
    <w:p>
      <w:pPr>
        <w:ind w:right="20"/>
        <w:spacing w:after="0" w:line="247" w:lineRule="auto"/>
        <w:rPr>
          <w:sz w:val="20"/>
          <w:szCs w:val="20"/>
          <w:color w:val="auto"/>
        </w:rPr>
      </w:pPr>
      <w:r>
        <w:rPr>
          <w:rFonts w:ascii="Arial" w:cs="Arial" w:eastAsia="Arial" w:hAnsi="Arial"/>
          <w:sz w:val="20"/>
          <w:szCs w:val="20"/>
          <w:color w:val="231F20"/>
        </w:rPr>
        <w:t>As of December 30, 2023, the fair values of two Outdoors tradenames were equal to their carrying value of $83.0 million and $12.5 million, respectively. A reduction in the estimated fair value of any of our tradenames could trigger impairment charges in future periods. Events or circumstances that could have a potential negative effect on the estimated fair value of our reporting units and indefinite-lived tradenames include: lower than forecasted revenues, actual new construction and repair and remodel growth rates that fall below our assumptions, actions of key customers, increases in discount rates, continued economic uncertainty, higher levels of unemployment, weak consumer confidence, lower levels of discretionary consumer spending, a decrease in royalty rates and a decline in the trading price of our common stock. We cannot predict the occurrence of certain events or changes in circumstances that might adversely affect the carrying value of goodwill and indefinite-lived assets.</w:t>
      </w:r>
    </w:p>
    <w:p>
      <w:pPr>
        <w:spacing w:after="0" w:line="188" w:lineRule="exact"/>
        <w:rPr>
          <w:sz w:val="20"/>
          <w:szCs w:val="20"/>
          <w:color w:val="auto"/>
        </w:rPr>
      </w:pPr>
    </w:p>
    <w:p>
      <w:pPr>
        <w:ind w:left="400" w:hanging="394"/>
        <w:spacing w:after="0"/>
        <w:tabs>
          <w:tab w:leader="none" w:pos="400" w:val="left"/>
        </w:tabs>
        <w:numPr>
          <w:ilvl w:val="0"/>
          <w:numId w:val="31"/>
        </w:numPr>
        <w:rPr>
          <w:rFonts w:ascii="Arial" w:cs="Arial" w:eastAsia="Arial" w:hAnsi="Arial"/>
          <w:sz w:val="20"/>
          <w:szCs w:val="20"/>
          <w:b w:val="1"/>
          <w:bCs w:val="1"/>
          <w:color w:val="231F20"/>
        </w:rPr>
      </w:pPr>
      <w:r>
        <w:rPr>
          <w:rFonts w:ascii="Arial" w:cs="Arial" w:eastAsia="Arial" w:hAnsi="Arial"/>
          <w:sz w:val="20"/>
          <w:szCs w:val="20"/>
          <w:b w:val="1"/>
          <w:bCs w:val="1"/>
          <w:color w:val="231F20"/>
        </w:rPr>
        <w:t>Leases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20"/>
          <w:szCs w:val="20"/>
          <w:color w:val="231F20"/>
        </w:rPr>
        <w:t>We have operating and finance leases for buildings and certain machinery and equipment. Operating leases are included in operating lease assets, other current liabilities and operating lease liabilities in our consolidated balance sheets. Amounts recognized for finance leases as of and for the years ended December 30, 2023 and December 31, 2022 were immaterial.</w:t>
      </w:r>
    </w:p>
    <w:p>
      <w:pPr>
        <w:spacing w:after="0" w:line="128"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231F20"/>
        </w:rPr>
        <w:t>Operating lease expense recognized in the consolidated statement of comprehensive income for 2023, 2022 and 2021 and were $42.1 million, $37.4 million and $35.6 million, respectively, including approximately $1.8 million, $2.6 million and $1.8 million of short-term and variable lease costs for 2023,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231F20"/>
        </w:rPr>
        <w:t>Other information related to leases was as follows:</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231F20"/>
        </w:rPr>
        <w:t>(In millions, except lease term and discount rate)</w:t>
      </w:r>
    </w:p>
    <w:p>
      <w:pPr>
        <w:spacing w:after="0" w:line="27" w:lineRule="exact"/>
        <w:rPr>
          <w:sz w:val="20"/>
          <w:szCs w:val="20"/>
          <w:color w:val="auto"/>
        </w:rPr>
      </w:pPr>
    </w:p>
    <w:p>
      <w:pPr>
        <w:ind w:left="180" w:right="300" w:hanging="167"/>
        <w:spacing w:after="0" w:line="243" w:lineRule="auto"/>
        <w:rPr>
          <w:sz w:val="20"/>
          <w:szCs w:val="20"/>
          <w:color w:val="auto"/>
        </w:rPr>
      </w:pPr>
      <w:r>
        <w:rPr>
          <w:rFonts w:ascii="Arial" w:cs="Arial" w:eastAsia="Arial" w:hAnsi="Arial"/>
          <w:sz w:val="20"/>
          <w:szCs w:val="20"/>
          <w:color w:val="231F20"/>
        </w:rPr>
        <w:t>Cash paid for amounts included in the measurement of lease liabilities:</w:t>
      </w:r>
    </w:p>
    <w:p>
      <w:pPr>
        <w:ind w:left="300"/>
        <w:spacing w:after="0"/>
        <w:rPr>
          <w:sz w:val="20"/>
          <w:szCs w:val="20"/>
          <w:color w:val="auto"/>
        </w:rPr>
      </w:pPr>
      <w:r>
        <w:rPr>
          <w:rFonts w:ascii="Arial" w:cs="Arial" w:eastAsia="Arial" w:hAnsi="Arial"/>
          <w:sz w:val="20"/>
          <w:szCs w:val="20"/>
          <w:color w:val="231F20"/>
        </w:rPr>
        <w:t>Operating cash flows from operating leases</w:t>
      </w:r>
      <w:r>
        <w:rPr>
          <w:rFonts w:ascii="Times New Roman" w:cs="Times New Roman" w:eastAsia="Times New Roman" w:hAnsi="Times New Roman"/>
          <w:sz w:val="20"/>
          <w:szCs w:val="20"/>
          <w:color w:val="231F20"/>
        </w:rPr>
        <w:t>....................</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color w:val="231F20"/>
        </w:rPr>
        <w:t>Right-of-use assets obtained in exchange for operating</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20"/>
          <w:szCs w:val="20"/>
          <w:color w:val="231F20"/>
        </w:rPr>
        <w:t xml:space="preserve">lease obligations </w:t>
      </w:r>
      <w:r>
        <w:rPr>
          <w:rFonts w:ascii="Times New Roman" w:cs="Times New Roman" w:eastAsia="Times New Roman" w:hAnsi="Times New Roman"/>
          <w:sz w:val="20"/>
          <w:szCs w:val="20"/>
          <w:color w:val="231F20"/>
        </w:rPr>
        <w: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231F20"/>
        </w:rPr>
        <w:t>Weighted average remaining lease term - operating</w:t>
      </w:r>
    </w:p>
    <w:p>
      <w:pPr>
        <w:spacing w:after="0" w:line="3" w:lineRule="exact"/>
        <w:rPr>
          <w:sz w:val="20"/>
          <w:szCs w:val="20"/>
          <w:color w:val="auto"/>
        </w:rPr>
      </w:pPr>
    </w:p>
    <w:p>
      <w:pPr>
        <w:ind w:left="20"/>
        <w:spacing w:after="0"/>
        <w:rPr>
          <w:sz w:val="20"/>
          <w:szCs w:val="20"/>
          <w:color w:val="auto"/>
        </w:rPr>
      </w:pPr>
      <w:r>
        <w:rPr>
          <w:rFonts w:ascii="Arial" w:cs="Arial" w:eastAsia="Arial" w:hAnsi="Arial"/>
          <w:sz w:val="20"/>
          <w:szCs w:val="20"/>
          <w:color w:val="231F20"/>
        </w:rPr>
        <w:t>leases</w:t>
      </w:r>
      <w:r>
        <w:rPr>
          <w:rFonts w:ascii="Times New Roman" w:cs="Times New Roman" w:eastAsia="Times New Roman" w:hAnsi="Times New Roman"/>
          <w:sz w:val="20"/>
          <w:szCs w:val="20"/>
          <w:color w:val="231F20"/>
        </w:rPr>
        <w: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231F20"/>
        </w:rPr>
        <w:t>Weighted average discount rate - operating leases</w:t>
      </w:r>
      <w:r>
        <w:rPr>
          <w:rFonts w:ascii="Times New Roman" w:cs="Times New Roman" w:eastAsia="Times New Roman" w:hAnsi="Times New Roman"/>
          <w:sz w:val="20"/>
          <w:szCs w:val="20"/>
          <w:color w:val="231F20"/>
        </w:rPr>
        <w: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Pr>
          <w:p>
            <w:pPr>
              <w:jc w:val="center"/>
              <w:ind w:right="159"/>
              <w:spacing w:after="0"/>
              <w:rPr>
                <w:sz w:val="20"/>
                <w:szCs w:val="20"/>
                <w:color w:val="auto"/>
              </w:rPr>
            </w:pPr>
            <w:r>
              <w:rPr>
                <w:rFonts w:ascii="Arial" w:cs="Arial" w:eastAsia="Arial" w:hAnsi="Arial"/>
                <w:sz w:val="16"/>
                <w:szCs w:val="16"/>
                <w:color w:val="231F20"/>
              </w:rPr>
              <w:t>December 30,</w:t>
            </w:r>
          </w:p>
        </w:tc>
        <w:tc>
          <w:tcPr>
            <w:tcW w:w="8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color w:val="231F20"/>
              </w:rPr>
              <w:t>December 31,</w:t>
            </w:r>
          </w:p>
        </w:tc>
        <w:tc>
          <w:tcPr>
            <w:tcW w:w="100" w:type="dxa"/>
            <w:vAlign w:val="bottom"/>
          </w:tcPr>
          <w:p>
            <w:pPr>
              <w:spacing w:after="0"/>
              <w:rPr>
                <w:sz w:val="16"/>
                <w:szCs w:val="16"/>
                <w:color w:val="auto"/>
              </w:rPr>
            </w:pPr>
          </w:p>
        </w:tc>
        <w:tc>
          <w:tcPr>
            <w:tcW w:w="1280" w:type="dxa"/>
            <w:vAlign w:val="bottom"/>
          </w:tcPr>
          <w:p>
            <w:pPr>
              <w:jc w:val="center"/>
              <w:ind w:right="139"/>
              <w:spacing w:after="0"/>
              <w:rPr>
                <w:sz w:val="20"/>
                <w:szCs w:val="20"/>
                <w:color w:val="auto"/>
              </w:rPr>
            </w:pPr>
            <w:r>
              <w:rPr>
                <w:rFonts w:ascii="Arial" w:cs="Arial" w:eastAsia="Arial" w:hAnsi="Arial"/>
                <w:sz w:val="16"/>
                <w:szCs w:val="16"/>
                <w:color w:val="231F20"/>
              </w:rPr>
              <w:t>December 31,</w:t>
            </w:r>
          </w:p>
        </w:tc>
      </w:tr>
      <w:tr>
        <w:trPr>
          <w:trHeight w:val="201"/>
        </w:trPr>
        <w:tc>
          <w:tcPr>
            <w:tcW w:w="1340" w:type="dxa"/>
            <w:vAlign w:val="bottom"/>
            <w:tcBorders>
              <w:bottom w:val="single" w:sz="8" w:color="231F20"/>
            </w:tcBorders>
          </w:tcPr>
          <w:p>
            <w:pPr>
              <w:jc w:val="right"/>
              <w:ind w:right="519"/>
              <w:spacing w:after="0"/>
              <w:rPr>
                <w:sz w:val="20"/>
                <w:szCs w:val="20"/>
                <w:color w:val="auto"/>
              </w:rPr>
            </w:pPr>
            <w:r>
              <w:rPr>
                <w:rFonts w:ascii="Arial" w:cs="Arial" w:eastAsia="Arial" w:hAnsi="Arial"/>
                <w:sz w:val="16"/>
                <w:szCs w:val="16"/>
                <w:color w:val="231F20"/>
              </w:rPr>
              <w:t>2023</w:t>
            </w:r>
          </w:p>
        </w:tc>
        <w:tc>
          <w:tcPr>
            <w:tcW w:w="80" w:type="dxa"/>
            <w:vAlign w:val="bottom"/>
          </w:tcPr>
          <w:p>
            <w:pPr>
              <w:spacing w:after="0"/>
              <w:rPr>
                <w:sz w:val="17"/>
                <w:szCs w:val="17"/>
                <w:color w:val="auto"/>
              </w:rPr>
            </w:pPr>
          </w:p>
        </w:tc>
        <w:tc>
          <w:tcPr>
            <w:tcW w:w="1360" w:type="dxa"/>
            <w:vAlign w:val="bottom"/>
            <w:tcBorders>
              <w:bottom w:val="single" w:sz="8" w:color="231F20"/>
            </w:tcBorders>
          </w:tcPr>
          <w:p>
            <w:pPr>
              <w:jc w:val="right"/>
              <w:ind w:right="539"/>
              <w:spacing w:after="0"/>
              <w:rPr>
                <w:sz w:val="20"/>
                <w:szCs w:val="20"/>
                <w:color w:val="auto"/>
              </w:rPr>
            </w:pPr>
            <w:r>
              <w:rPr>
                <w:rFonts w:ascii="Arial" w:cs="Arial" w:eastAsia="Arial" w:hAnsi="Arial"/>
                <w:sz w:val="16"/>
                <w:szCs w:val="16"/>
                <w:color w:val="231F20"/>
              </w:rPr>
              <w:t>2022</w:t>
            </w:r>
          </w:p>
        </w:tc>
        <w:tc>
          <w:tcPr>
            <w:tcW w:w="100" w:type="dxa"/>
            <w:vAlign w:val="bottom"/>
          </w:tcPr>
          <w:p>
            <w:pPr>
              <w:spacing w:after="0"/>
              <w:rPr>
                <w:sz w:val="17"/>
                <w:szCs w:val="17"/>
                <w:color w:val="auto"/>
              </w:rPr>
            </w:pPr>
          </w:p>
        </w:tc>
        <w:tc>
          <w:tcPr>
            <w:tcW w:w="1280" w:type="dxa"/>
            <w:vAlign w:val="bottom"/>
            <w:tcBorders>
              <w:bottom w:val="single" w:sz="8" w:color="231F20"/>
            </w:tcBorders>
          </w:tcPr>
          <w:p>
            <w:pPr>
              <w:jc w:val="right"/>
              <w:ind w:right="499"/>
              <w:spacing w:after="0"/>
              <w:rPr>
                <w:sz w:val="20"/>
                <w:szCs w:val="20"/>
                <w:color w:val="auto"/>
              </w:rPr>
            </w:pPr>
            <w:r>
              <w:rPr>
                <w:rFonts w:ascii="Arial" w:cs="Arial" w:eastAsia="Arial" w:hAnsi="Arial"/>
                <w:sz w:val="16"/>
                <w:szCs w:val="16"/>
                <w:color w:val="231F20"/>
              </w:rPr>
              <w:t>2021</w:t>
            </w:r>
          </w:p>
        </w:tc>
      </w:tr>
    </w:tbl>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00" w:type="dxa"/>
            <w:vAlign w:val="bottom"/>
          </w:tcPr>
          <w:p>
            <w:pPr>
              <w:jc w:val="right"/>
              <w:spacing w:after="0"/>
              <w:rPr>
                <w:sz w:val="20"/>
                <w:szCs w:val="20"/>
                <w:color w:val="auto"/>
              </w:rPr>
            </w:pPr>
            <w:r>
              <w:rPr>
                <w:rFonts w:ascii="Arial" w:cs="Arial" w:eastAsia="Arial" w:hAnsi="Arial"/>
                <w:sz w:val="20"/>
                <w:szCs w:val="20"/>
                <w:color w:val="231F20"/>
                <w:w w:val="89"/>
              </w:rPr>
              <w:t>$</w:t>
            </w:r>
          </w:p>
        </w:tc>
        <w:tc>
          <w:tcPr>
            <w:tcW w:w="1160" w:type="dxa"/>
            <w:vAlign w:val="bottom"/>
          </w:tcPr>
          <w:p>
            <w:pPr>
              <w:jc w:val="right"/>
              <w:ind w:right="159"/>
              <w:spacing w:after="0"/>
              <w:rPr>
                <w:sz w:val="20"/>
                <w:szCs w:val="20"/>
                <w:color w:val="auto"/>
              </w:rPr>
            </w:pPr>
            <w:r>
              <w:rPr>
                <w:rFonts w:ascii="Arial" w:cs="Arial" w:eastAsia="Arial" w:hAnsi="Arial"/>
                <w:sz w:val="20"/>
                <w:szCs w:val="20"/>
                <w:color w:val="231F20"/>
              </w:rPr>
              <w:t>36.5</w:t>
            </w:r>
          </w:p>
        </w:tc>
        <w:tc>
          <w:tcPr>
            <w:tcW w:w="260" w:type="dxa"/>
            <w:vAlign w:val="bottom"/>
          </w:tcPr>
          <w:p>
            <w:pPr>
              <w:jc w:val="right"/>
              <w:spacing w:after="0"/>
              <w:rPr>
                <w:sz w:val="20"/>
                <w:szCs w:val="20"/>
                <w:color w:val="auto"/>
              </w:rPr>
            </w:pPr>
            <w:r>
              <w:rPr>
                <w:rFonts w:ascii="Arial" w:cs="Arial" w:eastAsia="Arial" w:hAnsi="Arial"/>
                <w:sz w:val="20"/>
                <w:szCs w:val="20"/>
                <w:color w:val="231F20"/>
              </w:rPr>
              <w:t>$</w:t>
            </w:r>
          </w:p>
        </w:tc>
        <w:tc>
          <w:tcPr>
            <w:tcW w:w="1180" w:type="dxa"/>
            <w:vAlign w:val="bottom"/>
          </w:tcPr>
          <w:p>
            <w:pPr>
              <w:jc w:val="right"/>
              <w:ind w:right="159"/>
              <w:spacing w:after="0"/>
              <w:rPr>
                <w:sz w:val="20"/>
                <w:szCs w:val="20"/>
                <w:color w:val="auto"/>
              </w:rPr>
            </w:pPr>
            <w:r>
              <w:rPr>
                <w:rFonts w:ascii="Arial" w:cs="Arial" w:eastAsia="Arial" w:hAnsi="Arial"/>
                <w:sz w:val="20"/>
                <w:szCs w:val="20"/>
                <w:color w:val="231F20"/>
              </w:rPr>
              <w:t>35.1</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1080" w:type="dxa"/>
            <w:vAlign w:val="bottom"/>
          </w:tcPr>
          <w:p>
            <w:pPr>
              <w:jc w:val="right"/>
              <w:ind w:right="79"/>
              <w:spacing w:after="0"/>
              <w:rPr>
                <w:sz w:val="20"/>
                <w:szCs w:val="20"/>
                <w:color w:val="auto"/>
              </w:rPr>
            </w:pPr>
            <w:r>
              <w:rPr>
                <w:rFonts w:ascii="Arial" w:cs="Arial" w:eastAsia="Arial" w:hAnsi="Arial"/>
                <w:sz w:val="20"/>
                <w:szCs w:val="20"/>
                <w:color w:val="231F20"/>
              </w:rPr>
              <w:t>33.3</w:t>
            </w:r>
          </w:p>
        </w:tc>
      </w:tr>
      <w:tr>
        <w:trPr>
          <w:trHeight w:val="465"/>
        </w:trPr>
        <w:tc>
          <w:tcPr>
            <w:tcW w:w="200" w:type="dxa"/>
            <w:vAlign w:val="bottom"/>
          </w:tcPr>
          <w:p>
            <w:pPr>
              <w:jc w:val="right"/>
              <w:spacing w:after="0"/>
              <w:rPr>
                <w:sz w:val="20"/>
                <w:szCs w:val="20"/>
                <w:color w:val="auto"/>
              </w:rPr>
            </w:pPr>
            <w:r>
              <w:rPr>
                <w:rFonts w:ascii="Arial" w:cs="Arial" w:eastAsia="Arial" w:hAnsi="Arial"/>
                <w:sz w:val="20"/>
                <w:szCs w:val="20"/>
                <w:color w:val="231F20"/>
                <w:w w:val="89"/>
              </w:rPr>
              <w:t>$</w:t>
            </w:r>
          </w:p>
        </w:tc>
        <w:tc>
          <w:tcPr>
            <w:tcW w:w="1160" w:type="dxa"/>
            <w:vAlign w:val="bottom"/>
          </w:tcPr>
          <w:p>
            <w:pPr>
              <w:jc w:val="right"/>
              <w:ind w:right="159"/>
              <w:spacing w:after="0"/>
              <w:rPr>
                <w:sz w:val="20"/>
                <w:szCs w:val="20"/>
                <w:color w:val="auto"/>
              </w:rPr>
            </w:pPr>
            <w:r>
              <w:rPr>
                <w:rFonts w:ascii="Arial" w:cs="Arial" w:eastAsia="Arial" w:hAnsi="Arial"/>
                <w:sz w:val="20"/>
                <w:szCs w:val="20"/>
                <w:color w:val="231F20"/>
              </w:rPr>
              <w:t>87.1</w:t>
            </w:r>
          </w:p>
        </w:tc>
        <w:tc>
          <w:tcPr>
            <w:tcW w:w="260" w:type="dxa"/>
            <w:vAlign w:val="bottom"/>
          </w:tcPr>
          <w:p>
            <w:pPr>
              <w:jc w:val="right"/>
              <w:spacing w:after="0"/>
              <w:rPr>
                <w:sz w:val="20"/>
                <w:szCs w:val="20"/>
                <w:color w:val="auto"/>
              </w:rPr>
            </w:pPr>
            <w:r>
              <w:rPr>
                <w:rFonts w:ascii="Arial" w:cs="Arial" w:eastAsia="Arial" w:hAnsi="Arial"/>
                <w:sz w:val="20"/>
                <w:szCs w:val="20"/>
                <w:color w:val="231F20"/>
              </w:rPr>
              <w:t>$</w:t>
            </w:r>
          </w:p>
        </w:tc>
        <w:tc>
          <w:tcPr>
            <w:tcW w:w="1180" w:type="dxa"/>
            <w:vAlign w:val="bottom"/>
          </w:tcPr>
          <w:p>
            <w:pPr>
              <w:jc w:val="right"/>
              <w:ind w:right="159"/>
              <w:spacing w:after="0"/>
              <w:rPr>
                <w:sz w:val="20"/>
                <w:szCs w:val="20"/>
                <w:color w:val="auto"/>
              </w:rPr>
            </w:pPr>
            <w:r>
              <w:rPr>
                <w:rFonts w:ascii="Arial" w:cs="Arial" w:eastAsia="Arial" w:hAnsi="Arial"/>
                <w:sz w:val="20"/>
                <w:szCs w:val="20"/>
                <w:color w:val="231F20"/>
              </w:rPr>
              <w:t>21.6</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1080" w:type="dxa"/>
            <w:vAlign w:val="bottom"/>
          </w:tcPr>
          <w:p>
            <w:pPr>
              <w:jc w:val="right"/>
              <w:ind w:right="79"/>
              <w:spacing w:after="0"/>
              <w:rPr>
                <w:sz w:val="20"/>
                <w:szCs w:val="20"/>
                <w:color w:val="auto"/>
              </w:rPr>
            </w:pPr>
            <w:r>
              <w:rPr>
                <w:rFonts w:ascii="Arial" w:cs="Arial" w:eastAsia="Arial" w:hAnsi="Arial"/>
                <w:sz w:val="20"/>
                <w:szCs w:val="20"/>
                <w:color w:val="231F20"/>
              </w:rPr>
              <w:t>33.9</w:t>
            </w:r>
          </w:p>
        </w:tc>
      </w:tr>
      <w:tr>
        <w:trPr>
          <w:trHeight w:val="464"/>
        </w:trPr>
        <w:tc>
          <w:tcPr>
            <w:tcW w:w="200" w:type="dxa"/>
            <w:vAlign w:val="bottom"/>
          </w:tcPr>
          <w:p>
            <w:pPr>
              <w:spacing w:after="0"/>
              <w:rPr>
                <w:sz w:val="24"/>
                <w:szCs w:val="24"/>
                <w:color w:val="auto"/>
              </w:rPr>
            </w:pPr>
          </w:p>
        </w:tc>
        <w:tc>
          <w:tcPr>
            <w:tcW w:w="1160" w:type="dxa"/>
            <w:vAlign w:val="bottom"/>
          </w:tcPr>
          <w:p>
            <w:pPr>
              <w:jc w:val="right"/>
              <w:ind w:right="159"/>
              <w:spacing w:after="0"/>
              <w:rPr>
                <w:sz w:val="20"/>
                <w:szCs w:val="20"/>
                <w:color w:val="auto"/>
              </w:rPr>
            </w:pPr>
            <w:r>
              <w:rPr>
                <w:rFonts w:ascii="Arial" w:cs="Arial" w:eastAsia="Arial" w:hAnsi="Arial"/>
                <w:sz w:val="20"/>
                <w:szCs w:val="20"/>
                <w:color w:val="231F20"/>
              </w:rPr>
              <w:t>6.7 years</w:t>
            </w:r>
          </w:p>
        </w:tc>
        <w:tc>
          <w:tcPr>
            <w:tcW w:w="260" w:type="dxa"/>
            <w:vAlign w:val="bottom"/>
          </w:tcPr>
          <w:p>
            <w:pPr>
              <w:spacing w:after="0"/>
              <w:rPr>
                <w:sz w:val="24"/>
                <w:szCs w:val="24"/>
                <w:color w:val="auto"/>
              </w:rPr>
            </w:pPr>
          </w:p>
        </w:tc>
        <w:tc>
          <w:tcPr>
            <w:tcW w:w="1180" w:type="dxa"/>
            <w:vAlign w:val="bottom"/>
          </w:tcPr>
          <w:p>
            <w:pPr>
              <w:jc w:val="right"/>
              <w:ind w:right="159"/>
              <w:spacing w:after="0"/>
              <w:rPr>
                <w:sz w:val="20"/>
                <w:szCs w:val="20"/>
                <w:color w:val="auto"/>
              </w:rPr>
            </w:pPr>
            <w:r>
              <w:rPr>
                <w:rFonts w:ascii="Arial" w:cs="Arial" w:eastAsia="Arial" w:hAnsi="Arial"/>
                <w:sz w:val="20"/>
                <w:szCs w:val="20"/>
                <w:color w:val="231F20"/>
              </w:rPr>
              <w:t>5.6 years</w:t>
            </w:r>
          </w:p>
        </w:tc>
        <w:tc>
          <w:tcPr>
            <w:tcW w:w="24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20"/>
                <w:szCs w:val="20"/>
                <w:color w:val="231F20"/>
              </w:rPr>
              <w:t>6.1 years</w:t>
            </w:r>
          </w:p>
        </w:tc>
      </w:tr>
      <w:tr>
        <w:trPr>
          <w:trHeight w:val="273"/>
        </w:trPr>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4.1%</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231F20"/>
              </w:rPr>
              <w:t>3.6%</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231F20"/>
              </w:rPr>
              <w:t>3.5%</w:t>
            </w:r>
          </w:p>
        </w:tc>
      </w:tr>
    </w:tbl>
    <w:p>
      <w:pPr>
        <w:spacing w:after="0" w:line="169" w:lineRule="exact"/>
        <w:rPr>
          <w:sz w:val="20"/>
          <w:szCs w:val="20"/>
          <w:color w:val="auto"/>
        </w:rPr>
      </w:pPr>
    </w:p>
    <w:p>
      <w:pPr>
        <w:sectPr>
          <w:pgSz w:w="12240" w:h="15840" w:orient="portrait"/>
          <w:cols w:equalWidth="0" w:num="2">
            <w:col w:w="5220" w:space="80"/>
            <w:col w:w="4160"/>
          </w:cols>
          <w:pgMar w:left="1380" w:top="1346" w:right="1400" w:bottom="95" w:gutter="0" w:footer="0" w:header="0"/>
          <w:type w:val="continuous"/>
        </w:sectPr>
      </w:pPr>
    </w:p>
    <w:p>
      <w:pPr>
        <w:spacing w:after="0"/>
        <w:rPr>
          <w:sz w:val="20"/>
          <w:szCs w:val="20"/>
          <w:color w:val="auto"/>
        </w:rPr>
      </w:pPr>
      <w:r>
        <w:rPr>
          <w:rFonts w:ascii="Arial" w:cs="Arial" w:eastAsia="Arial" w:hAnsi="Arial"/>
          <w:sz w:val="20"/>
          <w:szCs w:val="20"/>
          <w:color w:val="231F20"/>
        </w:rPr>
        <w:t>Future lease payments under non-cancelable operating leases as of December 30, 2023 were as follows:</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199"/>
        </w:trPr>
        <w:tc>
          <w:tcPr>
            <w:tcW w:w="7520" w:type="dxa"/>
            <w:vAlign w:val="bottom"/>
          </w:tcPr>
          <w:p>
            <w:pPr>
              <w:spacing w:after="0"/>
              <w:rPr>
                <w:sz w:val="20"/>
                <w:szCs w:val="20"/>
                <w:color w:val="auto"/>
              </w:rPr>
            </w:pPr>
            <w:r>
              <w:rPr>
                <w:rFonts w:ascii="Arial" w:cs="Arial" w:eastAsia="Arial" w:hAnsi="Arial"/>
                <w:sz w:val="15"/>
                <w:szCs w:val="15"/>
                <w:i w:val="1"/>
                <w:iCs w:val="1"/>
                <w:color w:val="231F20"/>
              </w:rPr>
              <w:t>(In millions)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7520" w:type="dxa"/>
            <w:vAlign w:val="bottom"/>
          </w:tcPr>
          <w:p>
            <w:pPr>
              <w:jc w:val="right"/>
              <w:ind w:right="761"/>
              <w:spacing w:after="0"/>
              <w:rPr>
                <w:sz w:val="20"/>
                <w:szCs w:val="20"/>
                <w:color w:val="auto"/>
              </w:rPr>
            </w:pPr>
            <w:r>
              <w:rPr>
                <w:rFonts w:ascii="Arial" w:cs="Arial" w:eastAsia="Arial" w:hAnsi="Arial"/>
                <w:sz w:val="20"/>
                <w:szCs w:val="20"/>
                <w:color w:val="231F20"/>
              </w:rPr>
              <w:t xml:space="preserve">2024 </w:t>
            </w:r>
            <w:r>
              <w:rPr>
                <w:rFonts w:ascii="Times New Roman" w:cs="Times New Roman" w:eastAsia="Times New Roman" w:hAnsi="Times New Roman"/>
                <w:sz w:val="20"/>
                <w:szCs w:val="20"/>
                <w:color w:val="231F20"/>
              </w:rPr>
              <w:t>..........................................................................................................................</w:t>
            </w:r>
          </w:p>
        </w:tc>
        <w:tc>
          <w:tcPr>
            <w:tcW w:w="260" w:type="dxa"/>
            <w:vAlign w:val="bottom"/>
          </w:tcPr>
          <w:p>
            <w:pPr>
              <w:jc w:val="right"/>
              <w:ind w:right="59"/>
              <w:spacing w:after="0"/>
              <w:rPr>
                <w:sz w:val="20"/>
                <w:szCs w:val="20"/>
                <w:color w:val="auto"/>
              </w:rPr>
            </w:pPr>
            <w:r>
              <w:rPr>
                <w:rFonts w:ascii="Arial" w:cs="Arial" w:eastAsia="Arial" w:hAnsi="Arial"/>
                <w:sz w:val="20"/>
                <w:szCs w:val="20"/>
                <w:color w:val="231F20"/>
                <w:w w:val="71"/>
              </w:rPr>
              <w:t>$</w:t>
            </w:r>
          </w:p>
        </w:tc>
        <w:tc>
          <w:tcPr>
            <w:tcW w:w="640" w:type="dxa"/>
            <w:vAlign w:val="bottom"/>
          </w:tcPr>
          <w:p>
            <w:pPr>
              <w:jc w:val="right"/>
              <w:spacing w:after="0"/>
              <w:rPr>
                <w:sz w:val="20"/>
                <w:szCs w:val="20"/>
                <w:color w:val="auto"/>
              </w:rPr>
            </w:pPr>
            <w:r>
              <w:rPr>
                <w:rFonts w:ascii="Arial" w:cs="Arial" w:eastAsia="Arial" w:hAnsi="Arial"/>
                <w:sz w:val="20"/>
                <w:szCs w:val="20"/>
                <w:color w:val="231F20"/>
              </w:rPr>
              <w:t>37.6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20" w:type="dxa"/>
            <w:vAlign w:val="bottom"/>
          </w:tcPr>
          <w:p>
            <w:pPr>
              <w:jc w:val="right"/>
              <w:ind w:right="761"/>
              <w:spacing w:after="0"/>
              <w:rPr>
                <w:sz w:val="20"/>
                <w:szCs w:val="20"/>
                <w:color w:val="auto"/>
              </w:rPr>
            </w:pPr>
            <w:r>
              <w:rPr>
                <w:rFonts w:ascii="Arial" w:cs="Arial" w:eastAsia="Arial" w:hAnsi="Arial"/>
                <w:sz w:val="20"/>
                <w:szCs w:val="20"/>
                <w:color w:val="231F20"/>
              </w:rPr>
              <w:t xml:space="preserve">2025 </w:t>
            </w:r>
            <w:r>
              <w:rPr>
                <w:rFonts w:ascii="Times New Roman" w:cs="Times New Roman" w:eastAsia="Times New Roman" w:hAnsi="Times New Roman"/>
                <w:sz w:val="20"/>
                <w:szCs w:val="20"/>
                <w:color w:val="231F20"/>
              </w:rPr>
              <w:t>..........................................................................................................................</w:t>
            </w: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231F20"/>
              </w:rPr>
              <w:t>32.9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20" w:type="dxa"/>
            <w:vAlign w:val="bottom"/>
          </w:tcPr>
          <w:p>
            <w:pPr>
              <w:jc w:val="right"/>
              <w:ind w:right="761"/>
              <w:spacing w:after="0"/>
              <w:rPr>
                <w:sz w:val="20"/>
                <w:szCs w:val="20"/>
                <w:color w:val="auto"/>
              </w:rPr>
            </w:pPr>
            <w:r>
              <w:rPr>
                <w:rFonts w:ascii="Arial" w:cs="Arial" w:eastAsia="Arial" w:hAnsi="Arial"/>
                <w:sz w:val="20"/>
                <w:szCs w:val="20"/>
                <w:color w:val="231F20"/>
              </w:rPr>
              <w:t xml:space="preserve">2026 </w:t>
            </w:r>
            <w:r>
              <w:rPr>
                <w:rFonts w:ascii="Times New Roman" w:cs="Times New Roman" w:eastAsia="Times New Roman" w:hAnsi="Times New Roman"/>
                <w:sz w:val="20"/>
                <w:szCs w:val="20"/>
                <w:color w:val="231F20"/>
              </w:rPr>
              <w:t>..........................................................................................................................</w:t>
            </w: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231F20"/>
              </w:rPr>
              <w:t>29.5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20" w:type="dxa"/>
            <w:vAlign w:val="bottom"/>
          </w:tcPr>
          <w:p>
            <w:pPr>
              <w:jc w:val="right"/>
              <w:ind w:right="761"/>
              <w:spacing w:after="0"/>
              <w:rPr>
                <w:sz w:val="20"/>
                <w:szCs w:val="20"/>
                <w:color w:val="auto"/>
              </w:rPr>
            </w:pPr>
            <w:r>
              <w:rPr>
                <w:rFonts w:ascii="Arial" w:cs="Arial" w:eastAsia="Arial" w:hAnsi="Arial"/>
                <w:sz w:val="20"/>
                <w:szCs w:val="20"/>
                <w:color w:val="231F20"/>
              </w:rPr>
              <w:t xml:space="preserve">2027 </w:t>
            </w:r>
            <w:r>
              <w:rPr>
                <w:rFonts w:ascii="Times New Roman" w:cs="Times New Roman" w:eastAsia="Times New Roman" w:hAnsi="Times New Roman"/>
                <w:sz w:val="20"/>
                <w:szCs w:val="20"/>
                <w:color w:val="231F20"/>
              </w:rPr>
              <w:t>..........................................................................................................................</w:t>
            </w: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231F20"/>
              </w:rPr>
              <w:t>24.6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20" w:type="dxa"/>
            <w:vAlign w:val="bottom"/>
          </w:tcPr>
          <w:p>
            <w:pPr>
              <w:jc w:val="right"/>
              <w:ind w:right="761"/>
              <w:spacing w:after="0"/>
              <w:rPr>
                <w:sz w:val="20"/>
                <w:szCs w:val="20"/>
                <w:color w:val="auto"/>
              </w:rPr>
            </w:pPr>
            <w:r>
              <w:rPr>
                <w:rFonts w:ascii="Arial" w:cs="Arial" w:eastAsia="Arial" w:hAnsi="Arial"/>
                <w:sz w:val="20"/>
                <w:szCs w:val="20"/>
                <w:color w:val="231F20"/>
              </w:rPr>
              <w:t xml:space="preserve">2028 </w:t>
            </w:r>
            <w:r>
              <w:rPr>
                <w:rFonts w:ascii="Times New Roman" w:cs="Times New Roman" w:eastAsia="Times New Roman" w:hAnsi="Times New Roman"/>
                <w:sz w:val="20"/>
                <w:szCs w:val="20"/>
                <w:color w:val="231F20"/>
              </w:rPr>
              <w:t>..........................................................................................................................</w:t>
            </w:r>
          </w:p>
        </w:tc>
        <w:tc>
          <w:tcPr>
            <w:tcW w:w="2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231F20"/>
              </w:rPr>
              <w:t>20.9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20" w:type="dxa"/>
            <w:vAlign w:val="bottom"/>
          </w:tcPr>
          <w:p>
            <w:pPr>
              <w:jc w:val="right"/>
              <w:ind w:right="761"/>
              <w:spacing w:after="0"/>
              <w:rPr>
                <w:sz w:val="20"/>
                <w:szCs w:val="20"/>
                <w:color w:val="auto"/>
              </w:rPr>
            </w:pPr>
            <w:r>
              <w:rPr>
                <w:rFonts w:ascii="Arial" w:cs="Arial" w:eastAsia="Arial" w:hAnsi="Arial"/>
                <w:sz w:val="20"/>
                <w:szCs w:val="20"/>
                <w:color w:val="231F20"/>
              </w:rPr>
              <w:t xml:space="preserve">Thereafter </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520" w:type="dxa"/>
            <w:vAlign w:val="bottom"/>
          </w:tcPr>
          <w:p>
            <w:pPr>
              <w:jc w:val="right"/>
              <w:ind w:right="761"/>
              <w:spacing w:after="0" w:line="226" w:lineRule="exact"/>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20"/>
                <w:szCs w:val="20"/>
                <w:color w:val="231F20"/>
              </w:rPr>
              <w:t>Totalleasepayments</w:t>
            </w:r>
          </w:p>
        </w:tc>
        <w:tc>
          <w:tcPr>
            <w:tcW w:w="260" w:type="dxa"/>
            <w:vAlign w:val="bottom"/>
          </w:tcPr>
          <w:p>
            <w:pPr>
              <w:spacing w:after="0"/>
              <w:rPr>
                <w:sz w:val="19"/>
                <w:szCs w:val="19"/>
                <w:color w:val="auto"/>
              </w:rPr>
            </w:pPr>
          </w:p>
        </w:tc>
        <w:tc>
          <w:tcPr>
            <w:tcW w:w="640" w:type="dxa"/>
            <w:vAlign w:val="bottom"/>
          </w:tcPr>
          <w:p>
            <w:pPr>
              <w:jc w:val="right"/>
              <w:spacing w:after="0" w:line="226" w:lineRule="exact"/>
              <w:rPr>
                <w:sz w:val="20"/>
                <w:szCs w:val="20"/>
                <w:color w:val="auto"/>
              </w:rPr>
            </w:pPr>
            <w:r>
              <w:rPr>
                <w:rFonts w:ascii="Arial" w:cs="Arial" w:eastAsia="Arial" w:hAnsi="Arial"/>
                <w:sz w:val="20"/>
                <w:szCs w:val="20"/>
                <w:color w:val="231F20"/>
              </w:rPr>
              <w:t>206.6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7520" w:type="dxa"/>
            <w:vAlign w:val="bottom"/>
          </w:tcPr>
          <w:p>
            <w:pPr>
              <w:jc w:val="right"/>
              <w:ind w:right="761"/>
              <w:spacing w:after="0"/>
              <w:rPr>
                <w:sz w:val="20"/>
                <w:szCs w:val="20"/>
                <w:color w:val="auto"/>
              </w:rPr>
            </w:pPr>
            <w:r>
              <w:rPr>
                <w:rFonts w:ascii="Arial" w:cs="Arial" w:eastAsia="Arial" w:hAnsi="Arial"/>
                <w:sz w:val="20"/>
                <w:szCs w:val="20"/>
                <w:color w:val="231F20"/>
              </w:rPr>
              <w:t>Less imputed interest</w:t>
            </w:r>
            <w:r>
              <w:rPr>
                <w:rFonts w:ascii="Times New Roman" w:cs="Times New Roman" w:eastAsia="Times New Roman" w:hAnsi="Times New Roman"/>
                <w:sz w:val="20"/>
                <w:szCs w:val="20"/>
                <w:color w:val="231F20"/>
              </w:rPr>
              <w:t>.............................................................................................</w:t>
            </w:r>
          </w:p>
        </w:tc>
        <w:tc>
          <w:tcPr>
            <w:tcW w:w="2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231F20"/>
              </w:rPr>
              <w:t>(26.2)</w:t>
            </w:r>
          </w:p>
        </w:tc>
        <w:tc>
          <w:tcPr>
            <w:tcW w:w="0" w:type="dxa"/>
            <w:vAlign w:val="bottom"/>
          </w:tcPr>
          <w:p>
            <w:pPr>
              <w:spacing w:after="0"/>
              <w:rPr>
                <w:sz w:val="1"/>
                <w:szCs w:val="1"/>
                <w:color w:val="auto"/>
              </w:rPr>
            </w:pPr>
          </w:p>
        </w:tc>
      </w:tr>
      <w:tr>
        <w:trPr>
          <w:trHeight w:val="246"/>
        </w:trPr>
        <w:tc>
          <w:tcPr>
            <w:tcW w:w="752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20"/>
                <w:szCs w:val="20"/>
                <w:color w:val="231F20"/>
              </w:rPr>
              <w:t>Total</w:t>
            </w:r>
          </w:p>
        </w:tc>
        <w:tc>
          <w:tcPr>
            <w:tcW w:w="260" w:type="dxa"/>
            <w:vAlign w:val="bottom"/>
            <w:tcBorders>
              <w:top w:val="single" w:sz="8" w:color="231F20"/>
              <w:bottom w:val="single" w:sz="8" w:color="231F20"/>
            </w:tcBorders>
          </w:tcPr>
          <w:p>
            <w:pPr>
              <w:jc w:val="right"/>
              <w:ind w:right="59"/>
              <w:spacing w:after="0"/>
              <w:rPr>
                <w:sz w:val="20"/>
                <w:szCs w:val="20"/>
                <w:color w:val="auto"/>
              </w:rPr>
            </w:pPr>
            <w:r>
              <w:rPr>
                <w:rFonts w:ascii="Arial" w:cs="Arial" w:eastAsia="Arial" w:hAnsi="Arial"/>
                <w:sz w:val="20"/>
                <w:szCs w:val="20"/>
                <w:color w:val="231F20"/>
                <w:w w:val="71"/>
              </w:rPr>
              <w:t>$</w:t>
            </w:r>
          </w:p>
        </w:tc>
        <w:tc>
          <w:tcPr>
            <w:tcW w:w="64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20"/>
                <w:szCs w:val="20"/>
                <w:color w:val="231F20"/>
              </w:rPr>
              <w:t>180.</w:t>
            </w:r>
            <w:r>
              <w:rPr>
                <w:rFonts w:ascii="Arial" w:cs="Arial" w:eastAsia="Arial" w:hAnsi="Arial"/>
                <w:sz w:val="20"/>
                <w:szCs w:val="20"/>
                <w:u w:val="single" w:color="auto"/>
                <w:color w:val="231F20"/>
              </w:rPr>
              <w:t>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20"/>
                <w:szCs w:val="20"/>
                <w:b w:val="1"/>
                <w:bCs w:val="1"/>
                <w:color w:val="231F20"/>
              </w:rPr>
              <w:t>Reported as of December 30, 2023</w:t>
            </w:r>
          </w:p>
        </w:tc>
        <w:tc>
          <w:tcPr>
            <w:tcW w:w="26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520" w:type="dxa"/>
            <w:vAlign w:val="bottom"/>
          </w:tcPr>
          <w:p>
            <w:pPr>
              <w:jc w:val="right"/>
              <w:ind w:right="761"/>
              <w:spacing w:after="0"/>
              <w:rPr>
                <w:sz w:val="20"/>
                <w:szCs w:val="20"/>
                <w:color w:val="auto"/>
              </w:rPr>
            </w:pPr>
            <w:r>
              <w:rPr>
                <w:rFonts w:ascii="Arial" w:cs="Arial" w:eastAsia="Arial" w:hAnsi="Arial"/>
                <w:sz w:val="20"/>
                <w:szCs w:val="20"/>
                <w:color w:val="231F20"/>
              </w:rPr>
              <w:t xml:space="preserve">Other current liabilities </w:t>
            </w:r>
            <w:r>
              <w:rPr>
                <w:rFonts w:ascii="Times New Roman" w:cs="Times New Roman" w:eastAsia="Times New Roman" w:hAnsi="Times New Roman"/>
                <w:sz w:val="20"/>
                <w:szCs w:val="20"/>
                <w:color w:val="231F20"/>
              </w:rPr>
              <w:t>...........................................................................................</w:t>
            </w:r>
          </w:p>
        </w:tc>
        <w:tc>
          <w:tcPr>
            <w:tcW w:w="260" w:type="dxa"/>
            <w:vAlign w:val="bottom"/>
          </w:tcPr>
          <w:p>
            <w:pPr>
              <w:jc w:val="right"/>
              <w:ind w:right="59"/>
              <w:spacing w:after="0"/>
              <w:rPr>
                <w:sz w:val="20"/>
                <w:szCs w:val="20"/>
                <w:color w:val="auto"/>
              </w:rPr>
            </w:pPr>
            <w:r>
              <w:rPr>
                <w:rFonts w:ascii="Arial" w:cs="Arial" w:eastAsia="Arial" w:hAnsi="Arial"/>
                <w:sz w:val="20"/>
                <w:szCs w:val="20"/>
                <w:color w:val="231F20"/>
                <w:w w:val="71"/>
              </w:rPr>
              <w:t>$</w:t>
            </w:r>
          </w:p>
        </w:tc>
        <w:tc>
          <w:tcPr>
            <w:tcW w:w="640" w:type="dxa"/>
            <w:vAlign w:val="bottom"/>
          </w:tcPr>
          <w:p>
            <w:pPr>
              <w:jc w:val="right"/>
              <w:spacing w:after="0"/>
              <w:rPr>
                <w:sz w:val="20"/>
                <w:szCs w:val="20"/>
                <w:color w:val="auto"/>
              </w:rPr>
            </w:pPr>
            <w:r>
              <w:rPr>
                <w:rFonts w:ascii="Arial" w:cs="Arial" w:eastAsia="Arial" w:hAnsi="Arial"/>
                <w:sz w:val="20"/>
                <w:szCs w:val="20"/>
                <w:color w:val="231F20"/>
              </w:rPr>
              <w:t>37.1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520" w:type="dxa"/>
            <w:vAlign w:val="bottom"/>
          </w:tcPr>
          <w:p>
            <w:pPr>
              <w:jc w:val="right"/>
              <w:ind w:right="761"/>
              <w:spacing w:after="0"/>
              <w:rPr>
                <w:sz w:val="20"/>
                <w:szCs w:val="20"/>
                <w:color w:val="auto"/>
              </w:rPr>
            </w:pPr>
            <w:r>
              <w:rPr>
                <w:rFonts w:ascii="Arial" w:cs="Arial" w:eastAsia="Arial" w:hAnsi="Arial"/>
                <w:sz w:val="20"/>
                <w:szCs w:val="20"/>
                <w:color w:val="231F20"/>
              </w:rPr>
              <w:t xml:space="preserve">Operating lease liabilities </w:t>
            </w:r>
            <w:r>
              <w:rPr>
                <w:rFonts w:ascii="Times New Roman" w:cs="Times New Roman" w:eastAsia="Times New Roman" w:hAnsi="Times New Roman"/>
                <w:sz w:val="20"/>
                <w:szCs w:val="20"/>
                <w:color w:val="231F20"/>
              </w:rPr>
              <w:t>......................................................................................</w:t>
            </w:r>
          </w:p>
        </w:tc>
        <w:tc>
          <w:tcPr>
            <w:tcW w:w="260" w:type="dxa"/>
            <w:vAlign w:val="bottom"/>
            <w:tcBorders>
              <w:bottom w:val="single" w:sz="8" w:color="231F20"/>
            </w:tcBorders>
          </w:tcPr>
          <w:p>
            <w:pPr>
              <w:spacing w:after="0"/>
              <w:rPr>
                <w:sz w:val="24"/>
                <w:szCs w:val="24"/>
                <w:color w:val="auto"/>
              </w:rPr>
            </w:pP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143.3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52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20"/>
                <w:szCs w:val="20"/>
                <w:color w:val="231F20"/>
              </w:rPr>
              <w:t>Total</w:t>
            </w:r>
          </w:p>
        </w:tc>
        <w:tc>
          <w:tcPr>
            <w:tcW w:w="260" w:type="dxa"/>
            <w:vAlign w:val="bottom"/>
            <w:tcBorders>
              <w:bottom w:val="single" w:sz="8" w:color="231F20"/>
            </w:tcBorders>
          </w:tcPr>
          <w:p>
            <w:pPr>
              <w:jc w:val="right"/>
              <w:ind w:right="59"/>
              <w:spacing w:after="0"/>
              <w:rPr>
                <w:sz w:val="20"/>
                <w:szCs w:val="20"/>
                <w:color w:val="auto"/>
              </w:rPr>
            </w:pPr>
            <w:r>
              <w:rPr>
                <w:rFonts w:ascii="Arial" w:cs="Arial" w:eastAsia="Arial" w:hAnsi="Arial"/>
                <w:sz w:val="20"/>
                <w:szCs w:val="20"/>
                <w:color w:val="231F20"/>
                <w:w w:val="71"/>
              </w:rPr>
              <w:t>$</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180.</w:t>
            </w:r>
            <w:r>
              <w:rPr>
                <w:rFonts w:ascii="Arial" w:cs="Arial" w:eastAsia="Arial" w:hAnsi="Arial"/>
                <w:sz w:val="20"/>
                <w:szCs w:val="20"/>
                <w:u w:val="single" w:color="auto"/>
                <w:color w:val="231F20"/>
              </w:rPr>
              <w:t>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460"/>
          </w:cols>
          <w:pgMar w:left="1380" w:top="1346" w:right="1400" w:bottom="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65</w:t>
      </w:r>
    </w:p>
    <w:p>
      <w:pPr>
        <w:sectPr>
          <w:pgSz w:w="12240" w:h="15840" w:orient="portrait"/>
          <w:cols w:equalWidth="0" w:num="1">
            <w:col w:w="9460"/>
          </w:cols>
          <w:pgMar w:left="1380" w:top="1346" w:right="1400" w:bottom="95" w:gutter="0" w:footer="0" w:header="0"/>
          <w:type w:val="continuous"/>
        </w:sectPr>
      </w:pPr>
    </w:p>
    <w:bookmarkStart w:id="73" w:name="page74"/>
    <w:bookmarkEnd w:id="73"/>
    <w:p>
      <w:pPr>
        <w:ind w:left="400" w:hanging="394"/>
        <w:spacing w:after="0"/>
        <w:tabs>
          <w:tab w:leader="none" w:pos="400" w:val="left"/>
        </w:tabs>
        <w:numPr>
          <w:ilvl w:val="0"/>
          <w:numId w:val="32"/>
        </w:numPr>
        <w:rPr>
          <w:rFonts w:ascii="Arial" w:cs="Arial" w:eastAsia="Arial" w:hAnsi="Arial"/>
          <w:sz w:val="20"/>
          <w:szCs w:val="20"/>
          <w:b w:val="1"/>
          <w:bCs w:val="1"/>
          <w:color w:val="231F20"/>
        </w:rPr>
      </w:pPr>
      <w:r>
        <w:rPr>
          <w:rFonts w:ascii="Arial" w:cs="Arial" w:eastAsia="Arial" w:hAnsi="Arial"/>
          <w:sz w:val="20"/>
          <w:szCs w:val="20"/>
          <w:b w:val="1"/>
          <w:bCs w:val="1"/>
          <w:color w:val="231F20"/>
        </w:rPr>
        <w:t>External Debt and Financing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Unsecured Senior Notes</w:t>
      </w:r>
    </w:p>
    <w:p>
      <w:pPr>
        <w:spacing w:after="0" w:line="185" w:lineRule="exact"/>
        <w:rPr>
          <w:sz w:val="20"/>
          <w:szCs w:val="20"/>
          <w:color w:val="auto"/>
        </w:rPr>
      </w:pPr>
    </w:p>
    <w:p>
      <w:pPr>
        <w:ind w:right="580"/>
        <w:spacing w:after="0" w:line="263" w:lineRule="auto"/>
        <w:rPr>
          <w:sz w:val="20"/>
          <w:szCs w:val="20"/>
          <w:color w:val="auto"/>
        </w:rPr>
      </w:pPr>
      <w:r>
        <w:rPr>
          <w:rFonts w:ascii="Arial" w:cs="Arial" w:eastAsia="Arial" w:hAnsi="Arial"/>
          <w:sz w:val="20"/>
          <w:szCs w:val="20"/>
          <w:color w:val="231F20"/>
        </w:rPr>
        <w:t>In September 2023, we redeemed all $600 million in aggregate principal of our 2023 4.000% senior unsecured notes in September 2023 at their maturity date using cash on hand.</w:t>
      </w:r>
    </w:p>
    <w:p>
      <w:pPr>
        <w:spacing w:after="0" w:line="124" w:lineRule="exact"/>
        <w:rPr>
          <w:sz w:val="20"/>
          <w:szCs w:val="20"/>
          <w:color w:val="auto"/>
        </w:rPr>
      </w:pPr>
    </w:p>
    <w:p>
      <w:pPr>
        <w:ind w:right="300"/>
        <w:spacing w:after="0" w:line="235" w:lineRule="auto"/>
        <w:rPr>
          <w:sz w:val="20"/>
          <w:szCs w:val="20"/>
          <w:color w:val="auto"/>
        </w:rPr>
      </w:pPr>
      <w:r>
        <w:rPr>
          <w:rFonts w:ascii="Arial" w:cs="Arial" w:eastAsia="Arial" w:hAnsi="Arial"/>
          <w:sz w:val="20"/>
          <w:szCs w:val="20"/>
          <w:color w:val="231F20"/>
        </w:rPr>
        <w:t>In June 2023, the Company issued $600 million in aggregate principal amount of 5.875% senior unsecured notes maturing in 2033 in a registered public offering. The Company used the net proceeds from the notes offering to redeem its 2023 4.000% senior unsecured notes that matured in September 2023 and for general corporate purposes.</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231F20"/>
        </w:rPr>
        <w:t>At December 30, 2023, the Company had aggregate outstanding notes in the principal amount of $2.7 billion, with varying maturities (the “Notes”). The Notes are unsecured senior obligations of the Company. The following table provides a summary of the Company’s outstanding Notes, including the carrying value of the Notes, net of underwriting commissions, price discounts and debt issuance costs, as of December 30, 2023 and December 31, 2022:</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Arial" w:cs="Arial" w:eastAsia="Arial" w:hAnsi="Arial"/>
                <w:sz w:val="15"/>
                <w:szCs w:val="15"/>
                <w:i w:val="1"/>
                <w:iCs w:val="1"/>
                <w:color w:val="231F20"/>
              </w:rPr>
              <w:t>(in millions)</w:t>
            </w:r>
          </w:p>
        </w:tc>
        <w:tc>
          <w:tcPr>
            <w:tcW w:w="980" w:type="dxa"/>
            <w:vAlign w:val="bottom"/>
            <w:vMerge w:val="restart"/>
          </w:tcPr>
          <w:p>
            <w:pPr>
              <w:jc w:val="right"/>
              <w:ind w:right="204"/>
              <w:spacing w:after="0"/>
              <w:rPr>
                <w:sz w:val="20"/>
                <w:szCs w:val="20"/>
                <w:color w:val="auto"/>
              </w:rPr>
            </w:pPr>
            <w:r>
              <w:rPr>
                <w:rFonts w:ascii="Arial" w:cs="Arial" w:eastAsia="Arial" w:hAnsi="Arial"/>
                <w:sz w:val="16"/>
                <w:szCs w:val="16"/>
                <w:color w:val="231F20"/>
              </w:rPr>
              <w:t>Principal</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2320" w:type="dxa"/>
            <w:vAlign w:val="bottom"/>
            <w:tcBorders>
              <w:bottom w:val="single" w:sz="8" w:color="231F20"/>
            </w:tcBorders>
            <w:gridSpan w:val="4"/>
          </w:tcPr>
          <w:p>
            <w:pPr>
              <w:jc w:val="right"/>
              <w:ind w:right="561"/>
              <w:spacing w:after="0"/>
              <w:rPr>
                <w:sz w:val="20"/>
                <w:szCs w:val="20"/>
                <w:color w:val="auto"/>
              </w:rPr>
            </w:pPr>
            <w:r>
              <w:rPr>
                <w:rFonts w:ascii="Arial" w:cs="Arial" w:eastAsia="Arial" w:hAnsi="Arial"/>
                <w:sz w:val="16"/>
                <w:szCs w:val="16"/>
                <w:color w:val="231F20"/>
              </w:rPr>
              <w:t>Net Carrying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vMerge w:val="restart"/>
          </w:tcPr>
          <w:p>
            <w:pPr>
              <w:ind w:left="540"/>
              <w:spacing w:after="0"/>
              <w:rPr>
                <w:sz w:val="20"/>
                <w:szCs w:val="20"/>
                <w:color w:val="auto"/>
              </w:rPr>
            </w:pPr>
            <w:r>
              <w:rPr>
                <w:rFonts w:ascii="Arial" w:cs="Arial" w:eastAsia="Arial" w:hAnsi="Arial"/>
                <w:sz w:val="16"/>
                <w:szCs w:val="16"/>
                <w:color w:val="231F20"/>
              </w:rPr>
              <w:t>Coupon Rate</w:t>
            </w: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color w:val="231F20"/>
              </w:rPr>
              <w:t>Issuance Date</w:t>
            </w:r>
          </w:p>
        </w:tc>
        <w:tc>
          <w:tcPr>
            <w:tcW w:w="10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6"/>
                <w:szCs w:val="16"/>
                <w:color w:val="231F20"/>
              </w:rPr>
              <w:t>Maturity Date</w:t>
            </w:r>
          </w:p>
        </w:tc>
        <w:tc>
          <w:tcPr>
            <w:tcW w:w="100" w:type="dxa"/>
            <w:vAlign w:val="bottom"/>
          </w:tcPr>
          <w:p>
            <w:pPr>
              <w:spacing w:after="0"/>
              <w:rPr>
                <w:sz w:val="14"/>
                <w:szCs w:val="14"/>
                <w:color w:val="auto"/>
              </w:rPr>
            </w:pPr>
          </w:p>
        </w:tc>
        <w:tc>
          <w:tcPr>
            <w:tcW w:w="1260" w:type="dxa"/>
            <w:vAlign w:val="bottom"/>
            <w:gridSpan w:val="2"/>
          </w:tcPr>
          <w:p>
            <w:pPr>
              <w:jc w:val="right"/>
              <w:ind w:right="83"/>
              <w:spacing w:after="0" w:line="161" w:lineRule="exact"/>
              <w:rPr>
                <w:sz w:val="20"/>
                <w:szCs w:val="20"/>
                <w:color w:val="auto"/>
              </w:rPr>
            </w:pPr>
            <w:r>
              <w:rPr>
                <w:rFonts w:ascii="Arial" w:cs="Arial" w:eastAsia="Arial" w:hAnsi="Arial"/>
                <w:sz w:val="16"/>
                <w:szCs w:val="16"/>
                <w:color w:val="231F20"/>
              </w:rPr>
              <w:t>December 30,</w:t>
            </w:r>
          </w:p>
        </w:tc>
        <w:tc>
          <w:tcPr>
            <w:tcW w:w="80" w:type="dxa"/>
            <w:vAlign w:val="bottom"/>
          </w:tcPr>
          <w:p>
            <w:pPr>
              <w:spacing w:after="0"/>
              <w:rPr>
                <w:sz w:val="14"/>
                <w:szCs w:val="14"/>
                <w:color w:val="auto"/>
              </w:rPr>
            </w:pPr>
          </w:p>
        </w:tc>
        <w:tc>
          <w:tcPr>
            <w:tcW w:w="1240" w:type="dxa"/>
            <w:vAlign w:val="bottom"/>
            <w:gridSpan w:val="2"/>
          </w:tcPr>
          <w:p>
            <w:pPr>
              <w:jc w:val="right"/>
              <w:ind w:right="61"/>
              <w:spacing w:after="0" w:line="161" w:lineRule="exact"/>
              <w:rPr>
                <w:sz w:val="20"/>
                <w:szCs w:val="20"/>
                <w:color w:val="auto"/>
              </w:rPr>
            </w:pPr>
            <w:r>
              <w:rPr>
                <w:rFonts w:ascii="Arial" w:cs="Arial" w:eastAsia="Arial" w:hAnsi="Arial"/>
                <w:sz w:val="16"/>
                <w:szCs w:val="16"/>
                <w:color w:val="231F20"/>
              </w:rPr>
              <w:t>December 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980" w:type="dxa"/>
            <w:vAlign w:val="bottom"/>
            <w:vMerge w:val="restart"/>
          </w:tcPr>
          <w:p>
            <w:pPr>
              <w:jc w:val="right"/>
              <w:ind w:right="244"/>
              <w:spacing w:after="0"/>
              <w:rPr>
                <w:sz w:val="20"/>
                <w:szCs w:val="20"/>
                <w:color w:val="auto"/>
              </w:rPr>
            </w:pPr>
            <w:r>
              <w:rPr>
                <w:rFonts w:ascii="Arial" w:cs="Arial" w:eastAsia="Arial" w:hAnsi="Arial"/>
                <w:sz w:val="16"/>
                <w:szCs w:val="16"/>
                <w:color w:val="231F20"/>
              </w:rPr>
              <w:t>Amount</w:t>
            </w:r>
          </w:p>
        </w:tc>
        <w:tc>
          <w:tcPr>
            <w:tcW w:w="10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vMerge w:val="restart"/>
          </w:tcPr>
          <w:p>
            <w:pPr>
              <w:jc w:val="right"/>
              <w:ind w:right="403"/>
              <w:spacing w:after="0"/>
              <w:rPr>
                <w:sz w:val="20"/>
                <w:szCs w:val="20"/>
                <w:color w:val="auto"/>
              </w:rPr>
            </w:pPr>
            <w:r>
              <w:rPr>
                <w:rFonts w:ascii="Arial" w:cs="Arial" w:eastAsia="Arial" w:hAnsi="Arial"/>
                <w:sz w:val="16"/>
                <w:szCs w:val="16"/>
                <w:color w:val="231F20"/>
              </w:rPr>
              <w:t>2023</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vMerge w:val="restart"/>
          </w:tcPr>
          <w:p>
            <w:pPr>
              <w:jc w:val="right"/>
              <w:ind w:right="381"/>
              <w:spacing w:after="0"/>
              <w:rPr>
                <w:sz w:val="20"/>
                <w:szCs w:val="20"/>
                <w:color w:val="auto"/>
              </w:rPr>
            </w:pPr>
            <w:r>
              <w:rPr>
                <w:rFonts w:ascii="Arial" w:cs="Arial" w:eastAsia="Arial" w:hAnsi="Arial"/>
                <w:sz w:val="16"/>
                <w:szCs w:val="16"/>
                <w:color w:val="231F20"/>
              </w:rPr>
              <w:t>2022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20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tcBorders>
              <w:bottom w:val="single" w:sz="8" w:color="231F20"/>
            </w:tcBorders>
          </w:tcPr>
          <w:p>
            <w:pPr>
              <w:spacing w:after="0"/>
              <w:rPr>
                <w:sz w:val="6"/>
                <w:szCs w:val="6"/>
                <w:color w:val="auto"/>
              </w:rPr>
            </w:pPr>
          </w:p>
        </w:tc>
        <w:tc>
          <w:tcPr>
            <w:tcW w:w="100" w:type="dxa"/>
            <w:vAlign w:val="bottom"/>
          </w:tcPr>
          <w:p>
            <w:pPr>
              <w:spacing w:after="0"/>
              <w:rPr>
                <w:sz w:val="6"/>
                <w:szCs w:val="6"/>
                <w:color w:val="auto"/>
              </w:rPr>
            </w:pPr>
          </w:p>
        </w:tc>
        <w:tc>
          <w:tcPr>
            <w:tcW w:w="1760" w:type="dxa"/>
            <w:vAlign w:val="bottom"/>
            <w:tcBorders>
              <w:bottom w:val="single" w:sz="8" w:color="231F20"/>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231F20"/>
            </w:tcBorders>
          </w:tcPr>
          <w:p>
            <w:pPr>
              <w:spacing w:after="0"/>
              <w:rPr>
                <w:sz w:val="6"/>
                <w:szCs w:val="6"/>
                <w:color w:val="auto"/>
              </w:rPr>
            </w:pPr>
          </w:p>
        </w:tc>
        <w:tc>
          <w:tcPr>
            <w:tcW w:w="1000" w:type="dxa"/>
            <w:vAlign w:val="bottom"/>
            <w:tcBorders>
              <w:bottom w:val="single" w:sz="8" w:color="231F20"/>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231F20"/>
            </w:tcBorders>
          </w:tcPr>
          <w:p>
            <w:pPr>
              <w:spacing w:after="0"/>
              <w:rPr>
                <w:sz w:val="6"/>
                <w:szCs w:val="6"/>
                <w:color w:val="auto"/>
              </w:rPr>
            </w:pPr>
          </w:p>
        </w:tc>
        <w:tc>
          <w:tcPr>
            <w:tcW w:w="980" w:type="dxa"/>
            <w:vAlign w:val="bottom"/>
            <w:tcBorders>
              <w:bottom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2" w:lineRule="exact"/>
              <w:rPr>
                <w:sz w:val="20"/>
                <w:szCs w:val="20"/>
                <w:color w:val="auto"/>
              </w:rPr>
            </w:pPr>
            <w:r>
              <w:rPr>
                <w:rFonts w:ascii="Arial" w:cs="Arial" w:eastAsia="Arial" w:hAnsi="Arial"/>
                <w:sz w:val="20"/>
                <w:szCs w:val="20"/>
                <w:color w:val="231F20"/>
              </w:rPr>
              <w:t>4.000%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980" w:type="dxa"/>
            <w:vAlign w:val="bottom"/>
          </w:tcPr>
          <w:p>
            <w:pPr>
              <w:jc w:val="right"/>
              <w:ind w:right="4"/>
              <w:spacing w:after="0" w:line="203" w:lineRule="exact"/>
              <w:rPr>
                <w:sz w:val="20"/>
                <w:szCs w:val="20"/>
                <w:color w:val="auto"/>
              </w:rPr>
            </w:pPr>
            <w:r>
              <w:rPr>
                <w:rFonts w:ascii="Arial" w:cs="Arial" w:eastAsia="Arial" w:hAnsi="Arial"/>
                <w:sz w:val="20"/>
                <w:szCs w:val="20"/>
                <w:color w:val="231F20"/>
              </w:rPr>
              <w:t>500.0</w:t>
            </w:r>
          </w:p>
        </w:tc>
        <w:tc>
          <w:tcPr>
            <w:tcW w:w="100" w:type="dxa"/>
            <w:vAlign w:val="bottom"/>
          </w:tcPr>
          <w:p>
            <w:pPr>
              <w:spacing w:after="0"/>
              <w:rPr>
                <w:sz w:val="17"/>
                <w:szCs w:val="17"/>
                <w:color w:val="auto"/>
              </w:rPr>
            </w:pPr>
          </w:p>
        </w:tc>
        <w:tc>
          <w:tcPr>
            <w:tcW w:w="1600" w:type="dxa"/>
            <w:vAlign w:val="bottom"/>
          </w:tcPr>
          <w:p>
            <w:pPr>
              <w:jc w:val="center"/>
              <w:spacing w:after="0" w:line="203" w:lineRule="exact"/>
              <w:rPr>
                <w:sz w:val="20"/>
                <w:szCs w:val="20"/>
                <w:color w:val="auto"/>
              </w:rPr>
            </w:pPr>
            <w:r>
              <w:rPr>
                <w:rFonts w:ascii="Arial" w:cs="Arial" w:eastAsia="Arial" w:hAnsi="Arial"/>
                <w:sz w:val="20"/>
                <w:szCs w:val="20"/>
                <w:color w:val="231F20"/>
              </w:rPr>
              <w:t>June 2015</w:t>
            </w:r>
          </w:p>
        </w:tc>
        <w:tc>
          <w:tcPr>
            <w:tcW w:w="100" w:type="dxa"/>
            <w:vAlign w:val="bottom"/>
          </w:tcPr>
          <w:p>
            <w:pPr>
              <w:spacing w:after="0"/>
              <w:rPr>
                <w:sz w:val="17"/>
                <w:szCs w:val="17"/>
                <w:color w:val="auto"/>
              </w:rPr>
            </w:pPr>
          </w:p>
        </w:tc>
        <w:tc>
          <w:tcPr>
            <w:tcW w:w="1760" w:type="dxa"/>
            <w:vAlign w:val="bottom"/>
          </w:tcPr>
          <w:p>
            <w:pPr>
              <w:jc w:val="center"/>
              <w:spacing w:after="0" w:line="203" w:lineRule="exact"/>
              <w:rPr>
                <w:sz w:val="20"/>
                <w:szCs w:val="20"/>
                <w:color w:val="auto"/>
              </w:rPr>
            </w:pPr>
            <w:r>
              <w:rPr>
                <w:rFonts w:ascii="Arial" w:cs="Arial" w:eastAsia="Arial" w:hAnsi="Arial"/>
                <w:sz w:val="20"/>
                <w:szCs w:val="20"/>
                <w:color w:val="231F20"/>
              </w:rPr>
              <w:t>June 2025</w:t>
            </w:r>
          </w:p>
        </w:tc>
        <w:tc>
          <w:tcPr>
            <w:tcW w:w="100" w:type="dxa"/>
            <w:vAlign w:val="bottom"/>
          </w:tcPr>
          <w:p>
            <w:pPr>
              <w:spacing w:after="0"/>
              <w:rPr>
                <w:sz w:val="17"/>
                <w:szCs w:val="17"/>
                <w:color w:val="auto"/>
              </w:rPr>
            </w:pPr>
          </w:p>
        </w:tc>
        <w:tc>
          <w:tcPr>
            <w:tcW w:w="260" w:type="dxa"/>
            <w:vAlign w:val="bottom"/>
          </w:tcPr>
          <w:p>
            <w:pPr>
              <w:jc w:val="right"/>
              <w:ind w:right="46"/>
              <w:spacing w:after="0" w:line="203" w:lineRule="exact"/>
              <w:rPr>
                <w:sz w:val="20"/>
                <w:szCs w:val="20"/>
                <w:color w:val="auto"/>
              </w:rPr>
            </w:pPr>
            <w:r>
              <w:rPr>
                <w:rFonts w:ascii="Arial" w:cs="Arial" w:eastAsia="Arial" w:hAnsi="Arial"/>
                <w:sz w:val="20"/>
                <w:szCs w:val="20"/>
                <w:color w:val="231F20"/>
                <w:w w:val="89"/>
              </w:rPr>
              <w:t>$</w:t>
            </w:r>
          </w:p>
        </w:tc>
        <w:tc>
          <w:tcPr>
            <w:tcW w:w="1000" w:type="dxa"/>
            <w:vAlign w:val="bottom"/>
          </w:tcPr>
          <w:p>
            <w:pPr>
              <w:jc w:val="right"/>
              <w:ind w:right="3"/>
              <w:spacing w:after="0" w:line="203" w:lineRule="exact"/>
              <w:rPr>
                <w:sz w:val="20"/>
                <w:szCs w:val="20"/>
                <w:color w:val="auto"/>
              </w:rPr>
            </w:pPr>
            <w:r>
              <w:rPr>
                <w:rFonts w:ascii="Arial" w:cs="Arial" w:eastAsia="Arial" w:hAnsi="Arial"/>
                <w:sz w:val="20"/>
                <w:szCs w:val="20"/>
                <w:color w:val="231F20"/>
              </w:rPr>
              <w:t>498.9</w:t>
            </w:r>
          </w:p>
        </w:tc>
        <w:tc>
          <w:tcPr>
            <w:tcW w:w="80" w:type="dxa"/>
            <w:vAlign w:val="bottom"/>
          </w:tcPr>
          <w:p>
            <w:pPr>
              <w:spacing w:after="0"/>
              <w:rPr>
                <w:sz w:val="17"/>
                <w:szCs w:val="17"/>
                <w:color w:val="auto"/>
              </w:rPr>
            </w:pPr>
          </w:p>
        </w:tc>
        <w:tc>
          <w:tcPr>
            <w:tcW w:w="260" w:type="dxa"/>
            <w:vAlign w:val="bottom"/>
          </w:tcPr>
          <w:p>
            <w:pPr>
              <w:jc w:val="right"/>
              <w:ind w:right="46"/>
              <w:spacing w:after="0" w:line="203" w:lineRule="exact"/>
              <w:rPr>
                <w:sz w:val="20"/>
                <w:szCs w:val="20"/>
                <w:color w:val="auto"/>
              </w:rPr>
            </w:pPr>
            <w:r>
              <w:rPr>
                <w:rFonts w:ascii="Arial" w:cs="Arial" w:eastAsia="Arial" w:hAnsi="Arial"/>
                <w:sz w:val="20"/>
                <w:szCs w:val="20"/>
                <w:color w:val="231F20"/>
                <w:w w:val="89"/>
              </w:rPr>
              <w:t>$</w:t>
            </w:r>
          </w:p>
        </w:tc>
        <w:tc>
          <w:tcPr>
            <w:tcW w:w="980" w:type="dxa"/>
            <w:vAlign w:val="bottom"/>
          </w:tcPr>
          <w:p>
            <w:pPr>
              <w:jc w:val="right"/>
              <w:ind w:right="1"/>
              <w:spacing w:after="0" w:line="203" w:lineRule="exact"/>
              <w:rPr>
                <w:sz w:val="20"/>
                <w:szCs w:val="20"/>
                <w:color w:val="auto"/>
              </w:rPr>
            </w:pPr>
            <w:r>
              <w:rPr>
                <w:rFonts w:ascii="Arial" w:cs="Arial" w:eastAsia="Arial" w:hAnsi="Arial"/>
                <w:sz w:val="20"/>
                <w:szCs w:val="20"/>
                <w:color w:val="231F20"/>
              </w:rPr>
              <w:t>498.1</w:t>
            </w:r>
          </w:p>
        </w:tc>
        <w:tc>
          <w:tcPr>
            <w:tcW w:w="0" w:type="dxa"/>
            <w:vAlign w:val="bottom"/>
          </w:tcPr>
          <w:p>
            <w:pPr>
              <w:spacing w:after="0"/>
              <w:rPr>
                <w:sz w:val="1"/>
                <w:szCs w:val="1"/>
                <w:color w:val="auto"/>
              </w:rPr>
            </w:pPr>
          </w:p>
        </w:tc>
      </w:tr>
      <w:tr>
        <w:trPr>
          <w:trHeight w:val="233"/>
        </w:trPr>
        <w:tc>
          <w:tcPr>
            <w:tcW w:w="2220" w:type="dxa"/>
            <w:vAlign w:val="bottom"/>
            <w:gridSpan w:val="2"/>
          </w:tcPr>
          <w:p>
            <w:pPr>
              <w:spacing w:after="0"/>
              <w:rPr>
                <w:sz w:val="20"/>
                <w:szCs w:val="20"/>
                <w:color w:val="auto"/>
              </w:rPr>
            </w:pPr>
            <w:r>
              <w:rPr>
                <w:rFonts w:ascii="Arial" w:cs="Arial" w:eastAsia="Arial" w:hAnsi="Arial"/>
                <w:sz w:val="20"/>
                <w:szCs w:val="20"/>
                <w:color w:val="231F20"/>
              </w:rPr>
              <w:t>4.000%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980" w:type="dxa"/>
            <w:vAlign w:val="bottom"/>
          </w:tcPr>
          <w:p>
            <w:pPr>
              <w:jc w:val="right"/>
              <w:ind w:right="4"/>
              <w:spacing w:after="0"/>
              <w:rPr>
                <w:sz w:val="20"/>
                <w:szCs w:val="20"/>
                <w:color w:val="auto"/>
              </w:rPr>
            </w:pPr>
            <w:r>
              <w:rPr>
                <w:rFonts w:ascii="Arial" w:cs="Arial" w:eastAsia="Arial" w:hAnsi="Arial"/>
                <w:sz w:val="20"/>
                <w:szCs w:val="20"/>
                <w:color w:val="231F20"/>
              </w:rPr>
              <w:t>600.0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231F20"/>
              </w:rPr>
              <w:t>September 2018</w:t>
            </w: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231F20"/>
              </w:rPr>
              <w:t>September 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Arial" w:cs="Arial" w:eastAsia="Arial" w:hAnsi="Arial"/>
                <w:sz w:val="20"/>
                <w:szCs w:val="20"/>
                <w:color w:val="231F20"/>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231F20"/>
              </w:rPr>
              <w:t>599.2</w:t>
            </w:r>
          </w:p>
        </w:tc>
        <w:tc>
          <w:tcPr>
            <w:tcW w:w="0" w:type="dxa"/>
            <w:vAlign w:val="bottom"/>
          </w:tcPr>
          <w:p>
            <w:pPr>
              <w:spacing w:after="0"/>
              <w:rPr>
                <w:sz w:val="1"/>
                <w:szCs w:val="1"/>
                <w:color w:val="auto"/>
              </w:rPr>
            </w:pPr>
          </w:p>
        </w:tc>
      </w:tr>
      <w:tr>
        <w:trPr>
          <w:trHeight w:val="233"/>
        </w:trPr>
        <w:tc>
          <w:tcPr>
            <w:tcW w:w="2220" w:type="dxa"/>
            <w:vAlign w:val="bottom"/>
            <w:gridSpan w:val="2"/>
          </w:tcPr>
          <w:p>
            <w:pPr>
              <w:spacing w:after="0"/>
              <w:rPr>
                <w:sz w:val="20"/>
                <w:szCs w:val="20"/>
                <w:color w:val="auto"/>
              </w:rPr>
            </w:pPr>
            <w:r>
              <w:rPr>
                <w:rFonts w:ascii="Arial" w:cs="Arial" w:eastAsia="Arial" w:hAnsi="Arial"/>
                <w:sz w:val="20"/>
                <w:szCs w:val="20"/>
                <w:color w:val="231F20"/>
              </w:rPr>
              <w:t>3.250%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980" w:type="dxa"/>
            <w:vAlign w:val="bottom"/>
          </w:tcPr>
          <w:p>
            <w:pPr>
              <w:jc w:val="right"/>
              <w:ind w:right="4"/>
              <w:spacing w:after="0"/>
              <w:rPr>
                <w:sz w:val="20"/>
                <w:szCs w:val="20"/>
                <w:color w:val="auto"/>
              </w:rPr>
            </w:pPr>
            <w:r>
              <w:rPr>
                <w:rFonts w:ascii="Arial" w:cs="Arial" w:eastAsia="Arial" w:hAnsi="Arial"/>
                <w:sz w:val="20"/>
                <w:szCs w:val="20"/>
                <w:color w:val="231F20"/>
              </w:rPr>
              <w:t>700.0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231F20"/>
              </w:rPr>
              <w:t>September 2019</w:t>
            </w: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231F20"/>
              </w:rPr>
              <w:t>September 2029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Arial" w:cs="Arial" w:eastAsia="Arial" w:hAnsi="Arial"/>
                <w:sz w:val="20"/>
                <w:szCs w:val="20"/>
                <w:color w:val="231F20"/>
              </w:rPr>
              <w:t>695.7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231F20"/>
              </w:rPr>
              <w:t>695.0</w:t>
            </w:r>
          </w:p>
        </w:tc>
        <w:tc>
          <w:tcPr>
            <w:tcW w:w="0" w:type="dxa"/>
            <w:vAlign w:val="bottom"/>
          </w:tcPr>
          <w:p>
            <w:pPr>
              <w:spacing w:after="0"/>
              <w:rPr>
                <w:sz w:val="1"/>
                <w:szCs w:val="1"/>
                <w:color w:val="auto"/>
              </w:rPr>
            </w:pPr>
          </w:p>
        </w:tc>
      </w:tr>
      <w:tr>
        <w:trPr>
          <w:trHeight w:val="233"/>
        </w:trPr>
        <w:tc>
          <w:tcPr>
            <w:tcW w:w="2220" w:type="dxa"/>
            <w:vAlign w:val="bottom"/>
            <w:gridSpan w:val="2"/>
          </w:tcPr>
          <w:p>
            <w:pPr>
              <w:spacing w:after="0"/>
              <w:rPr>
                <w:sz w:val="20"/>
                <w:szCs w:val="20"/>
                <w:color w:val="auto"/>
              </w:rPr>
            </w:pPr>
            <w:r>
              <w:rPr>
                <w:rFonts w:ascii="Arial" w:cs="Arial" w:eastAsia="Arial" w:hAnsi="Arial"/>
                <w:sz w:val="20"/>
                <w:szCs w:val="20"/>
                <w:color w:val="231F20"/>
              </w:rPr>
              <w:t>4.000%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980" w:type="dxa"/>
            <w:vAlign w:val="bottom"/>
          </w:tcPr>
          <w:p>
            <w:pPr>
              <w:jc w:val="right"/>
              <w:ind w:right="4"/>
              <w:spacing w:after="0"/>
              <w:rPr>
                <w:sz w:val="20"/>
                <w:szCs w:val="20"/>
                <w:color w:val="auto"/>
              </w:rPr>
            </w:pPr>
            <w:r>
              <w:rPr>
                <w:rFonts w:ascii="Arial" w:cs="Arial" w:eastAsia="Arial" w:hAnsi="Arial"/>
                <w:sz w:val="20"/>
                <w:szCs w:val="20"/>
                <w:color w:val="231F20"/>
              </w:rPr>
              <w:t>450.0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231F20"/>
              </w:rPr>
              <w:t>March 2022</w:t>
            </w: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231F20"/>
              </w:rPr>
              <w:t>March 2032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Arial" w:cs="Arial" w:eastAsia="Arial" w:hAnsi="Arial"/>
                <w:sz w:val="20"/>
                <w:szCs w:val="20"/>
                <w:color w:val="231F20"/>
              </w:rPr>
              <w:t>446.2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231F20"/>
              </w:rPr>
              <w:t>445.8</w:t>
            </w:r>
          </w:p>
        </w:tc>
        <w:tc>
          <w:tcPr>
            <w:tcW w:w="0" w:type="dxa"/>
            <w:vAlign w:val="bottom"/>
          </w:tcPr>
          <w:p>
            <w:pPr>
              <w:spacing w:after="0"/>
              <w:rPr>
                <w:sz w:val="1"/>
                <w:szCs w:val="1"/>
                <w:color w:val="auto"/>
              </w:rPr>
            </w:pPr>
          </w:p>
        </w:tc>
      </w:tr>
      <w:tr>
        <w:trPr>
          <w:trHeight w:val="233"/>
        </w:trPr>
        <w:tc>
          <w:tcPr>
            <w:tcW w:w="2220" w:type="dxa"/>
            <w:vAlign w:val="bottom"/>
            <w:gridSpan w:val="2"/>
          </w:tcPr>
          <w:p>
            <w:pPr>
              <w:spacing w:after="0"/>
              <w:rPr>
                <w:sz w:val="20"/>
                <w:szCs w:val="20"/>
                <w:color w:val="auto"/>
              </w:rPr>
            </w:pPr>
            <w:r>
              <w:rPr>
                <w:rFonts w:ascii="Arial" w:cs="Arial" w:eastAsia="Arial" w:hAnsi="Arial"/>
                <w:sz w:val="20"/>
                <w:szCs w:val="20"/>
                <w:color w:val="231F20"/>
              </w:rPr>
              <w:t>4.500%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980" w:type="dxa"/>
            <w:vAlign w:val="bottom"/>
          </w:tcPr>
          <w:p>
            <w:pPr>
              <w:jc w:val="right"/>
              <w:ind w:right="4"/>
              <w:spacing w:after="0"/>
              <w:rPr>
                <w:sz w:val="20"/>
                <w:szCs w:val="20"/>
                <w:color w:val="auto"/>
              </w:rPr>
            </w:pPr>
            <w:r>
              <w:rPr>
                <w:rFonts w:ascii="Arial" w:cs="Arial" w:eastAsia="Arial" w:hAnsi="Arial"/>
                <w:sz w:val="20"/>
                <w:szCs w:val="20"/>
                <w:color w:val="231F20"/>
              </w:rPr>
              <w:t>450.0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231F20"/>
              </w:rPr>
              <w:t>March 2022</w:t>
            </w: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231F20"/>
              </w:rPr>
              <w:t>March 2052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Arial" w:cs="Arial" w:eastAsia="Arial" w:hAnsi="Arial"/>
                <w:sz w:val="20"/>
                <w:szCs w:val="20"/>
                <w:color w:val="231F20"/>
              </w:rPr>
              <w:t>435.9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231F20"/>
              </w:rPr>
              <w:t>435.4</w:t>
            </w:r>
          </w:p>
        </w:tc>
        <w:tc>
          <w:tcPr>
            <w:tcW w:w="0" w:type="dxa"/>
            <w:vAlign w:val="bottom"/>
          </w:tcPr>
          <w:p>
            <w:pPr>
              <w:spacing w:after="0"/>
              <w:rPr>
                <w:sz w:val="1"/>
                <w:szCs w:val="1"/>
                <w:color w:val="auto"/>
              </w:rPr>
            </w:pPr>
          </w:p>
        </w:tc>
      </w:tr>
      <w:tr>
        <w:trPr>
          <w:trHeight w:val="253"/>
        </w:trPr>
        <w:tc>
          <w:tcPr>
            <w:tcW w:w="2220" w:type="dxa"/>
            <w:vAlign w:val="bottom"/>
            <w:gridSpan w:val="2"/>
          </w:tcPr>
          <w:p>
            <w:pPr>
              <w:spacing w:after="0"/>
              <w:rPr>
                <w:sz w:val="20"/>
                <w:szCs w:val="20"/>
                <w:color w:val="auto"/>
              </w:rPr>
            </w:pPr>
            <w:r>
              <w:rPr>
                <w:rFonts w:ascii="Arial" w:cs="Arial" w:eastAsia="Arial" w:hAnsi="Arial"/>
                <w:sz w:val="20"/>
                <w:szCs w:val="20"/>
                <w:color w:val="231F20"/>
              </w:rPr>
              <w:t>5.875% Senior Notes</w:t>
            </w:r>
            <w:r>
              <w:rPr>
                <w:rFonts w:ascii="Times New Roman" w:cs="Times New Roman" w:eastAsia="Times New Roman" w:hAnsi="Times New Roman"/>
                <w:sz w:val="20"/>
                <w:szCs w:val="20"/>
                <w:color w:val="231F20"/>
              </w:rPr>
              <w:t>...</w:t>
            </w:r>
            <w:r>
              <w:rPr>
                <w:rFonts w:ascii="Arial" w:cs="Arial" w:eastAsia="Arial" w:hAnsi="Arial"/>
                <w:sz w:val="20"/>
                <w:szCs w:val="20"/>
                <w:color w:val="231F20"/>
              </w:rPr>
              <w:t>$</w:t>
            </w:r>
          </w:p>
        </w:tc>
        <w:tc>
          <w:tcPr>
            <w:tcW w:w="980" w:type="dxa"/>
            <w:vAlign w:val="bottom"/>
          </w:tcPr>
          <w:p>
            <w:pPr>
              <w:jc w:val="right"/>
              <w:ind w:right="4"/>
              <w:spacing w:after="0"/>
              <w:rPr>
                <w:sz w:val="20"/>
                <w:szCs w:val="20"/>
                <w:color w:val="auto"/>
              </w:rPr>
            </w:pPr>
            <w:r>
              <w:rPr>
                <w:rFonts w:ascii="Arial" w:cs="Arial" w:eastAsia="Arial" w:hAnsi="Arial"/>
                <w:sz w:val="20"/>
                <w:szCs w:val="20"/>
                <w:color w:val="231F20"/>
              </w:rPr>
              <w:t>600.0</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20"/>
                <w:szCs w:val="20"/>
                <w:color w:val="231F20"/>
              </w:rPr>
              <w:t>June 2023</w:t>
            </w:r>
          </w:p>
        </w:tc>
        <w:tc>
          <w:tcPr>
            <w:tcW w:w="100" w:type="dxa"/>
            <w:vAlign w:val="bottom"/>
          </w:tcPr>
          <w:p>
            <w:pPr>
              <w:spacing w:after="0"/>
              <w:rPr>
                <w:sz w:val="22"/>
                <w:szCs w:val="22"/>
                <w:color w:val="auto"/>
              </w:rPr>
            </w:pPr>
          </w:p>
        </w:tc>
        <w:tc>
          <w:tcPr>
            <w:tcW w:w="1760" w:type="dxa"/>
            <w:vAlign w:val="bottom"/>
          </w:tcPr>
          <w:p>
            <w:pPr>
              <w:jc w:val="center"/>
              <w:spacing w:after="0"/>
              <w:rPr>
                <w:sz w:val="20"/>
                <w:szCs w:val="20"/>
                <w:color w:val="auto"/>
              </w:rPr>
            </w:pPr>
            <w:r>
              <w:rPr>
                <w:rFonts w:ascii="Arial" w:cs="Arial" w:eastAsia="Arial" w:hAnsi="Arial"/>
                <w:sz w:val="20"/>
                <w:szCs w:val="20"/>
                <w:color w:val="231F20"/>
              </w:rPr>
              <w:t>June 2033</w:t>
            </w:r>
          </w:p>
        </w:tc>
        <w:tc>
          <w:tcPr>
            <w:tcW w:w="10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ind w:right="3"/>
              <w:spacing w:after="0"/>
              <w:rPr>
                <w:sz w:val="20"/>
                <w:szCs w:val="20"/>
                <w:color w:val="auto"/>
              </w:rPr>
            </w:pPr>
            <w:r>
              <w:rPr>
                <w:rFonts w:ascii="Arial" w:cs="Arial" w:eastAsia="Arial" w:hAnsi="Arial"/>
                <w:sz w:val="20"/>
                <w:szCs w:val="20"/>
                <w:color w:val="231F20"/>
              </w:rPr>
              <w:t>593.4</w:t>
            </w:r>
          </w:p>
        </w:tc>
        <w:tc>
          <w:tcPr>
            <w:tcW w:w="80" w:type="dxa"/>
            <w:vAlign w:val="bottom"/>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00" w:type="dxa"/>
            <w:vAlign w:val="bottom"/>
          </w:tcPr>
          <w:p>
            <w:pPr>
              <w:ind w:left="260"/>
              <w:spacing w:after="0"/>
              <w:rPr>
                <w:sz w:val="20"/>
                <w:szCs w:val="20"/>
                <w:color w:val="auto"/>
              </w:rPr>
            </w:pPr>
            <w:r>
              <w:rPr>
                <w:rFonts w:ascii="Arial" w:cs="Arial" w:eastAsia="Arial" w:hAnsi="Arial"/>
                <w:sz w:val="20"/>
                <w:szCs w:val="20"/>
                <w:color w:val="231F20"/>
              </w:rPr>
              <w:t>Total Senior Notes</w:t>
            </w:r>
            <w:r>
              <w:rPr>
                <w:rFonts w:ascii="Times New Roman" w:cs="Times New Roman" w:eastAsia="Times New Roman" w:hAnsi="Times New Roman"/>
                <w:sz w:val="20"/>
                <w:szCs w:val="20"/>
                <w:color w:val="231F20"/>
              </w:rPr>
              <w:t>..</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46"/>
              <w:spacing w:after="0"/>
              <w:rPr>
                <w:sz w:val="20"/>
                <w:szCs w:val="20"/>
                <w:color w:val="auto"/>
              </w:rPr>
            </w:pPr>
            <w:r>
              <w:rPr>
                <w:rFonts w:ascii="Arial" w:cs="Arial" w:eastAsia="Arial" w:hAnsi="Arial"/>
                <w:sz w:val="20"/>
                <w:szCs w:val="20"/>
                <w:color w:val="231F20"/>
                <w:w w:val="89"/>
              </w:rPr>
              <w:t>$</w:t>
            </w:r>
          </w:p>
        </w:tc>
        <w:tc>
          <w:tcPr>
            <w:tcW w:w="1000" w:type="dxa"/>
            <w:vAlign w:val="bottom"/>
          </w:tcPr>
          <w:p>
            <w:pPr>
              <w:jc w:val="right"/>
              <w:ind w:right="3"/>
              <w:spacing w:after="0"/>
              <w:rPr>
                <w:sz w:val="20"/>
                <w:szCs w:val="20"/>
                <w:color w:val="auto"/>
              </w:rPr>
            </w:pPr>
            <w:r>
              <w:rPr>
                <w:rFonts w:ascii="Arial" w:cs="Arial" w:eastAsia="Arial" w:hAnsi="Arial"/>
                <w:sz w:val="20"/>
                <w:szCs w:val="20"/>
                <w:color w:val="231F20"/>
              </w:rPr>
              <w:t>2,670.1</w:t>
            </w:r>
          </w:p>
        </w:tc>
        <w:tc>
          <w:tcPr>
            <w:tcW w:w="80" w:type="dxa"/>
            <w:vAlign w:val="bottom"/>
          </w:tcPr>
          <w:p>
            <w:pPr>
              <w:spacing w:after="0"/>
              <w:rPr>
                <w:sz w:val="22"/>
                <w:szCs w:val="22"/>
                <w:color w:val="auto"/>
              </w:rPr>
            </w:pPr>
          </w:p>
        </w:tc>
        <w:tc>
          <w:tcPr>
            <w:tcW w:w="260" w:type="dxa"/>
            <w:vAlign w:val="bottom"/>
          </w:tcPr>
          <w:p>
            <w:pPr>
              <w:jc w:val="right"/>
              <w:ind w:right="46"/>
              <w:spacing w:after="0"/>
              <w:rPr>
                <w:sz w:val="20"/>
                <w:szCs w:val="20"/>
                <w:color w:val="auto"/>
              </w:rPr>
            </w:pPr>
            <w:r>
              <w:rPr>
                <w:rFonts w:ascii="Arial" w:cs="Arial" w:eastAsia="Arial" w:hAnsi="Arial"/>
                <w:sz w:val="20"/>
                <w:szCs w:val="20"/>
                <w:color w:val="231F20"/>
                <w:w w:val="89"/>
              </w:rPr>
              <w:t>$</w:t>
            </w:r>
          </w:p>
        </w:tc>
        <w:tc>
          <w:tcPr>
            <w:tcW w:w="980" w:type="dxa"/>
            <w:vAlign w:val="bottom"/>
          </w:tcPr>
          <w:p>
            <w:pPr>
              <w:jc w:val="right"/>
              <w:ind w:right="1"/>
              <w:spacing w:after="0"/>
              <w:rPr>
                <w:sz w:val="20"/>
                <w:szCs w:val="20"/>
                <w:color w:val="auto"/>
              </w:rPr>
            </w:pPr>
            <w:r>
              <w:rPr>
                <w:rFonts w:ascii="Arial" w:cs="Arial" w:eastAsia="Arial" w:hAnsi="Arial"/>
                <w:sz w:val="20"/>
                <w:szCs w:val="20"/>
                <w:color w:val="231F20"/>
              </w:rPr>
              <w:t>2,673.5</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20"/>
          <w:szCs w:val="20"/>
          <w:color w:val="231F20"/>
        </w:rPr>
        <w:t>As of December 30, 2023 and December 31, 2022, the components of long-term debt were as follows:</w:t>
      </w:r>
    </w:p>
    <w:p>
      <w:pPr>
        <w:sectPr>
          <w:pgSz w:w="12240" w:h="15840" w:orient="portrait"/>
          <w:cols w:equalWidth="0" w:num="1">
            <w:col w:w="9460"/>
          </w:cols>
          <w:pgMar w:left="1380" w:top="1342" w:right="1400" w:bottom="95" w:gutter="0" w:footer="0" w:header="0"/>
        </w:sectPr>
      </w:pP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160" w:type="dxa"/>
            <w:vAlign w:val="bottom"/>
            <w:tcBorders>
              <w:top w:val="single" w:sz="8" w:color="231F20"/>
              <w:bottom w:val="single" w:sz="8" w:color="231F20"/>
            </w:tcBorders>
          </w:tcPr>
          <w:p>
            <w:pPr>
              <w:spacing w:after="0" w:line="184"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520" w:type="dxa"/>
            <w:vAlign w:val="bottom"/>
            <w:tcBorders>
              <w:top w:val="single" w:sz="8" w:color="231F20"/>
              <w:bottom w:val="single" w:sz="8" w:color="231F20"/>
            </w:tcBorders>
          </w:tcPr>
          <w:p>
            <w:pPr>
              <w:spacing w:after="0"/>
              <w:rPr>
                <w:sz w:val="16"/>
                <w:szCs w:val="16"/>
                <w:color w:val="auto"/>
              </w:rPr>
            </w:pPr>
          </w:p>
        </w:tc>
        <w:tc>
          <w:tcPr>
            <w:tcW w:w="100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5"/>
                <w:szCs w:val="15"/>
                <w:i w:val="1"/>
                <w:iCs w:val="1"/>
                <w:color w:val="231F20"/>
              </w:rPr>
              <w:t>2023</w:t>
            </w:r>
          </w:p>
        </w:tc>
      </w:tr>
      <w:tr>
        <w:trPr>
          <w:trHeight w:val="202"/>
        </w:trPr>
        <w:tc>
          <w:tcPr>
            <w:tcW w:w="6160" w:type="dxa"/>
            <w:vAlign w:val="bottom"/>
          </w:tcPr>
          <w:p>
            <w:pPr>
              <w:spacing w:after="0" w:line="202" w:lineRule="exact"/>
              <w:rPr>
                <w:sz w:val="20"/>
                <w:szCs w:val="20"/>
                <w:color w:val="auto"/>
              </w:rPr>
            </w:pPr>
            <w:r>
              <w:rPr>
                <w:rFonts w:ascii="Arial" w:cs="Arial" w:eastAsia="Arial" w:hAnsi="Arial"/>
                <w:sz w:val="20"/>
                <w:szCs w:val="20"/>
                <w:color w:val="231F20"/>
              </w:rPr>
              <w:t>Notes (due 2025 to 2052)</w:t>
            </w:r>
            <w:r>
              <w:rPr>
                <w:rFonts w:ascii="Times New Roman" w:cs="Times New Roman" w:eastAsia="Times New Roman" w:hAnsi="Times New Roman"/>
                <w:sz w:val="20"/>
                <w:szCs w:val="20"/>
                <w:color w:val="231F20"/>
              </w:rPr>
              <w:t>...........................................................................</w:t>
            </w:r>
          </w:p>
        </w:tc>
        <w:tc>
          <w:tcPr>
            <w:tcW w:w="520" w:type="dxa"/>
            <w:vAlign w:val="bottom"/>
          </w:tcPr>
          <w:p>
            <w:pPr>
              <w:jc w:val="right"/>
              <w:ind w:right="219"/>
              <w:spacing w:after="0" w:line="203" w:lineRule="exact"/>
              <w:rPr>
                <w:sz w:val="20"/>
                <w:szCs w:val="20"/>
                <w:color w:val="auto"/>
              </w:rPr>
            </w:pPr>
            <w:r>
              <w:rPr>
                <w:rFonts w:ascii="Arial" w:cs="Arial" w:eastAsia="Arial" w:hAnsi="Arial"/>
                <w:sz w:val="20"/>
                <w:szCs w:val="20"/>
                <w:color w:val="231F20"/>
              </w:rPr>
              <w:t>$</w:t>
            </w:r>
          </w:p>
        </w:tc>
        <w:tc>
          <w:tcPr>
            <w:tcW w:w="1000" w:type="dxa"/>
            <w:vAlign w:val="bottom"/>
          </w:tcPr>
          <w:p>
            <w:pPr>
              <w:jc w:val="right"/>
              <w:spacing w:after="0" w:line="203" w:lineRule="exact"/>
              <w:rPr>
                <w:sz w:val="20"/>
                <w:szCs w:val="20"/>
                <w:color w:val="auto"/>
              </w:rPr>
            </w:pPr>
            <w:r>
              <w:rPr>
                <w:rFonts w:ascii="Arial" w:cs="Arial" w:eastAsia="Arial" w:hAnsi="Arial"/>
                <w:sz w:val="20"/>
                <w:szCs w:val="20"/>
                <w:color w:val="231F20"/>
              </w:rPr>
              <w:t>2,670.1</w:t>
            </w:r>
          </w:p>
        </w:tc>
      </w:tr>
      <w:tr>
        <w:trPr>
          <w:trHeight w:val="253"/>
        </w:trPr>
        <w:tc>
          <w:tcPr>
            <w:tcW w:w="616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rPr>
              <w:t xml:space="preserve">Less: current portion </w:t>
            </w:r>
            <w:r>
              <w:rPr>
                <w:rFonts w:ascii="Times New Roman" w:cs="Times New Roman" w:eastAsia="Times New Roman" w:hAnsi="Times New Roman"/>
                <w:sz w:val="20"/>
                <w:szCs w:val="20"/>
                <w:color w:val="231F20"/>
              </w:rPr>
              <w:t>...................................................................................</w:t>
            </w:r>
          </w:p>
        </w:tc>
        <w:tc>
          <w:tcPr>
            <w:tcW w:w="52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r>
      <w:tr>
        <w:trPr>
          <w:trHeight w:val="248"/>
        </w:trPr>
        <w:tc>
          <w:tcPr>
            <w:tcW w:w="6160" w:type="dxa"/>
            <w:vAlign w:val="bottom"/>
            <w:tcBorders>
              <w:bottom w:val="single" w:sz="8" w:color="231F20"/>
            </w:tcBorders>
          </w:tcPr>
          <w:p>
            <w:pPr>
              <w:spacing w:after="0" w:line="223" w:lineRule="exact"/>
              <w:rPr>
                <w:sz w:val="20"/>
                <w:szCs w:val="20"/>
                <w:color w:val="auto"/>
              </w:rPr>
            </w:pPr>
            <w:r>
              <w:rPr>
                <w:rFonts w:ascii="Arial" w:cs="Arial" w:eastAsia="Arial" w:hAnsi="Arial"/>
                <w:sz w:val="20"/>
                <w:szCs w:val="20"/>
                <w:color w:val="231F20"/>
              </w:rPr>
              <w:t xml:space="preserve">Total long-term debt </w:t>
            </w:r>
            <w:r>
              <w:rPr>
                <w:rFonts w:ascii="Times New Roman" w:cs="Times New Roman" w:eastAsia="Times New Roman" w:hAnsi="Times New Roman"/>
                <w:sz w:val="20"/>
                <w:szCs w:val="20"/>
                <w:color w:val="231F20"/>
              </w:rPr>
              <w:t>....................................................................................</w:t>
            </w:r>
          </w:p>
        </w:tc>
        <w:tc>
          <w:tcPr>
            <w:tcW w:w="520" w:type="dxa"/>
            <w:vAlign w:val="bottom"/>
            <w:tcBorders>
              <w:bottom w:val="single" w:sz="8" w:color="231F20"/>
            </w:tcBorders>
          </w:tcPr>
          <w:p>
            <w:pPr>
              <w:jc w:val="right"/>
              <w:ind w:right="219"/>
              <w:spacing w:after="0" w:line="223" w:lineRule="exact"/>
              <w:rPr>
                <w:sz w:val="20"/>
                <w:szCs w:val="20"/>
                <w:color w:val="auto"/>
              </w:rPr>
            </w:pPr>
            <w:r>
              <w:rPr>
                <w:rFonts w:ascii="Arial" w:cs="Arial" w:eastAsia="Arial" w:hAnsi="Arial"/>
                <w:sz w:val="20"/>
                <w:szCs w:val="20"/>
                <w:color w:val="231F20"/>
              </w:rPr>
              <w:t>$</w:t>
            </w:r>
          </w:p>
        </w:tc>
        <w:tc>
          <w:tcPr>
            <w:tcW w:w="10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2,670.1</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Credit Facilities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140"/>
        <w:spacing w:after="0"/>
        <w:rPr>
          <w:sz w:val="20"/>
          <w:szCs w:val="20"/>
          <w:color w:val="auto"/>
        </w:rPr>
      </w:pPr>
      <w:r>
        <w:rPr>
          <w:rFonts w:ascii="Arial" w:cs="Arial" w:eastAsia="Arial" w:hAnsi="Arial"/>
          <w:sz w:val="14"/>
          <w:szCs w:val="14"/>
          <w:color w:val="231F20"/>
        </w:rPr>
        <w:t>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-64135</wp:posOffset>
                </wp:positionH>
                <wp:positionV relativeFrom="paragraph">
                  <wp:posOffset>-99060</wp:posOffset>
                </wp:positionV>
                <wp:extent cx="0" cy="60198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1980"/>
                        </a:xfrm>
                        <a:prstGeom prst="line">
                          <a:avLst/>
                        </a:prstGeom>
                        <a:solidFill>
                          <a:srgbClr val="FFFFFF"/>
                        </a:solidFill>
                        <a:ln w="6426">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99pt,-7.7999pt" to="-5.0499pt,39.6pt" o:allowincell="f" strokecolor="#231F20" strokeweight="0.506pt"/>
            </w:pict>
          </mc:Fallback>
        </mc:AlternateContent>
        <mc:AlternateContent>
          <mc:Choice Requires="wps">
            <w:drawing>
              <wp:anchor simplePos="0" relativeHeight="251657728" behindDoc="1" locked="0" layoutInCell="0" allowOverlap="1">
                <wp:simplePos x="0" y="0"/>
                <wp:positionH relativeFrom="column">
                  <wp:posOffset>-67310</wp:posOffset>
                </wp:positionH>
                <wp:positionV relativeFrom="paragraph">
                  <wp:posOffset>-95885</wp:posOffset>
                </wp:positionV>
                <wp:extent cx="100012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99pt,-7.5499pt" to="73.45pt,-7.5499pt" o:allowincell="f" strokecolor="#231F20" strokeweight="0.506pt"/>
            </w:pict>
          </mc:Fallback>
        </mc:AlternateContent>
        <mc:AlternateContent>
          <mc:Choice Requires="wps">
            <w:drawing>
              <wp:anchor simplePos="0" relativeHeight="251657728" behindDoc="1" locked="0" layoutInCell="0" allowOverlap="1">
                <wp:simplePos x="0" y="0"/>
                <wp:positionH relativeFrom="column">
                  <wp:posOffset>-67310</wp:posOffset>
                </wp:positionH>
                <wp:positionV relativeFrom="paragraph">
                  <wp:posOffset>20955</wp:posOffset>
                </wp:positionV>
                <wp:extent cx="100012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99pt,1.65pt" to="73.45pt,1.65pt" o:allowincell="f" strokecolor="#231F20" strokeweight="0.506pt"/>
            </w:pict>
          </mc:Fallback>
        </mc:AlternateContent>
        <mc:AlternateContent>
          <mc:Choice Requires="wps">
            <w:drawing>
              <wp:anchor simplePos="0" relativeHeight="251657728" behindDoc="1" locked="0" layoutInCell="0" allowOverlap="1">
                <wp:simplePos x="0" y="0"/>
                <wp:positionH relativeFrom="column">
                  <wp:posOffset>-67310</wp:posOffset>
                </wp:positionH>
                <wp:positionV relativeFrom="paragraph">
                  <wp:posOffset>322580</wp:posOffset>
                </wp:positionV>
                <wp:extent cx="100012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99pt,25.4pt" to="73.45pt,25.4pt" o:allowincell="f" strokecolor="#231F20" strokeweight="0.506pt"/>
            </w:pict>
          </mc:Fallback>
        </mc:AlternateContent>
        <mc:AlternateContent>
          <mc:Choice Requires="wps">
            <w:drawing>
              <wp:anchor simplePos="0" relativeHeight="251657728" behindDoc="1" locked="0" layoutInCell="0" allowOverlap="1">
                <wp:simplePos x="0" y="0"/>
                <wp:positionH relativeFrom="column">
                  <wp:posOffset>-67310</wp:posOffset>
                </wp:positionH>
                <wp:positionV relativeFrom="paragraph">
                  <wp:posOffset>488315</wp:posOffset>
                </wp:positionV>
                <wp:extent cx="100012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28905">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999pt,38.45pt" to="73.45pt,38.45pt" o:allowincell="f" strokecolor="#231F20" strokeweight="2.276pt"/>
            </w:pict>
          </mc:Fallback>
        </mc:AlternateContent>
      </w:r>
    </w:p>
    <w:p>
      <w:pPr>
        <w:spacing w:after="0" w:line="24" w:lineRule="exact"/>
        <w:rPr>
          <w:sz w:val="20"/>
          <w:szCs w:val="20"/>
          <w:color w:val="auto"/>
        </w:rPr>
      </w:pPr>
    </w:p>
    <w:p>
      <w:pPr>
        <w:jc w:val="right"/>
        <w:ind w:right="100"/>
        <w:spacing w:after="0" w:line="248" w:lineRule="auto"/>
        <w:rPr>
          <w:sz w:val="20"/>
          <w:szCs w:val="20"/>
          <w:color w:val="auto"/>
        </w:rPr>
      </w:pPr>
      <w:r>
        <w:rPr>
          <w:rFonts w:ascii="Arial" w:cs="Arial" w:eastAsia="Arial" w:hAnsi="Arial"/>
          <w:sz w:val="20"/>
          <w:szCs w:val="20"/>
          <w:color w:val="231F20"/>
        </w:rPr>
        <w:t>$       2,673.5 599.2</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9"/>
          <w:szCs w:val="19"/>
          <w:color w:val="231F20"/>
        </w:rPr>
        <w:t>$</w:t>
      </w:r>
      <w:r>
        <w:rPr>
          <w:sz w:val="20"/>
          <w:szCs w:val="20"/>
          <w:color w:val="auto"/>
        </w:rPr>
        <w:tab/>
      </w:r>
      <w:r>
        <w:rPr>
          <w:rFonts w:ascii="Arial" w:cs="Arial" w:eastAsia="Arial" w:hAnsi="Arial"/>
          <w:sz w:val="19"/>
          <w:szCs w:val="19"/>
          <w:color w:val="231F20"/>
        </w:rPr>
        <w:t>2,074.3</w:t>
      </w:r>
    </w:p>
    <w:p>
      <w:pPr>
        <w:spacing w:after="0" w:line="691" w:lineRule="exact"/>
        <w:rPr>
          <w:sz w:val="20"/>
          <w:szCs w:val="20"/>
          <w:color w:val="auto"/>
        </w:rPr>
      </w:pPr>
    </w:p>
    <w:p>
      <w:pPr>
        <w:sectPr>
          <w:pgSz w:w="12240" w:h="15840" w:orient="portrait"/>
          <w:cols w:equalWidth="0" w:num="2">
            <w:col w:w="7700" w:space="200"/>
            <w:col w:w="1560"/>
          </w:cols>
          <w:pgMar w:left="1380" w:top="1342" w:right="1400" w:bottom="95" w:gutter="0" w:footer="0" w:header="0"/>
          <w:type w:val="continuous"/>
        </w:sectPr>
      </w:pPr>
    </w:p>
    <w:p>
      <w:pPr>
        <w:ind w:right="120"/>
        <w:spacing w:after="0" w:line="246" w:lineRule="auto"/>
        <w:rPr>
          <w:sz w:val="20"/>
          <w:szCs w:val="20"/>
          <w:color w:val="auto"/>
        </w:rPr>
      </w:pPr>
      <w:r>
        <w:rPr>
          <w:rFonts w:ascii="Arial" w:cs="Arial" w:eastAsia="Arial" w:hAnsi="Arial"/>
          <w:sz w:val="20"/>
          <w:szCs w:val="20"/>
          <w:color w:val="231F20"/>
        </w:rPr>
        <w:t>In August 2022, the Company entered into a third amended and restated $1.25 billion revolving credit facility (the “2022 Revolving Credit Agreement”), and borrowings thereunder will be used for general corporate purposes. The maturity date of the facility is August 2027. Interest rates under the 2022 Revolving Credit Agreement are variable based on the Secured Overnight Financing Rate (“SOFR”) at the time of the borrowing and the Company’s long-term credit rating and can range from SOFR + 1.02% to SOFR + 1.525%. Under the 2022 Revolving Credit Agreement, the Company is required to maintain a minimum ratio of consolidated EBITDA to consolidated interest expense of 3.0 to 1.0. Consolidated EBITDA is defined as consolidated net income before interest expense, income taxes, depreciation, amortization of intangible assets, losses from asset impairments, and certain other adjustments. In addition, the Company's ratio of consolidated debt minus certain cash and cash equivalents to consolidated EBITDA generally may not exceed 3.5 to 1.0. There were no outstanding borrowings under this facility as of December 30, 2023 or December 31, 2022. As of December 30, 2023, we were in compliance with all covenants under this facility.</w:t>
      </w:r>
    </w:p>
    <w:p>
      <w:pPr>
        <w:sectPr>
          <w:pgSz w:w="12240" w:h="15840" w:orient="portrait"/>
          <w:cols w:equalWidth="0" w:num="1">
            <w:col w:w="9460"/>
          </w:cols>
          <w:pgMar w:left="1380" w:top="1342" w:right="1400" w:bottom="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66</w:t>
      </w:r>
    </w:p>
    <w:p>
      <w:pPr>
        <w:sectPr>
          <w:pgSz w:w="12240" w:h="15840" w:orient="portrait"/>
          <w:cols w:equalWidth="0" w:num="1">
            <w:col w:w="9460"/>
          </w:cols>
          <w:pgMar w:left="1380" w:top="1342" w:right="1400" w:bottom="95" w:gutter="0" w:footer="0" w:header="0"/>
          <w:type w:val="continuous"/>
        </w:sectPr>
      </w:pPr>
    </w:p>
    <w:bookmarkStart w:id="74" w:name="page75"/>
    <w:bookmarkEnd w:id="74"/>
    <w:p>
      <w:pPr>
        <w:ind w:right="40"/>
        <w:spacing w:after="0" w:line="246" w:lineRule="auto"/>
        <w:rPr>
          <w:sz w:val="20"/>
          <w:szCs w:val="20"/>
          <w:color w:val="auto"/>
        </w:rPr>
      </w:pPr>
      <w:r>
        <w:rPr>
          <w:rFonts w:ascii="Arial" w:cs="Arial" w:eastAsia="Arial" w:hAnsi="Arial"/>
          <w:sz w:val="20"/>
          <w:szCs w:val="20"/>
          <w:color w:val="231F20"/>
        </w:rPr>
        <w:t>In November 2021, the Company entered into a 364-day, $400 million term loan credit agreement (the “2021 Term Loan”), for general corporate purposes, set to mature in November 2022. On March 1, 2022, the Company entered into a First Amendment and Incremental Agreement to the 2021 Term Loan (the “First Amendment”). The First Amendment provided for an increase in the principal amount from $400 million to $600 million as well as the transition from LIBOR to SOFR interest rates. As a result, interest rates under the 2021 Term Loan were variable based on SOFR at the time of the borrowing and the Company’s long-term credit rating and could range from SOFR + 0.725% to SOFR + 1.350%. On March 18, 2022, the Company entered into a Second Amendment and Incremental Agreement to the 2021 Term Loan (the “Second Amendment”), increasing the principal amount from $600 million to $1.1 billion. All other terms and conditions remained the same under the First Amendment and Second Amendment. The outstanding $1.1 billion under the 2021 Term Loan was repaid on March 25, 2022 with proceeds from the senior notes offering in March 2022 and other existing sources of liquidity.</w:t>
      </w:r>
    </w:p>
    <w:p>
      <w:pPr>
        <w:spacing w:after="0" w:line="153" w:lineRule="exact"/>
        <w:rPr>
          <w:sz w:val="20"/>
          <w:szCs w:val="20"/>
          <w:color w:val="auto"/>
        </w:rPr>
      </w:pPr>
    </w:p>
    <w:p>
      <w:pPr>
        <w:ind w:right="120"/>
        <w:spacing w:after="0" w:line="231" w:lineRule="auto"/>
        <w:rPr>
          <w:sz w:val="20"/>
          <w:szCs w:val="20"/>
          <w:color w:val="auto"/>
        </w:rPr>
      </w:pPr>
      <w:r>
        <w:rPr>
          <w:rFonts w:ascii="Arial" w:cs="Arial" w:eastAsia="Arial" w:hAnsi="Arial"/>
          <w:sz w:val="20"/>
          <w:szCs w:val="20"/>
          <w:color w:val="231F20"/>
        </w:rPr>
        <w:t>We currently have uncommitted bank lines of credit in China, which provide for unsecured borrowings for working capital of up to $30.5 million in aggregate as of December 30, 2023 and $20.5 million as of December 31, 2022, of which there were no outstanding balances as of December 30, 2023 and December 31, 2022. The weighted-average interest rates on these borrowings were zero in 2023 and 2022.</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Commercial Paper</w:t>
      </w:r>
    </w:p>
    <w:p>
      <w:pPr>
        <w:spacing w:after="0" w:line="153" w:lineRule="exact"/>
        <w:rPr>
          <w:sz w:val="20"/>
          <w:szCs w:val="20"/>
          <w:color w:val="auto"/>
        </w:rPr>
      </w:pPr>
    </w:p>
    <w:p>
      <w:pPr>
        <w:ind w:right="100"/>
        <w:spacing w:after="0" w:line="225" w:lineRule="auto"/>
        <w:rPr>
          <w:sz w:val="20"/>
          <w:szCs w:val="20"/>
          <w:color w:val="auto"/>
        </w:rPr>
      </w:pPr>
      <w:r>
        <w:rPr>
          <w:rFonts w:ascii="Arial" w:cs="Arial" w:eastAsia="Arial" w:hAnsi="Arial"/>
          <w:sz w:val="20"/>
          <w:szCs w:val="20"/>
          <w:color w:val="231F20"/>
        </w:rPr>
        <w:t>The Company operates a commercial paper program (the “Commercial Paper Program”) pursuant to which the Company may issue unsecured commercial paper notes. The Company’s 2022 Revolving Credit Agreement is the liquidity backstop for the repayment of any notes issued under the Commercial Paper Program, and as such, borrowings under the Commercial Paper Program are included in Long-term debt in the condensed consolidated balance sheets. Amounts available under the Commercial Paper Program may be borrowed, repaid and re-borrowed, with the aggregate principal amount outstanding at any time, including borrowings under the 2022 Revolving Credit Agreement, not to exceed $1.25 billion. The Company expects to use any issuances under the Commercial Paper Program for general corporate purposes. There were no outstanding borrowings under our Commercial Paper facility as of December 30, 2023 or December 31, 2022.</w:t>
      </w:r>
    </w:p>
    <w:p>
      <w:pPr>
        <w:spacing w:after="0" w:line="126" w:lineRule="exact"/>
        <w:rPr>
          <w:sz w:val="20"/>
          <w:szCs w:val="20"/>
          <w:color w:val="auto"/>
        </w:rPr>
      </w:pPr>
    </w:p>
    <w:p>
      <w:pPr>
        <w:ind w:right="40"/>
        <w:spacing w:after="0" w:line="235" w:lineRule="auto"/>
        <w:rPr>
          <w:sz w:val="20"/>
          <w:szCs w:val="20"/>
          <w:color w:val="auto"/>
        </w:rPr>
      </w:pPr>
      <w:r>
        <w:rPr>
          <w:rFonts w:ascii="Arial" w:cs="Arial" w:eastAsia="Arial" w:hAnsi="Arial"/>
          <w:sz w:val="20"/>
          <w:szCs w:val="20"/>
          <w:color w:val="231F20"/>
        </w:rPr>
        <w:t xml:space="preserve">In our debt agreements, there are normal and customary events of default which would permit the lenders to accelerate the debt if not cured within applicable </w:t>
      </w:r>
      <w:r>
        <w:rPr>
          <w:rFonts w:ascii="Arial" w:cs="Arial" w:eastAsia="Arial" w:hAnsi="Arial"/>
          <w:sz w:val="18"/>
          <w:szCs w:val="18"/>
          <w:color w:val="231F20"/>
        </w:rPr>
        <w:t>grace</w:t>
      </w:r>
      <w:r>
        <w:rPr>
          <w:rFonts w:ascii="Arial" w:cs="Arial" w:eastAsia="Arial" w:hAnsi="Arial"/>
          <w:sz w:val="20"/>
          <w:szCs w:val="20"/>
          <w:color w:val="231F20"/>
        </w:rPr>
        <w:t xml:space="preserve"> periods, such as failure to pay principal or interest when due or a change in control of the Company. There were no events of default as of December 30, 2023.</w:t>
      </w:r>
    </w:p>
    <w:p>
      <w:pPr>
        <w:spacing w:after="0" w:line="119" w:lineRule="exact"/>
        <w:rPr>
          <w:sz w:val="20"/>
          <w:szCs w:val="20"/>
          <w:color w:val="auto"/>
        </w:rPr>
      </w:pPr>
    </w:p>
    <w:p>
      <w:pPr>
        <w:jc w:val="both"/>
        <w:ind w:right="40"/>
        <w:spacing w:after="0" w:line="235" w:lineRule="auto"/>
        <w:rPr>
          <w:sz w:val="20"/>
          <w:szCs w:val="20"/>
          <w:color w:val="auto"/>
        </w:rPr>
      </w:pPr>
      <w:r>
        <w:rPr>
          <w:rFonts w:ascii="Arial" w:cs="Arial" w:eastAsia="Arial" w:hAnsi="Arial"/>
          <w:sz w:val="20"/>
          <w:szCs w:val="20"/>
          <w:color w:val="231F20"/>
        </w:rPr>
        <w:t>Debt payments due during the next five years as of December 30, 2023 are zero in 2024, $500 million in 2025, zero in 2026, zero in 2027, zero in 2028 and $2,200 million in 2029 and beyond. Interest payments due during the next five years as of December 30, 2023 are $116.3 million in 2024, $202.5 million in 2025 through 2026, $192.5 million in 2027 through 2028 and $723.5 million in 2029 and beyond.</w:t>
      </w:r>
    </w:p>
    <w:p>
      <w:pPr>
        <w:spacing w:after="0" w:line="142" w:lineRule="exact"/>
        <w:rPr>
          <w:sz w:val="20"/>
          <w:szCs w:val="20"/>
          <w:color w:val="auto"/>
        </w:rPr>
      </w:pPr>
    </w:p>
    <w:p>
      <w:pPr>
        <w:ind w:left="400" w:hanging="394"/>
        <w:spacing w:after="0"/>
        <w:tabs>
          <w:tab w:leader="none" w:pos="400" w:val="left"/>
        </w:tabs>
        <w:numPr>
          <w:ilvl w:val="0"/>
          <w:numId w:val="33"/>
        </w:numPr>
        <w:rPr>
          <w:rFonts w:ascii="Arial" w:cs="Arial" w:eastAsia="Arial" w:hAnsi="Arial"/>
          <w:sz w:val="20"/>
          <w:szCs w:val="20"/>
          <w:b w:val="1"/>
          <w:bCs w:val="1"/>
          <w:color w:val="231F20"/>
        </w:rPr>
      </w:pPr>
      <w:r>
        <w:rPr>
          <w:rFonts w:ascii="Arial" w:cs="Arial" w:eastAsia="Arial" w:hAnsi="Arial"/>
          <w:sz w:val="20"/>
          <w:szCs w:val="20"/>
          <w:b w:val="1"/>
          <w:bCs w:val="1"/>
          <w:color w:val="231F20"/>
        </w:rPr>
        <w:t>Financial Instruments</w:t>
      </w:r>
    </w:p>
    <w:p>
      <w:pPr>
        <w:spacing w:after="0" w:line="165" w:lineRule="exact"/>
        <w:rPr>
          <w:sz w:val="20"/>
          <w:szCs w:val="20"/>
          <w:color w:val="auto"/>
        </w:rPr>
      </w:pPr>
    </w:p>
    <w:p>
      <w:pPr>
        <w:spacing w:after="0" w:line="227" w:lineRule="auto"/>
        <w:rPr>
          <w:sz w:val="20"/>
          <w:szCs w:val="20"/>
          <w:color w:val="auto"/>
        </w:rPr>
      </w:pPr>
      <w:r>
        <w:rPr>
          <w:rFonts w:ascii="Arial" w:cs="Arial" w:eastAsia="Arial" w:hAnsi="Arial"/>
          <w:sz w:val="20"/>
          <w:szCs w:val="20"/>
          <w:color w:val="231F20"/>
        </w:rPr>
        <w:t>We do not enter into financial instruments for trading or speculative purposes. We principally use financial instruments to reduce the impact of changes in foreign currency exchange rates and commodities used as raw materials in our products. The principal derivative financial instruments we enter into on a routine basis are foreign exchange contracts. Derivative financial instruments are recorded at fair value. The counterparties to derivative contracts are major financial institutions. We are subject to credit risk on these contracts equal to the fair value of these instruments. Management currently believes that the risk of incurring material losses is unlikely and that the losses, if any, would be immaterial to the Company.</w:t>
      </w:r>
    </w:p>
    <w:p>
      <w:pPr>
        <w:spacing w:after="0" w:line="125" w:lineRule="exact"/>
        <w:rPr>
          <w:sz w:val="20"/>
          <w:szCs w:val="20"/>
          <w:color w:val="auto"/>
        </w:rPr>
      </w:pPr>
    </w:p>
    <w:p>
      <w:pPr>
        <w:ind w:right="80"/>
        <w:spacing w:after="0" w:line="225" w:lineRule="auto"/>
        <w:rPr>
          <w:sz w:val="20"/>
          <w:szCs w:val="20"/>
          <w:color w:val="auto"/>
        </w:rPr>
      </w:pPr>
      <w:r>
        <w:rPr>
          <w:rFonts w:ascii="Arial" w:cs="Arial" w:eastAsia="Arial" w:hAnsi="Arial"/>
          <w:sz w:val="20"/>
          <w:szCs w:val="20"/>
          <w:color w:val="231F20"/>
        </w:rPr>
        <w:t>Raw materials used by the Company are subject to price volatility caused by weather, supply conditions, geopolitical and economic variables, and other unpredictable external factors. As a result, from time to time, we enter into commodity swaps to manage the price risk associated with forecasted purchases of materials used in our operations. We account for these commodity derivatives as economic hedges or cash flow hedges. Changes in the fair value of economic hedges are recorded directly into current period earnings. The gross notional amount of all commodity derivatives outstanding at December 30, 2023 was $0.3 million, representing a net settlement liability of zero. The gross notional amount of all commodity derivatives outstanding at December 31, 2022 was $17.8 million, representing a net settlement liability of $3.6 million.</w:t>
      </w:r>
    </w:p>
    <w:p>
      <w:pPr>
        <w:sectPr>
          <w:pgSz w:w="12240" w:h="15840" w:orient="portrait"/>
          <w:cols w:equalWidth="0" w:num="1">
            <w:col w:w="9480"/>
          </w:cols>
          <w:pgMar w:left="1380" w:top="1346"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67</w:t>
      </w:r>
    </w:p>
    <w:p>
      <w:pPr>
        <w:sectPr>
          <w:pgSz w:w="12240" w:h="15840" w:orient="portrait"/>
          <w:cols w:equalWidth="0" w:num="1">
            <w:col w:w="9480"/>
          </w:cols>
          <w:pgMar w:left="1380" w:top="1346" w:right="1380" w:bottom="95" w:gutter="0" w:footer="0" w:header="0"/>
          <w:type w:val="continuous"/>
        </w:sectPr>
      </w:pPr>
    </w:p>
    <w:bookmarkStart w:id="75" w:name="page76"/>
    <w:bookmarkEnd w:id="75"/>
    <w:p>
      <w:pPr>
        <w:spacing w:after="0" w:line="231" w:lineRule="auto"/>
        <w:rPr>
          <w:sz w:val="20"/>
          <w:szCs w:val="20"/>
          <w:color w:val="auto"/>
        </w:rPr>
      </w:pPr>
      <w:r>
        <w:rPr>
          <w:rFonts w:ascii="Arial" w:cs="Arial" w:eastAsia="Arial" w:hAnsi="Arial"/>
          <w:sz w:val="20"/>
          <w:szCs w:val="20"/>
          <w:color w:val="231F20"/>
        </w:rPr>
        <w:t>We may enter into foreign currency forward contracts to protect against foreign exchange risks associated with certain existing assets and liabilities, forecasted future cash flows, and net investments in foreign subsidiaries. Foreign exchange contracts related to forecasted future cash flows correspond to the periods of the forecasted transactions, which generally do not exceed 12 to 15 months subsequent to the latest balance sheet date.</w:t>
      </w:r>
    </w:p>
    <w:p>
      <w:pPr>
        <w:spacing w:after="0" w:line="122"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231F20"/>
        </w:rPr>
        <w:t>We may be exposed to interest rate risk on existing debt or forecasted debt issuance. To mitigate this risk, we may enter into interest rate hedge contracts. The Company entered into a total of $600 million of interest rate hedge contracts during the fourth quarter of 2021 and first quarter of 2022. These contracts were terminated during the second quarter of 2023 in parallel with the issuance of $600 million of long-term debt. Terminating the contracts resulted in a pre-tax gain of $84.2 million which was recorded in accumulated other comprehensive income and will be reclassified to earnings over the 10-year maturity associated with the new long-term debt.</w:t>
      </w:r>
    </w:p>
    <w:p>
      <w:pPr>
        <w:spacing w:after="0" w:line="125"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color w:val="231F20"/>
        </w:rPr>
        <w:t>For derivative instruments that are designated as fair value hedges, the gain or loss on the derivative instrument, as well as the offsetting loss or gain on the hedged item, are recognized on the same line of the consolidated statements of income. The changes in the fair value of cash flow hedges are reported in OCI and are recognized in the consolidated statements of income when the hedged item affects earnings. The changes in fair value for net investment hedges are recognized in the consolidated statements of income when realized upon sale or upon complete or substantially complete liquidation of the investment in the foreign entity. In addition, changes in the fair value of all economic hedge transactions are immediately recognized in current period earnings. Our primary foreign currency hedge contracts pertain to the Canadian dollar, the British pound, the Mexican peso, the Chinese yuan and the South African rand. The gross U.S. dollar equivalent notional amount of all foreign currency derivative hedges outstanding at December 30, 2023 was $481.9 million, representing a net settlement liability of $1.9 million. Based on foreign exchange rates as of December 30, 2023, we estimate that $9.9 million of net derivative gains included in accumulated other comprehensive income as of December 30, 2023 will be reclassified to earnings within the next twelve months.</w:t>
      </w:r>
    </w:p>
    <w:p>
      <w:pPr>
        <w:spacing w:after="0" w:line="122" w:lineRule="exact"/>
        <w:rPr>
          <w:sz w:val="20"/>
          <w:szCs w:val="20"/>
          <w:color w:val="auto"/>
        </w:rPr>
      </w:pPr>
    </w:p>
    <w:p>
      <w:pPr>
        <w:ind w:right="300"/>
        <w:spacing w:after="0" w:line="263" w:lineRule="auto"/>
        <w:rPr>
          <w:sz w:val="20"/>
          <w:szCs w:val="20"/>
          <w:color w:val="auto"/>
        </w:rPr>
      </w:pPr>
      <w:r>
        <w:rPr>
          <w:rFonts w:ascii="Arial" w:cs="Arial" w:eastAsia="Arial" w:hAnsi="Arial"/>
          <w:sz w:val="20"/>
          <w:szCs w:val="20"/>
          <w:color w:val="231F20"/>
        </w:rPr>
        <w:t>The fair values of foreign exchange and commodity derivative instruments on the consolidated balance sheets as of December 30, 2023 and December 31, 2022 were:</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460" w:type="dxa"/>
            <w:vAlign w:val="bottom"/>
            <w:tcBorders>
              <w:top w:val="single" w:sz="8" w:color="231F20"/>
              <w:bottom w:val="single" w:sz="8" w:color="231F20"/>
              <w:right w:val="single" w:sz="8" w:color="231F20"/>
            </w:tcBorders>
          </w:tcPr>
          <w:p>
            <w:pPr>
              <w:spacing w:after="0"/>
              <w:rPr>
                <w:sz w:val="16"/>
                <w:szCs w:val="16"/>
                <w:color w:val="auto"/>
              </w:rPr>
            </w:pPr>
          </w:p>
        </w:tc>
        <w:tc>
          <w:tcPr>
            <w:tcW w:w="2900" w:type="dxa"/>
            <w:vAlign w:val="bottom"/>
            <w:tcBorders>
              <w:top w:val="single" w:sz="8" w:color="231F20"/>
              <w:bottom w:val="single" w:sz="8" w:color="231F20"/>
              <w:right w:val="single" w:sz="8" w:color="231F20"/>
            </w:tcBorders>
          </w:tcPr>
          <w:p>
            <w:pPr>
              <w:spacing w:after="0"/>
              <w:rPr>
                <w:sz w:val="16"/>
                <w:szCs w:val="16"/>
                <w:color w:val="auto"/>
              </w:rPr>
            </w:pPr>
          </w:p>
        </w:tc>
        <w:tc>
          <w:tcPr>
            <w:tcW w:w="620" w:type="dxa"/>
            <w:vAlign w:val="bottom"/>
            <w:tcBorders>
              <w:top w:val="single" w:sz="8" w:color="231F20"/>
              <w:bottom w:val="single" w:sz="8" w:color="231F20"/>
            </w:tcBorders>
          </w:tcPr>
          <w:p>
            <w:pPr>
              <w:spacing w:after="0"/>
              <w:rPr>
                <w:sz w:val="16"/>
                <w:szCs w:val="16"/>
                <w:color w:val="auto"/>
              </w:rPr>
            </w:pPr>
          </w:p>
        </w:tc>
        <w:tc>
          <w:tcPr>
            <w:tcW w:w="1640" w:type="dxa"/>
            <w:vAlign w:val="bottom"/>
            <w:tcBorders>
              <w:top w:val="single" w:sz="8" w:color="231F20"/>
              <w:bottom w:val="single" w:sz="8" w:color="231F20"/>
            </w:tcBorders>
            <w:gridSpan w:val="2"/>
          </w:tcPr>
          <w:p>
            <w:pPr>
              <w:jc w:val="right"/>
              <w:ind w:right="239"/>
              <w:spacing w:after="0"/>
              <w:rPr>
                <w:sz w:val="20"/>
                <w:szCs w:val="20"/>
                <w:color w:val="auto"/>
              </w:rPr>
            </w:pPr>
            <w:r>
              <w:rPr>
                <w:rFonts w:ascii="Arial" w:cs="Arial" w:eastAsia="Arial" w:hAnsi="Arial"/>
                <w:sz w:val="15"/>
                <w:szCs w:val="15"/>
                <w:b w:val="1"/>
                <w:bCs w:val="1"/>
                <w:color w:val="231F20"/>
              </w:rPr>
              <w:t>Fair Value</w:t>
            </w:r>
          </w:p>
        </w:tc>
        <w:tc>
          <w:tcPr>
            <w:tcW w:w="820" w:type="dxa"/>
            <w:vAlign w:val="bottom"/>
            <w:tcBorders>
              <w:top w:val="single" w:sz="8" w:color="231F20"/>
              <w:bottom w:val="single" w:sz="8" w:color="231F20"/>
            </w:tcBorders>
          </w:tcPr>
          <w:p>
            <w:pPr>
              <w:spacing w:after="0"/>
              <w:rPr>
                <w:sz w:val="16"/>
                <w:szCs w:val="16"/>
                <w:color w:val="auto"/>
              </w:rPr>
            </w:pPr>
          </w:p>
        </w:tc>
      </w:tr>
      <w:tr>
        <w:trPr>
          <w:trHeight w:val="165"/>
        </w:trPr>
        <w:tc>
          <w:tcPr>
            <w:tcW w:w="3460" w:type="dxa"/>
            <w:vAlign w:val="bottom"/>
            <w:tcBorders>
              <w:bottom w:val="single" w:sz="8" w:color="231F20"/>
              <w:right w:val="single" w:sz="8" w:color="231F20"/>
            </w:tcBorders>
          </w:tcPr>
          <w:p>
            <w:pPr>
              <w:spacing w:after="0" w:line="122" w:lineRule="exact"/>
              <w:rPr>
                <w:sz w:val="20"/>
                <w:szCs w:val="20"/>
                <w:color w:val="auto"/>
              </w:rPr>
            </w:pPr>
            <w:r>
              <w:rPr>
                <w:rFonts w:ascii="Arial" w:cs="Arial" w:eastAsia="Arial" w:hAnsi="Arial"/>
                <w:sz w:val="11"/>
                <w:szCs w:val="11"/>
                <w:i w:val="1"/>
                <w:iCs w:val="1"/>
                <w:color w:val="231F20"/>
              </w:rPr>
              <w:t xml:space="preserve">(In millions) </w:t>
            </w:r>
            <w:r>
              <w:rPr>
                <w:rFonts w:ascii="Times New Roman" w:cs="Times New Roman" w:eastAsia="Times New Roman" w:hAnsi="Times New Roman"/>
                <w:sz w:val="14"/>
                <w:szCs w:val="14"/>
                <w:color w:val="231F20"/>
              </w:rPr>
              <w:t>....................................................</w:t>
            </w:r>
          </w:p>
        </w:tc>
        <w:tc>
          <w:tcPr>
            <w:tcW w:w="2900" w:type="dxa"/>
            <w:vAlign w:val="bottom"/>
            <w:tcBorders>
              <w:bottom w:val="single" w:sz="8" w:color="231F20"/>
              <w:right w:val="single" w:sz="8" w:color="231F20"/>
            </w:tcBorders>
          </w:tcPr>
          <w:p>
            <w:pPr>
              <w:ind w:left="1120"/>
              <w:spacing w:after="0" w:line="123" w:lineRule="exact"/>
              <w:rPr>
                <w:sz w:val="20"/>
                <w:szCs w:val="20"/>
                <w:color w:val="auto"/>
              </w:rPr>
            </w:pPr>
            <w:r>
              <w:rPr>
                <w:rFonts w:ascii="Arial" w:cs="Arial" w:eastAsia="Arial" w:hAnsi="Arial"/>
                <w:sz w:val="14"/>
                <w:szCs w:val="14"/>
                <w:b w:val="1"/>
                <w:bCs w:val="1"/>
                <w:color w:val="231F20"/>
              </w:rPr>
              <w:t>Location</w:t>
            </w:r>
          </w:p>
        </w:tc>
        <w:tc>
          <w:tcPr>
            <w:tcW w:w="620" w:type="dxa"/>
            <w:vAlign w:val="bottom"/>
            <w:tcBorders>
              <w:bottom w:val="single" w:sz="8" w:color="231F20"/>
            </w:tcBorders>
          </w:tcPr>
          <w:p>
            <w:pPr>
              <w:spacing w:after="0"/>
              <w:rPr>
                <w:sz w:val="14"/>
                <w:szCs w:val="14"/>
                <w:color w:val="auto"/>
              </w:rPr>
            </w:pPr>
          </w:p>
        </w:tc>
        <w:tc>
          <w:tcPr>
            <w:tcW w:w="1000" w:type="dxa"/>
            <w:vAlign w:val="bottom"/>
            <w:tcBorders>
              <w:bottom w:val="single" w:sz="8" w:color="231F20"/>
              <w:right w:val="single" w:sz="8" w:color="231F20"/>
            </w:tcBorders>
          </w:tcPr>
          <w:p>
            <w:pPr>
              <w:jc w:val="right"/>
              <w:ind w:right="166"/>
              <w:spacing w:after="0" w:line="123" w:lineRule="exact"/>
              <w:rPr>
                <w:sz w:val="20"/>
                <w:szCs w:val="20"/>
                <w:color w:val="auto"/>
              </w:rPr>
            </w:pPr>
            <w:r>
              <w:rPr>
                <w:rFonts w:ascii="Arial" w:cs="Arial" w:eastAsia="Arial" w:hAnsi="Arial"/>
                <w:sz w:val="14"/>
                <w:szCs w:val="14"/>
                <w:b w:val="1"/>
                <w:bCs w:val="1"/>
                <w:i w:val="1"/>
                <w:iCs w:val="1"/>
                <w:color w:val="231F20"/>
              </w:rPr>
              <w:t>2023</w:t>
            </w:r>
          </w:p>
        </w:tc>
        <w:tc>
          <w:tcPr>
            <w:tcW w:w="640" w:type="dxa"/>
            <w:vAlign w:val="bottom"/>
            <w:tcBorders>
              <w:bottom w:val="single" w:sz="8" w:color="231F20"/>
            </w:tcBorders>
          </w:tcPr>
          <w:p>
            <w:pPr>
              <w:spacing w:after="0"/>
              <w:rPr>
                <w:sz w:val="14"/>
                <w:szCs w:val="14"/>
                <w:color w:val="auto"/>
              </w:rPr>
            </w:pPr>
          </w:p>
        </w:tc>
        <w:tc>
          <w:tcPr>
            <w:tcW w:w="820" w:type="dxa"/>
            <w:vAlign w:val="bottom"/>
            <w:tcBorders>
              <w:bottom w:val="single" w:sz="8" w:color="231F20"/>
            </w:tcBorders>
          </w:tcPr>
          <w:p>
            <w:pPr>
              <w:jc w:val="right"/>
              <w:ind w:right="3"/>
              <w:spacing w:after="0" w:line="123" w:lineRule="exact"/>
              <w:rPr>
                <w:sz w:val="20"/>
                <w:szCs w:val="20"/>
                <w:color w:val="auto"/>
              </w:rPr>
            </w:pPr>
            <w:r>
              <w:rPr>
                <w:rFonts w:ascii="Arial" w:cs="Arial" w:eastAsia="Arial" w:hAnsi="Arial"/>
                <w:sz w:val="14"/>
                <w:szCs w:val="14"/>
                <w:b w:val="1"/>
                <w:bCs w:val="1"/>
                <w:color w:val="231F20"/>
              </w:rPr>
              <w:t>2022</w:t>
            </w:r>
          </w:p>
        </w:tc>
      </w:tr>
      <w:tr>
        <w:trPr>
          <w:trHeight w:val="180"/>
        </w:trPr>
        <w:tc>
          <w:tcPr>
            <w:tcW w:w="3460" w:type="dxa"/>
            <w:vAlign w:val="bottom"/>
            <w:tcBorders>
              <w:right w:val="single" w:sz="8" w:color="231F20"/>
            </w:tcBorders>
          </w:tcPr>
          <w:p>
            <w:pPr>
              <w:spacing w:after="0" w:line="170" w:lineRule="exact"/>
              <w:rPr>
                <w:sz w:val="20"/>
                <w:szCs w:val="20"/>
                <w:color w:val="auto"/>
              </w:rPr>
            </w:pPr>
            <w:r>
              <w:rPr>
                <w:rFonts w:ascii="Arial" w:cs="Arial" w:eastAsia="Arial" w:hAnsi="Arial"/>
                <w:sz w:val="19"/>
                <w:szCs w:val="19"/>
                <w:color w:val="231F20"/>
              </w:rPr>
              <w:t>Assets:</w:t>
            </w:r>
          </w:p>
        </w:tc>
        <w:tc>
          <w:tcPr>
            <w:tcW w:w="2900" w:type="dxa"/>
            <w:vAlign w:val="bottom"/>
            <w:tcBorders>
              <w:right w:val="single" w:sz="8" w:color="231F20"/>
            </w:tcBorders>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Borders>
              <w:right w:val="single" w:sz="8" w:color="231F20"/>
            </w:tcBorders>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5"/>
        </w:trPr>
        <w:tc>
          <w:tcPr>
            <w:tcW w:w="346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w w:val="99"/>
              </w:rPr>
              <w:t xml:space="preserve">Foreign exchange contracts </w:t>
            </w:r>
            <w:r>
              <w:rPr>
                <w:rFonts w:ascii="Times New Roman" w:cs="Times New Roman" w:eastAsia="Times New Roman" w:hAnsi="Times New Roman"/>
                <w:sz w:val="20"/>
                <w:szCs w:val="20"/>
                <w:color w:val="231F20"/>
                <w:w w:val="99"/>
              </w:rPr>
              <w:t>..................</w:t>
            </w:r>
          </w:p>
        </w:tc>
        <w:tc>
          <w:tcPr>
            <w:tcW w:w="2900" w:type="dxa"/>
            <w:vAlign w:val="bottom"/>
            <w:tcBorders>
              <w:right w:val="single" w:sz="8" w:color="231F20"/>
            </w:tcBorders>
          </w:tcPr>
          <w:p>
            <w:pPr>
              <w:ind w:left="140"/>
              <w:spacing w:after="0"/>
              <w:rPr>
                <w:sz w:val="20"/>
                <w:szCs w:val="20"/>
                <w:color w:val="auto"/>
              </w:rPr>
            </w:pPr>
            <w:r>
              <w:rPr>
                <w:rFonts w:ascii="Arial" w:cs="Arial" w:eastAsia="Arial" w:hAnsi="Arial"/>
                <w:sz w:val="20"/>
                <w:szCs w:val="20"/>
                <w:color w:val="231F20"/>
              </w:rPr>
              <w:t>Other current assets</w:t>
            </w:r>
          </w:p>
        </w:tc>
        <w:tc>
          <w:tcPr>
            <w:tcW w:w="620" w:type="dxa"/>
            <w:vAlign w:val="bottom"/>
          </w:tcPr>
          <w:p>
            <w:pPr>
              <w:jc w:val="right"/>
              <w:ind w:right="299"/>
              <w:spacing w:after="0"/>
              <w:rPr>
                <w:sz w:val="20"/>
                <w:szCs w:val="20"/>
                <w:color w:val="auto"/>
              </w:rPr>
            </w:pPr>
            <w:r>
              <w:rPr>
                <w:rFonts w:ascii="Arial" w:cs="Arial" w:eastAsia="Arial" w:hAnsi="Arial"/>
                <w:sz w:val="20"/>
                <w:szCs w:val="20"/>
                <w:color w:val="231F20"/>
              </w:rPr>
              <w:t>$</w:t>
            </w:r>
          </w:p>
        </w:tc>
        <w:tc>
          <w:tcPr>
            <w:tcW w:w="1000" w:type="dxa"/>
            <w:vAlign w:val="bottom"/>
            <w:tcBorders>
              <w:right w:val="single" w:sz="8" w:color="231F20"/>
            </w:tcBorders>
          </w:tcPr>
          <w:p>
            <w:pPr>
              <w:jc w:val="right"/>
              <w:ind w:right="166"/>
              <w:spacing w:after="0"/>
              <w:rPr>
                <w:sz w:val="20"/>
                <w:szCs w:val="20"/>
                <w:color w:val="auto"/>
              </w:rPr>
            </w:pPr>
            <w:r>
              <w:rPr>
                <w:rFonts w:ascii="Arial" w:cs="Arial" w:eastAsia="Arial" w:hAnsi="Arial"/>
                <w:sz w:val="20"/>
                <w:szCs w:val="20"/>
                <w:color w:val="231F20"/>
              </w:rPr>
              <w:t>0.8</w:t>
            </w:r>
          </w:p>
        </w:tc>
        <w:tc>
          <w:tcPr>
            <w:tcW w:w="640" w:type="dxa"/>
            <w:vAlign w:val="bottom"/>
          </w:tcPr>
          <w:p>
            <w:pPr>
              <w:jc w:val="right"/>
              <w:ind w:right="319"/>
              <w:spacing w:after="0"/>
              <w:rPr>
                <w:sz w:val="20"/>
                <w:szCs w:val="20"/>
                <w:color w:val="auto"/>
              </w:rPr>
            </w:pPr>
            <w:r>
              <w:rPr>
                <w:rFonts w:ascii="Arial" w:cs="Arial" w:eastAsia="Arial" w:hAnsi="Arial"/>
                <w:sz w:val="20"/>
                <w:szCs w:val="20"/>
                <w:color w:val="231F20"/>
              </w:rPr>
              <w:t>$</w:t>
            </w:r>
          </w:p>
        </w:tc>
        <w:tc>
          <w:tcPr>
            <w:tcW w:w="820" w:type="dxa"/>
            <w:vAlign w:val="bottom"/>
          </w:tcPr>
          <w:p>
            <w:pPr>
              <w:jc w:val="right"/>
              <w:ind w:right="3"/>
              <w:spacing w:after="0"/>
              <w:rPr>
                <w:sz w:val="20"/>
                <w:szCs w:val="20"/>
                <w:color w:val="auto"/>
              </w:rPr>
            </w:pPr>
            <w:r>
              <w:rPr>
                <w:rFonts w:ascii="Arial" w:cs="Arial" w:eastAsia="Arial" w:hAnsi="Arial"/>
                <w:sz w:val="20"/>
                <w:szCs w:val="20"/>
                <w:color w:val="231F20"/>
              </w:rPr>
              <w:t>5.0</w:t>
            </w:r>
          </w:p>
        </w:tc>
      </w:tr>
      <w:tr>
        <w:trPr>
          <w:trHeight w:val="253"/>
        </w:trPr>
        <w:tc>
          <w:tcPr>
            <w:tcW w:w="346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w w:val="99"/>
              </w:rPr>
              <w:t xml:space="preserve">Interest rate contracts </w:t>
            </w:r>
            <w:r>
              <w:rPr>
                <w:rFonts w:ascii="Times New Roman" w:cs="Times New Roman" w:eastAsia="Times New Roman" w:hAnsi="Times New Roman"/>
                <w:sz w:val="20"/>
                <w:szCs w:val="20"/>
                <w:color w:val="231F20"/>
                <w:w w:val="99"/>
              </w:rPr>
              <w:t>.............................</w:t>
            </w:r>
          </w:p>
        </w:tc>
        <w:tc>
          <w:tcPr>
            <w:tcW w:w="2900" w:type="dxa"/>
            <w:vAlign w:val="bottom"/>
            <w:tcBorders>
              <w:bottom w:val="single" w:sz="8" w:color="231F20"/>
              <w:right w:val="single" w:sz="8" w:color="231F20"/>
            </w:tcBorders>
          </w:tcPr>
          <w:p>
            <w:pPr>
              <w:ind w:left="140"/>
              <w:spacing w:after="0" w:line="190" w:lineRule="exact"/>
              <w:rPr>
                <w:sz w:val="20"/>
                <w:szCs w:val="20"/>
                <w:color w:val="auto"/>
              </w:rPr>
            </w:pPr>
            <w:r>
              <w:rPr>
                <w:rFonts w:ascii="Arial" w:cs="Arial" w:eastAsia="Arial" w:hAnsi="Arial"/>
                <w:sz w:val="20"/>
                <w:szCs w:val="20"/>
                <w:color w:val="231F20"/>
              </w:rPr>
              <w:t>Other current assets</w:t>
            </w:r>
          </w:p>
        </w:tc>
        <w:tc>
          <w:tcPr>
            <w:tcW w:w="62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right w:val="single" w:sz="8" w:color="231F20"/>
            </w:tcBorders>
          </w:tcPr>
          <w:p>
            <w:pPr>
              <w:jc w:val="right"/>
              <w:ind w:right="166"/>
              <w:spacing w:after="0" w:line="190" w:lineRule="exact"/>
              <w:rPr>
                <w:sz w:val="20"/>
                <w:szCs w:val="20"/>
                <w:color w:val="auto"/>
              </w:rPr>
            </w:pPr>
            <w:r>
              <w:rPr>
                <w:rFonts w:ascii="Arial" w:cs="Arial" w:eastAsia="Arial" w:hAnsi="Arial"/>
                <w:sz w:val="20"/>
                <w:szCs w:val="20"/>
                <w:color w:val="231F20"/>
              </w:rPr>
              <w:t>—</w:t>
            </w:r>
          </w:p>
        </w:tc>
        <w:tc>
          <w:tcPr>
            <w:tcW w:w="64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ind w:right="3"/>
              <w:spacing w:after="0" w:line="190" w:lineRule="exact"/>
              <w:rPr>
                <w:sz w:val="20"/>
                <w:szCs w:val="20"/>
                <w:color w:val="auto"/>
              </w:rPr>
            </w:pPr>
            <w:r>
              <w:rPr>
                <w:rFonts w:ascii="Arial" w:cs="Arial" w:eastAsia="Arial" w:hAnsi="Arial"/>
                <w:sz w:val="20"/>
                <w:szCs w:val="20"/>
                <w:color w:val="231F20"/>
              </w:rPr>
              <w:t>84.6</w:t>
            </w:r>
          </w:p>
        </w:tc>
      </w:tr>
      <w:tr>
        <w:trPr>
          <w:trHeight w:val="248"/>
        </w:trPr>
        <w:tc>
          <w:tcPr>
            <w:tcW w:w="3460" w:type="dxa"/>
            <w:vAlign w:val="bottom"/>
            <w:tcBorders>
              <w:bottom w:val="single" w:sz="8" w:color="231F20"/>
              <w:right w:val="single" w:sz="8" w:color="231F20"/>
            </w:tcBorders>
          </w:tcPr>
          <w:p>
            <w:pPr>
              <w:spacing w:after="0"/>
              <w:rPr>
                <w:sz w:val="21"/>
                <w:szCs w:val="21"/>
                <w:color w:val="auto"/>
              </w:rPr>
            </w:pPr>
          </w:p>
        </w:tc>
        <w:tc>
          <w:tcPr>
            <w:tcW w:w="2900" w:type="dxa"/>
            <w:vAlign w:val="bottom"/>
            <w:tcBorders>
              <w:bottom w:val="single" w:sz="8" w:color="231F20"/>
              <w:right w:val="single" w:sz="8" w:color="231F20"/>
            </w:tcBorders>
          </w:tcPr>
          <w:p>
            <w:pPr>
              <w:ind w:left="140"/>
              <w:spacing w:after="0" w:line="223" w:lineRule="exact"/>
              <w:rPr>
                <w:sz w:val="20"/>
                <w:szCs w:val="20"/>
                <w:color w:val="auto"/>
              </w:rPr>
            </w:pPr>
            <w:r>
              <w:rPr>
                <w:rFonts w:ascii="Arial" w:cs="Arial" w:eastAsia="Arial" w:hAnsi="Arial"/>
                <w:sz w:val="20"/>
                <w:szCs w:val="20"/>
                <w:color w:val="231F20"/>
              </w:rPr>
              <w:t>Total assets</w:t>
            </w:r>
          </w:p>
        </w:tc>
        <w:tc>
          <w:tcPr>
            <w:tcW w:w="620" w:type="dxa"/>
            <w:vAlign w:val="bottom"/>
            <w:tcBorders>
              <w:bottom w:val="single" w:sz="8" w:color="231F20"/>
            </w:tcBorders>
          </w:tcPr>
          <w:p>
            <w:pPr>
              <w:jc w:val="right"/>
              <w:ind w:right="299"/>
              <w:spacing w:after="0" w:line="223" w:lineRule="exact"/>
              <w:rPr>
                <w:sz w:val="20"/>
                <w:szCs w:val="20"/>
                <w:color w:val="auto"/>
              </w:rPr>
            </w:pPr>
            <w:r>
              <w:rPr>
                <w:rFonts w:ascii="Arial" w:cs="Arial" w:eastAsia="Arial" w:hAnsi="Arial"/>
                <w:sz w:val="20"/>
                <w:szCs w:val="20"/>
                <w:color w:val="231F20"/>
              </w:rPr>
              <w:t>$</w:t>
            </w:r>
          </w:p>
        </w:tc>
        <w:tc>
          <w:tcPr>
            <w:tcW w:w="1000" w:type="dxa"/>
            <w:vAlign w:val="bottom"/>
            <w:tcBorders>
              <w:bottom w:val="single" w:sz="8" w:color="231F20"/>
              <w:right w:val="single" w:sz="8" w:color="231F20"/>
            </w:tcBorders>
          </w:tcPr>
          <w:p>
            <w:pPr>
              <w:jc w:val="right"/>
              <w:ind w:right="166"/>
              <w:spacing w:after="0" w:line="223" w:lineRule="exact"/>
              <w:rPr>
                <w:sz w:val="20"/>
                <w:szCs w:val="20"/>
                <w:color w:val="auto"/>
              </w:rPr>
            </w:pPr>
            <w:r>
              <w:rPr>
                <w:rFonts w:ascii="Arial" w:cs="Arial" w:eastAsia="Arial" w:hAnsi="Arial"/>
                <w:sz w:val="20"/>
                <w:szCs w:val="20"/>
                <w:color w:val="231F20"/>
              </w:rPr>
              <w:t>0.8</w:t>
            </w:r>
          </w:p>
        </w:tc>
        <w:tc>
          <w:tcPr>
            <w:tcW w:w="640" w:type="dxa"/>
            <w:vAlign w:val="bottom"/>
            <w:tcBorders>
              <w:bottom w:val="single" w:sz="8" w:color="231F20"/>
            </w:tcBorders>
          </w:tcPr>
          <w:p>
            <w:pPr>
              <w:jc w:val="right"/>
              <w:ind w:right="319"/>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tcBorders>
          </w:tcPr>
          <w:p>
            <w:pPr>
              <w:jc w:val="right"/>
              <w:ind w:right="3"/>
              <w:spacing w:after="0" w:line="223" w:lineRule="exact"/>
              <w:rPr>
                <w:sz w:val="20"/>
                <w:szCs w:val="20"/>
                <w:color w:val="auto"/>
              </w:rPr>
            </w:pPr>
            <w:r>
              <w:rPr>
                <w:rFonts w:ascii="Arial" w:cs="Arial" w:eastAsia="Arial" w:hAnsi="Arial"/>
                <w:sz w:val="20"/>
                <w:szCs w:val="20"/>
                <w:color w:val="231F20"/>
              </w:rPr>
              <w:t>89.6</w:t>
            </w:r>
          </w:p>
        </w:tc>
      </w:tr>
      <w:tr>
        <w:trPr>
          <w:trHeight w:val="190"/>
        </w:trPr>
        <w:tc>
          <w:tcPr>
            <w:tcW w:w="3460" w:type="dxa"/>
            <w:vAlign w:val="bottom"/>
            <w:tcBorders>
              <w:right w:val="single" w:sz="8" w:color="231F20"/>
            </w:tcBorders>
          </w:tcPr>
          <w:p>
            <w:pPr>
              <w:spacing w:after="0" w:line="170" w:lineRule="exact"/>
              <w:rPr>
                <w:sz w:val="20"/>
                <w:szCs w:val="20"/>
                <w:color w:val="auto"/>
              </w:rPr>
            </w:pPr>
            <w:r>
              <w:rPr>
                <w:rFonts w:ascii="Arial" w:cs="Arial" w:eastAsia="Arial" w:hAnsi="Arial"/>
                <w:sz w:val="19"/>
                <w:szCs w:val="19"/>
                <w:color w:val="231F20"/>
              </w:rPr>
              <w:t>Liabilities:</w:t>
            </w:r>
          </w:p>
        </w:tc>
        <w:tc>
          <w:tcPr>
            <w:tcW w:w="2900" w:type="dxa"/>
            <w:vAlign w:val="bottom"/>
            <w:tcBorders>
              <w:right w:val="single" w:sz="8" w:color="231F20"/>
            </w:tcBorders>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Borders>
              <w:right w:val="single" w:sz="8" w:color="231F20"/>
            </w:tcBorders>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5"/>
        </w:trPr>
        <w:tc>
          <w:tcPr>
            <w:tcW w:w="346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w w:val="99"/>
              </w:rPr>
              <w:t xml:space="preserve">Foreign exchange contracts </w:t>
            </w:r>
            <w:r>
              <w:rPr>
                <w:rFonts w:ascii="Times New Roman" w:cs="Times New Roman" w:eastAsia="Times New Roman" w:hAnsi="Times New Roman"/>
                <w:sz w:val="20"/>
                <w:szCs w:val="20"/>
                <w:color w:val="231F20"/>
                <w:w w:val="99"/>
              </w:rPr>
              <w:t>..................</w:t>
            </w:r>
          </w:p>
        </w:tc>
        <w:tc>
          <w:tcPr>
            <w:tcW w:w="2900" w:type="dxa"/>
            <w:vAlign w:val="bottom"/>
            <w:tcBorders>
              <w:right w:val="single" w:sz="8" w:color="231F20"/>
            </w:tcBorders>
          </w:tcPr>
          <w:p>
            <w:pPr>
              <w:ind w:left="140"/>
              <w:spacing w:after="0"/>
              <w:rPr>
                <w:sz w:val="20"/>
                <w:szCs w:val="20"/>
                <w:color w:val="auto"/>
              </w:rPr>
            </w:pPr>
            <w:r>
              <w:rPr>
                <w:rFonts w:ascii="Arial" w:cs="Arial" w:eastAsia="Arial" w:hAnsi="Arial"/>
                <w:sz w:val="20"/>
                <w:szCs w:val="20"/>
                <w:color w:val="231F20"/>
              </w:rPr>
              <w:t>Other current liabilities</w:t>
            </w:r>
          </w:p>
        </w:tc>
        <w:tc>
          <w:tcPr>
            <w:tcW w:w="620" w:type="dxa"/>
            <w:vAlign w:val="bottom"/>
          </w:tcPr>
          <w:p>
            <w:pPr>
              <w:jc w:val="right"/>
              <w:ind w:right="299"/>
              <w:spacing w:after="0"/>
              <w:rPr>
                <w:sz w:val="20"/>
                <w:szCs w:val="20"/>
                <w:color w:val="auto"/>
              </w:rPr>
            </w:pPr>
            <w:r>
              <w:rPr>
                <w:rFonts w:ascii="Arial" w:cs="Arial" w:eastAsia="Arial" w:hAnsi="Arial"/>
                <w:sz w:val="20"/>
                <w:szCs w:val="20"/>
                <w:color w:val="231F20"/>
              </w:rPr>
              <w:t>$</w:t>
            </w:r>
          </w:p>
        </w:tc>
        <w:tc>
          <w:tcPr>
            <w:tcW w:w="1000" w:type="dxa"/>
            <w:vAlign w:val="bottom"/>
            <w:tcBorders>
              <w:right w:val="single" w:sz="8" w:color="231F20"/>
            </w:tcBorders>
          </w:tcPr>
          <w:p>
            <w:pPr>
              <w:jc w:val="right"/>
              <w:ind w:right="166"/>
              <w:spacing w:after="0"/>
              <w:rPr>
                <w:sz w:val="20"/>
                <w:szCs w:val="20"/>
                <w:color w:val="auto"/>
              </w:rPr>
            </w:pPr>
            <w:r>
              <w:rPr>
                <w:rFonts w:ascii="Arial" w:cs="Arial" w:eastAsia="Arial" w:hAnsi="Arial"/>
                <w:sz w:val="20"/>
                <w:szCs w:val="20"/>
                <w:color w:val="231F20"/>
              </w:rPr>
              <w:t>2.7</w:t>
            </w:r>
          </w:p>
        </w:tc>
        <w:tc>
          <w:tcPr>
            <w:tcW w:w="640" w:type="dxa"/>
            <w:vAlign w:val="bottom"/>
          </w:tcPr>
          <w:p>
            <w:pPr>
              <w:jc w:val="right"/>
              <w:ind w:right="319"/>
              <w:spacing w:after="0"/>
              <w:rPr>
                <w:sz w:val="20"/>
                <w:szCs w:val="20"/>
                <w:color w:val="auto"/>
              </w:rPr>
            </w:pPr>
            <w:r>
              <w:rPr>
                <w:rFonts w:ascii="Arial" w:cs="Arial" w:eastAsia="Arial" w:hAnsi="Arial"/>
                <w:sz w:val="20"/>
                <w:szCs w:val="20"/>
                <w:color w:val="231F20"/>
              </w:rPr>
              <w:t>$</w:t>
            </w:r>
          </w:p>
        </w:tc>
        <w:tc>
          <w:tcPr>
            <w:tcW w:w="820" w:type="dxa"/>
            <w:vAlign w:val="bottom"/>
          </w:tcPr>
          <w:p>
            <w:pPr>
              <w:jc w:val="right"/>
              <w:ind w:right="3"/>
              <w:spacing w:after="0"/>
              <w:rPr>
                <w:sz w:val="20"/>
                <w:szCs w:val="20"/>
                <w:color w:val="auto"/>
              </w:rPr>
            </w:pPr>
            <w:r>
              <w:rPr>
                <w:rFonts w:ascii="Arial" w:cs="Arial" w:eastAsia="Arial" w:hAnsi="Arial"/>
                <w:sz w:val="20"/>
                <w:szCs w:val="20"/>
                <w:color w:val="231F20"/>
              </w:rPr>
              <w:t>0.7</w:t>
            </w:r>
          </w:p>
        </w:tc>
      </w:tr>
      <w:tr>
        <w:trPr>
          <w:trHeight w:val="253"/>
        </w:trPr>
        <w:tc>
          <w:tcPr>
            <w:tcW w:w="346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w w:val="99"/>
              </w:rPr>
              <w:t xml:space="preserve">Commodity contracts </w:t>
            </w:r>
            <w:r>
              <w:rPr>
                <w:rFonts w:ascii="Times New Roman" w:cs="Times New Roman" w:eastAsia="Times New Roman" w:hAnsi="Times New Roman"/>
                <w:sz w:val="20"/>
                <w:szCs w:val="20"/>
                <w:color w:val="231F20"/>
                <w:w w:val="99"/>
              </w:rPr>
              <w:t>..............................</w:t>
            </w:r>
          </w:p>
        </w:tc>
        <w:tc>
          <w:tcPr>
            <w:tcW w:w="2900" w:type="dxa"/>
            <w:vAlign w:val="bottom"/>
            <w:tcBorders>
              <w:bottom w:val="single" w:sz="8" w:color="231F20"/>
              <w:right w:val="single" w:sz="8" w:color="231F20"/>
            </w:tcBorders>
          </w:tcPr>
          <w:p>
            <w:pPr>
              <w:ind w:left="140"/>
              <w:spacing w:after="0" w:line="190" w:lineRule="exact"/>
              <w:rPr>
                <w:sz w:val="20"/>
                <w:szCs w:val="20"/>
                <w:color w:val="auto"/>
              </w:rPr>
            </w:pPr>
            <w:r>
              <w:rPr>
                <w:rFonts w:ascii="Arial" w:cs="Arial" w:eastAsia="Arial" w:hAnsi="Arial"/>
                <w:sz w:val="20"/>
                <w:szCs w:val="20"/>
                <w:color w:val="231F20"/>
              </w:rPr>
              <w:t>Other current liabilities</w:t>
            </w:r>
          </w:p>
        </w:tc>
        <w:tc>
          <w:tcPr>
            <w:tcW w:w="62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right w:val="single" w:sz="8" w:color="231F20"/>
            </w:tcBorders>
          </w:tcPr>
          <w:p>
            <w:pPr>
              <w:jc w:val="right"/>
              <w:ind w:right="166"/>
              <w:spacing w:after="0" w:line="190" w:lineRule="exact"/>
              <w:rPr>
                <w:sz w:val="20"/>
                <w:szCs w:val="20"/>
                <w:color w:val="auto"/>
              </w:rPr>
            </w:pPr>
            <w:r>
              <w:rPr>
                <w:rFonts w:ascii="Arial" w:cs="Arial" w:eastAsia="Arial" w:hAnsi="Arial"/>
                <w:sz w:val="20"/>
                <w:szCs w:val="20"/>
                <w:color w:val="231F20"/>
              </w:rPr>
              <w:t>—</w:t>
            </w:r>
          </w:p>
        </w:tc>
        <w:tc>
          <w:tcPr>
            <w:tcW w:w="64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ind w:right="3"/>
              <w:spacing w:after="0" w:line="190" w:lineRule="exact"/>
              <w:rPr>
                <w:sz w:val="20"/>
                <w:szCs w:val="20"/>
                <w:color w:val="auto"/>
              </w:rPr>
            </w:pPr>
            <w:r>
              <w:rPr>
                <w:rFonts w:ascii="Arial" w:cs="Arial" w:eastAsia="Arial" w:hAnsi="Arial"/>
                <w:sz w:val="20"/>
                <w:szCs w:val="20"/>
                <w:color w:val="231F20"/>
              </w:rPr>
              <w:t>3.6</w:t>
            </w:r>
          </w:p>
        </w:tc>
      </w:tr>
      <w:tr>
        <w:trPr>
          <w:trHeight w:val="248"/>
        </w:trPr>
        <w:tc>
          <w:tcPr>
            <w:tcW w:w="3460" w:type="dxa"/>
            <w:vAlign w:val="bottom"/>
            <w:tcBorders>
              <w:bottom w:val="single" w:sz="8" w:color="231F20"/>
              <w:right w:val="single" w:sz="8" w:color="231F20"/>
            </w:tcBorders>
          </w:tcPr>
          <w:p>
            <w:pPr>
              <w:spacing w:after="0"/>
              <w:rPr>
                <w:sz w:val="21"/>
                <w:szCs w:val="21"/>
                <w:color w:val="auto"/>
              </w:rPr>
            </w:pPr>
          </w:p>
        </w:tc>
        <w:tc>
          <w:tcPr>
            <w:tcW w:w="2900" w:type="dxa"/>
            <w:vAlign w:val="bottom"/>
            <w:tcBorders>
              <w:bottom w:val="single" w:sz="8" w:color="231F20"/>
              <w:right w:val="single" w:sz="8" w:color="231F20"/>
            </w:tcBorders>
          </w:tcPr>
          <w:p>
            <w:pPr>
              <w:ind w:left="140"/>
              <w:spacing w:after="0" w:line="223" w:lineRule="exact"/>
              <w:rPr>
                <w:sz w:val="20"/>
                <w:szCs w:val="20"/>
                <w:color w:val="auto"/>
              </w:rPr>
            </w:pPr>
            <w:r>
              <w:rPr>
                <w:rFonts w:ascii="Arial" w:cs="Arial" w:eastAsia="Arial" w:hAnsi="Arial"/>
                <w:sz w:val="20"/>
                <w:szCs w:val="20"/>
                <w:color w:val="231F20"/>
              </w:rPr>
              <w:t>Total liabilities</w:t>
            </w:r>
          </w:p>
        </w:tc>
        <w:tc>
          <w:tcPr>
            <w:tcW w:w="620" w:type="dxa"/>
            <w:vAlign w:val="bottom"/>
            <w:tcBorders>
              <w:bottom w:val="single" w:sz="8" w:color="231F20"/>
            </w:tcBorders>
          </w:tcPr>
          <w:p>
            <w:pPr>
              <w:jc w:val="right"/>
              <w:ind w:right="299"/>
              <w:spacing w:after="0" w:line="223" w:lineRule="exact"/>
              <w:rPr>
                <w:sz w:val="20"/>
                <w:szCs w:val="20"/>
                <w:color w:val="auto"/>
              </w:rPr>
            </w:pPr>
            <w:r>
              <w:rPr>
                <w:rFonts w:ascii="Arial" w:cs="Arial" w:eastAsia="Arial" w:hAnsi="Arial"/>
                <w:sz w:val="20"/>
                <w:szCs w:val="20"/>
                <w:color w:val="231F20"/>
              </w:rPr>
              <w:t>$</w:t>
            </w:r>
          </w:p>
        </w:tc>
        <w:tc>
          <w:tcPr>
            <w:tcW w:w="1000" w:type="dxa"/>
            <w:vAlign w:val="bottom"/>
            <w:tcBorders>
              <w:bottom w:val="single" w:sz="8" w:color="231F20"/>
              <w:right w:val="single" w:sz="8" w:color="231F20"/>
            </w:tcBorders>
          </w:tcPr>
          <w:p>
            <w:pPr>
              <w:jc w:val="right"/>
              <w:ind w:right="166"/>
              <w:spacing w:after="0" w:line="223" w:lineRule="exact"/>
              <w:rPr>
                <w:sz w:val="20"/>
                <w:szCs w:val="20"/>
                <w:color w:val="auto"/>
              </w:rPr>
            </w:pPr>
            <w:r>
              <w:rPr>
                <w:rFonts w:ascii="Arial" w:cs="Arial" w:eastAsia="Arial" w:hAnsi="Arial"/>
                <w:sz w:val="20"/>
                <w:szCs w:val="20"/>
                <w:color w:val="231F20"/>
              </w:rPr>
              <w:t>2.7</w:t>
            </w:r>
          </w:p>
        </w:tc>
        <w:tc>
          <w:tcPr>
            <w:tcW w:w="640" w:type="dxa"/>
            <w:vAlign w:val="bottom"/>
            <w:tcBorders>
              <w:bottom w:val="single" w:sz="8" w:color="231F20"/>
            </w:tcBorders>
          </w:tcPr>
          <w:p>
            <w:pPr>
              <w:jc w:val="right"/>
              <w:ind w:right="319"/>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tcBorders>
          </w:tcPr>
          <w:p>
            <w:pPr>
              <w:jc w:val="right"/>
              <w:ind w:right="3"/>
              <w:spacing w:after="0" w:line="223" w:lineRule="exact"/>
              <w:rPr>
                <w:sz w:val="20"/>
                <w:szCs w:val="20"/>
                <w:color w:val="auto"/>
              </w:rPr>
            </w:pPr>
            <w:r>
              <w:rPr>
                <w:rFonts w:ascii="Arial" w:cs="Arial" w:eastAsia="Arial" w:hAnsi="Arial"/>
                <w:sz w:val="20"/>
                <w:szCs w:val="20"/>
                <w:color w:val="231F20"/>
              </w:rPr>
              <w:t>4.3</w:t>
            </w:r>
          </w:p>
        </w:tc>
      </w:tr>
    </w:tbl>
    <w:p>
      <w:pPr>
        <w:spacing w:after="0" w:line="200" w:lineRule="exact"/>
        <w:rPr>
          <w:sz w:val="20"/>
          <w:szCs w:val="20"/>
          <w:color w:val="auto"/>
        </w:rPr>
      </w:pPr>
    </w:p>
    <w:p>
      <w:pPr>
        <w:sectPr>
          <w:pgSz w:w="12240" w:h="15840" w:orient="portrait"/>
          <w:cols w:equalWidth="0" w:num="1">
            <w:col w:w="9480"/>
          </w:cols>
          <w:pgMar w:left="1380" w:top="1327"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68</w:t>
      </w:r>
    </w:p>
    <w:p>
      <w:pPr>
        <w:sectPr>
          <w:pgSz w:w="12240" w:h="15840" w:orient="portrait"/>
          <w:cols w:equalWidth="0" w:num="1">
            <w:col w:w="9480"/>
          </w:cols>
          <w:pgMar w:left="1380" w:top="1327" w:right="1380" w:bottom="95" w:gutter="0" w:footer="0" w:header="0"/>
          <w:type w:val="continuous"/>
        </w:sectPr>
      </w:pPr>
    </w:p>
    <w:bookmarkStart w:id="76" w:name="page77"/>
    <w:bookmarkEnd w:id="76"/>
    <w:p>
      <w:pPr>
        <w:ind w:right="320"/>
        <w:spacing w:after="0" w:line="287" w:lineRule="auto"/>
        <w:rPr>
          <w:sz w:val="20"/>
          <w:szCs w:val="20"/>
          <w:color w:val="auto"/>
        </w:rPr>
      </w:pPr>
      <w:r>
        <w:rPr>
          <w:rFonts w:ascii="Arial" w:cs="Arial" w:eastAsia="Arial" w:hAnsi="Arial"/>
          <w:sz w:val="20"/>
          <w:szCs w:val="20"/>
          <w:color w:val="231F20"/>
        </w:rPr>
        <w:t>The effects of derivative financial instruments on the consolidated statements of income in 2023, 2022 and 2021 were: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660" w:type="dxa"/>
            <w:vAlign w:val="bottom"/>
          </w:tcPr>
          <w:p>
            <w:pPr>
              <w:spacing w:after="0"/>
              <w:rPr>
                <w:sz w:val="20"/>
                <w:szCs w:val="20"/>
                <w:color w:val="auto"/>
              </w:rPr>
            </w:pPr>
            <w:r>
              <w:rPr>
                <w:rFonts w:ascii="Arial" w:cs="Arial" w:eastAsia="Arial" w:hAnsi="Arial"/>
                <w:sz w:val="15"/>
                <w:szCs w:val="15"/>
                <w:i w:val="1"/>
                <w:iCs w:val="1"/>
                <w:color w:val="231F20"/>
              </w:rPr>
              <w:t>(In millions)</w:t>
            </w:r>
          </w:p>
        </w:tc>
        <w:tc>
          <w:tcPr>
            <w:tcW w:w="3680" w:type="dxa"/>
            <w:vAlign w:val="bottom"/>
            <w:tcBorders>
              <w:top w:val="single" w:sz="8" w:color="231F20"/>
            </w:tcBorders>
          </w:tcPr>
          <w:p>
            <w:pPr>
              <w:ind w:left="260"/>
              <w:spacing w:after="0" w:line="178" w:lineRule="exact"/>
              <w:rPr>
                <w:sz w:val="20"/>
                <w:szCs w:val="20"/>
                <w:color w:val="auto"/>
              </w:rPr>
            </w:pPr>
            <w:r>
              <w:rPr>
                <w:rFonts w:ascii="Arial" w:cs="Arial" w:eastAsia="Arial" w:hAnsi="Arial"/>
                <w:sz w:val="16"/>
                <w:szCs w:val="16"/>
                <w:b w:val="1"/>
                <w:bCs w:val="1"/>
                <w:color w:val="231F20"/>
              </w:rPr>
              <w:t>Classification and Amount of Gain (Loss)</w:t>
            </w:r>
          </w:p>
        </w:tc>
      </w:tr>
      <w:tr>
        <w:trPr>
          <w:trHeight w:val="186"/>
        </w:trPr>
        <w:tc>
          <w:tcPr>
            <w:tcW w:w="5660" w:type="dxa"/>
            <w:vAlign w:val="bottom"/>
          </w:tcPr>
          <w:p>
            <w:pPr>
              <w:spacing w:after="0"/>
              <w:rPr>
                <w:sz w:val="16"/>
                <w:szCs w:val="16"/>
                <w:color w:val="auto"/>
              </w:rPr>
            </w:pPr>
          </w:p>
        </w:tc>
        <w:tc>
          <w:tcPr>
            <w:tcW w:w="3680" w:type="dxa"/>
            <w:vAlign w:val="bottom"/>
          </w:tcPr>
          <w:p>
            <w:pPr>
              <w:jc w:val="center"/>
              <w:ind w:left="59"/>
              <w:spacing w:after="0"/>
              <w:rPr>
                <w:sz w:val="20"/>
                <w:szCs w:val="20"/>
                <w:color w:val="auto"/>
              </w:rPr>
            </w:pPr>
            <w:r>
              <w:rPr>
                <w:rFonts w:ascii="Arial" w:cs="Arial" w:eastAsia="Arial" w:hAnsi="Arial"/>
                <w:sz w:val="16"/>
                <w:szCs w:val="16"/>
                <w:b w:val="1"/>
                <w:bCs w:val="1"/>
                <w:color w:val="231F20"/>
              </w:rPr>
              <w:t>Recognized in Income on Fair Value and</w:t>
            </w:r>
          </w:p>
        </w:tc>
      </w:tr>
      <w:tr>
        <w:trPr>
          <w:trHeight w:val="205"/>
        </w:trPr>
        <w:tc>
          <w:tcPr>
            <w:tcW w:w="5660" w:type="dxa"/>
            <w:vAlign w:val="bottom"/>
          </w:tcPr>
          <w:p>
            <w:pPr>
              <w:spacing w:after="0"/>
              <w:rPr>
                <w:sz w:val="17"/>
                <w:szCs w:val="17"/>
                <w:color w:val="auto"/>
              </w:rPr>
            </w:pPr>
          </w:p>
        </w:tc>
        <w:tc>
          <w:tcPr>
            <w:tcW w:w="3680" w:type="dxa"/>
            <w:vAlign w:val="bottom"/>
            <w:tcBorders>
              <w:bottom w:val="single" w:sz="8" w:color="231F20"/>
            </w:tcBorders>
          </w:tcPr>
          <w:p>
            <w:pPr>
              <w:jc w:val="center"/>
              <w:ind w:left="79"/>
              <w:spacing w:after="0"/>
              <w:rPr>
                <w:sz w:val="20"/>
                <w:szCs w:val="20"/>
                <w:color w:val="auto"/>
              </w:rPr>
            </w:pPr>
            <w:r>
              <w:rPr>
                <w:rFonts w:ascii="Arial" w:cs="Arial" w:eastAsia="Arial" w:hAnsi="Arial"/>
                <w:sz w:val="16"/>
                <w:szCs w:val="16"/>
                <w:b w:val="1"/>
                <w:bCs w:val="1"/>
                <w:color w:val="231F20"/>
              </w:rPr>
              <w:t>Cash Flow Hedging Relationships</w:t>
            </w:r>
          </w:p>
        </w:tc>
      </w:tr>
    </w:tbl>
    <w:p>
      <w:pPr>
        <w:spacing w:after="0" w:line="51" w:lineRule="exact"/>
        <w:rPr>
          <w:sz w:val="20"/>
          <w:szCs w:val="20"/>
          <w:color w:val="auto"/>
        </w:rPr>
      </w:pPr>
    </w:p>
    <w:p>
      <w:pPr>
        <w:sectPr>
          <w:pgSz w:w="12240" w:h="15840" w:orient="portrait"/>
          <w:cols w:equalWidth="0" w:num="1">
            <w:col w:w="9440"/>
          </w:cols>
          <w:pgMar w:left="1380" w:top="1346" w:right="1420" w:bottom="95" w:gutter="0" w:footer="0" w:header="0"/>
        </w:sect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20"/>
          <w:szCs w:val="20"/>
          <w:color w:val="231F20"/>
        </w:rPr>
        <w:t xml:space="preserve">Total amounts per Consolidated Statements of Income </w:t>
      </w:r>
      <w:r>
        <w:rPr>
          <w:rFonts w:ascii="Times New Roman" w:cs="Times New Roman" w:eastAsia="Times New Roman" w:hAnsi="Times New Roman"/>
          <w:sz w:val="20"/>
          <w:szCs w:val="20"/>
          <w:color w:val="231F20"/>
        </w:rPr>
        <w:t>.............</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0"/>
          <w:szCs w:val="20"/>
          <w:color w:val="231F20"/>
        </w:rPr>
        <w:t>The effects of fair value and cash flow hedging:</w:t>
      </w:r>
    </w:p>
    <w:p>
      <w:pPr>
        <w:spacing w:after="0" w:line="26"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Gain (loss) on fair value hedging relationships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20"/>
          <w:szCs w:val="20"/>
          <w:color w:val="231F20"/>
        </w:rPr>
        <w:t>Foreign exchange contracts:</w:t>
      </w:r>
    </w:p>
    <w:p>
      <w:pPr>
        <w:spacing w:after="0" w:line="26" w:lineRule="exact"/>
        <w:rPr>
          <w:sz w:val="20"/>
          <w:szCs w:val="20"/>
          <w:color w:val="auto"/>
        </w:rPr>
      </w:pPr>
    </w:p>
    <w:p>
      <w:pPr>
        <w:ind w:left="860"/>
        <w:spacing w:after="0"/>
        <w:rPr>
          <w:sz w:val="20"/>
          <w:szCs w:val="20"/>
          <w:color w:val="auto"/>
        </w:rPr>
      </w:pPr>
      <w:r>
        <w:rPr>
          <w:rFonts w:ascii="Arial" w:cs="Arial" w:eastAsia="Arial" w:hAnsi="Arial"/>
          <w:sz w:val="20"/>
          <w:szCs w:val="20"/>
          <w:color w:val="231F20"/>
        </w:rPr>
        <w:t xml:space="preserve">Hedged items </w:t>
      </w:r>
      <w:r>
        <w:rPr>
          <w:rFonts w:ascii="Times New Roman" w:cs="Times New Roman" w:eastAsia="Times New Roman" w:hAnsi="Times New Roman"/>
          <w:sz w:val="20"/>
          <w:szCs w:val="20"/>
          <w:color w:val="231F20"/>
        </w:rPr>
        <w:t>....................................................................</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20"/>
          <w:szCs w:val="20"/>
          <w:color w:val="231F20"/>
        </w:rPr>
        <w:t xml:space="preserve">Derivative designated as hedging instruments </w:t>
      </w:r>
      <w:r>
        <w:rPr>
          <w:rFonts w:ascii="Times New Roman" w:cs="Times New Roman" w:eastAsia="Times New Roman" w:hAnsi="Times New Roman"/>
          <w:sz w:val="20"/>
          <w:szCs w:val="20"/>
          <w:color w:val="231F20"/>
        </w:rPr>
        <w:t>............</w:t>
      </w:r>
    </w:p>
    <w:p>
      <w:pPr>
        <w:spacing w:after="0" w:line="25" w:lineRule="exact"/>
        <w:rPr>
          <w:sz w:val="20"/>
          <w:szCs w:val="20"/>
          <w:color w:val="auto"/>
        </w:rPr>
      </w:pPr>
    </w:p>
    <w:p>
      <w:pPr>
        <w:ind w:left="300"/>
        <w:spacing w:after="0"/>
        <w:rPr>
          <w:sz w:val="20"/>
          <w:szCs w:val="20"/>
          <w:color w:val="auto"/>
        </w:rPr>
      </w:pPr>
      <w:r>
        <w:rPr>
          <w:rFonts w:ascii="Arial" w:cs="Arial" w:eastAsia="Arial" w:hAnsi="Arial"/>
          <w:sz w:val="20"/>
          <w:szCs w:val="20"/>
          <w:color w:val="231F20"/>
        </w:rPr>
        <w:t>Gain (loss) on cash flow hedging relationships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20"/>
          <w:szCs w:val="20"/>
          <w:color w:val="231F20"/>
        </w:rPr>
        <w:t>Foreign exchange contracts:</w:t>
      </w:r>
    </w:p>
    <w:p>
      <w:pPr>
        <w:spacing w:after="0" w:line="26" w:lineRule="exact"/>
        <w:rPr>
          <w:sz w:val="20"/>
          <w:szCs w:val="20"/>
          <w:color w:val="auto"/>
        </w:rPr>
      </w:pPr>
    </w:p>
    <w:p>
      <w:pPr>
        <w:ind w:left="720"/>
        <w:spacing w:after="0" w:line="245" w:lineRule="auto"/>
        <w:rPr>
          <w:sz w:val="20"/>
          <w:szCs w:val="20"/>
          <w:color w:val="auto"/>
        </w:rPr>
      </w:pPr>
      <w:r>
        <w:rPr>
          <w:rFonts w:ascii="Arial" w:cs="Arial" w:eastAsia="Arial" w:hAnsi="Arial"/>
          <w:sz w:val="20"/>
          <w:szCs w:val="20"/>
          <w:color w:val="231F20"/>
        </w:rPr>
        <w:t>Amount of gain or (loss) reclassified from accumulated other comprehensive (loss) income into income</w:t>
      </w:r>
      <w:r>
        <w:rPr>
          <w:rFonts w:ascii="Times New Roman" w:cs="Times New Roman" w:eastAsia="Times New Roman" w:hAnsi="Times New Roman"/>
          <w:sz w:val="20"/>
          <w:szCs w:val="20"/>
          <w:color w:val="231F20"/>
        </w:rPr>
        <w: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0"/>
          <w:szCs w:val="20"/>
          <w:color w:val="231F20"/>
        </w:rPr>
        <w:t>Commodity contracts:</w:t>
      </w:r>
    </w:p>
    <w:p>
      <w:pPr>
        <w:spacing w:after="0" w:line="17" w:lineRule="exact"/>
        <w:rPr>
          <w:sz w:val="20"/>
          <w:szCs w:val="20"/>
          <w:color w:val="auto"/>
        </w:rPr>
      </w:pPr>
    </w:p>
    <w:p>
      <w:pPr>
        <w:ind w:left="720"/>
        <w:spacing w:after="0" w:line="245" w:lineRule="auto"/>
        <w:rPr>
          <w:sz w:val="20"/>
          <w:szCs w:val="20"/>
          <w:color w:val="auto"/>
        </w:rPr>
      </w:pPr>
      <w:r>
        <w:rPr>
          <w:rFonts w:ascii="Arial" w:cs="Arial" w:eastAsia="Arial" w:hAnsi="Arial"/>
          <w:sz w:val="20"/>
          <w:szCs w:val="20"/>
          <w:color w:val="231F20"/>
        </w:rPr>
        <w:t>Amount of gain or (loss) reclassified from accumulated other comprehensive (loss) income into income</w:t>
      </w:r>
      <w:r>
        <w:rPr>
          <w:rFonts w:ascii="Times New Roman" w:cs="Times New Roman" w:eastAsia="Times New Roman" w:hAnsi="Times New Roman"/>
          <w:sz w:val="20"/>
          <w:szCs w:val="20"/>
          <w:color w:val="231F20"/>
        </w:rPr>
        <w: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20"/>
          <w:szCs w:val="20"/>
          <w:color w:val="231F20"/>
        </w:rPr>
        <w:t>Interest rate contracts:</w:t>
      </w:r>
    </w:p>
    <w:p>
      <w:pPr>
        <w:spacing w:after="0" w:line="17" w:lineRule="exact"/>
        <w:rPr>
          <w:sz w:val="20"/>
          <w:szCs w:val="20"/>
          <w:color w:val="auto"/>
        </w:rPr>
      </w:pPr>
    </w:p>
    <w:p>
      <w:pPr>
        <w:ind w:left="720"/>
        <w:spacing w:after="0" w:line="255" w:lineRule="auto"/>
        <w:rPr>
          <w:sz w:val="20"/>
          <w:szCs w:val="20"/>
          <w:color w:val="auto"/>
        </w:rPr>
      </w:pPr>
      <w:r>
        <w:rPr>
          <w:rFonts w:ascii="Arial" w:cs="Arial" w:eastAsia="Arial" w:hAnsi="Arial"/>
          <w:sz w:val="20"/>
          <w:szCs w:val="20"/>
          <w:color w:val="231F20"/>
        </w:rPr>
        <w:t>Amount of gain or (loss) reclassified from accumulated other comprehensive (loss) income into income</w:t>
      </w:r>
      <w:r>
        <w:rPr>
          <w:rFonts w:ascii="Times New Roman" w:cs="Times New Roman" w:eastAsia="Times New Roman" w:hAnsi="Times New Roman"/>
          <w:sz w:val="20"/>
          <w:szCs w:val="20"/>
          <w:color w:val="231F20"/>
        </w:rPr>
        <w:t>...................................................................................</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Arial" w:cs="Arial" w:eastAsia="Arial" w:hAnsi="Arial"/>
          <w:sz w:val="16"/>
          <w:szCs w:val="16"/>
          <w:b w:val="1"/>
          <w:bCs w:val="1"/>
          <w:color w:val="231F20"/>
        </w:rPr>
        <w:t>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0" w:type="dxa"/>
            <w:vAlign w:val="bottom"/>
            <w:tcBorders>
              <w:top w:val="single" w:sz="8" w:color="231F20"/>
            </w:tcBorders>
          </w:tcPr>
          <w:p>
            <w:pPr>
              <w:spacing w:after="0"/>
              <w:rPr>
                <w:sz w:val="13"/>
                <w:szCs w:val="13"/>
                <w:color w:val="auto"/>
              </w:rPr>
            </w:pPr>
          </w:p>
        </w:tc>
        <w:tc>
          <w:tcPr>
            <w:tcW w:w="980" w:type="dxa"/>
            <w:vAlign w:val="bottom"/>
            <w:tcBorders>
              <w:top w:val="single" w:sz="8" w:color="231F20"/>
            </w:tcBorders>
          </w:tcPr>
          <w:p>
            <w:pPr>
              <w:jc w:val="center"/>
              <w:ind w:right="129"/>
              <w:spacing w:after="0" w:line="158" w:lineRule="exact"/>
              <w:rPr>
                <w:sz w:val="20"/>
                <w:szCs w:val="20"/>
                <w:color w:val="auto"/>
              </w:rPr>
            </w:pPr>
            <w:r>
              <w:rPr>
                <w:rFonts w:ascii="Arial" w:cs="Arial" w:eastAsia="Arial" w:hAnsi="Arial"/>
                <w:sz w:val="16"/>
                <w:szCs w:val="16"/>
                <w:b w:val="1"/>
                <w:bCs w:val="1"/>
                <w:color w:val="231F20"/>
              </w:rPr>
              <w:t>Cost of</w:t>
            </w:r>
          </w:p>
        </w:tc>
        <w:tc>
          <w:tcPr>
            <w:tcW w:w="200" w:type="dxa"/>
            <w:vAlign w:val="bottom"/>
            <w:tcBorders>
              <w:top w:val="single" w:sz="8" w:color="231F20"/>
            </w:tcBorders>
          </w:tcPr>
          <w:p>
            <w:pPr>
              <w:spacing w:after="0"/>
              <w:rPr>
                <w:sz w:val="13"/>
                <w:szCs w:val="13"/>
                <w:color w:val="auto"/>
              </w:rPr>
            </w:pPr>
          </w:p>
        </w:tc>
        <w:tc>
          <w:tcPr>
            <w:tcW w:w="200" w:type="dxa"/>
            <w:vAlign w:val="bottom"/>
            <w:tcBorders>
              <w:top w:val="single" w:sz="8" w:color="231F20"/>
            </w:tcBorders>
          </w:tcPr>
          <w:p>
            <w:pPr>
              <w:spacing w:after="0"/>
              <w:rPr>
                <w:sz w:val="13"/>
                <w:szCs w:val="13"/>
                <w:color w:val="auto"/>
              </w:rPr>
            </w:pPr>
          </w:p>
        </w:tc>
        <w:tc>
          <w:tcPr>
            <w:tcW w:w="1000" w:type="dxa"/>
            <w:vAlign w:val="bottom"/>
            <w:tcBorders>
              <w:top w:val="single" w:sz="8" w:color="231F20"/>
            </w:tcBorders>
          </w:tcPr>
          <w:p>
            <w:pPr>
              <w:jc w:val="center"/>
              <w:ind w:right="112"/>
              <w:spacing w:after="0" w:line="158" w:lineRule="exact"/>
              <w:rPr>
                <w:sz w:val="20"/>
                <w:szCs w:val="20"/>
                <w:color w:val="auto"/>
              </w:rPr>
            </w:pPr>
            <w:r>
              <w:rPr>
                <w:rFonts w:ascii="Arial" w:cs="Arial" w:eastAsia="Arial" w:hAnsi="Arial"/>
                <w:sz w:val="16"/>
                <w:szCs w:val="16"/>
                <w:b w:val="1"/>
                <w:bCs w:val="1"/>
                <w:color w:val="231F20"/>
              </w:rPr>
              <w:t>Interest</w:t>
            </w:r>
          </w:p>
        </w:tc>
        <w:tc>
          <w:tcPr>
            <w:tcW w:w="180" w:type="dxa"/>
            <w:vAlign w:val="bottom"/>
            <w:tcBorders>
              <w:top w:val="single" w:sz="8" w:color="231F20"/>
            </w:tcBorders>
          </w:tcPr>
          <w:p>
            <w:pPr>
              <w:spacing w:after="0"/>
              <w:rPr>
                <w:sz w:val="13"/>
                <w:szCs w:val="13"/>
                <w:color w:val="auto"/>
              </w:rPr>
            </w:pPr>
          </w:p>
        </w:tc>
        <w:tc>
          <w:tcPr>
            <w:tcW w:w="180" w:type="dxa"/>
            <w:vAlign w:val="bottom"/>
            <w:tcBorders>
              <w:top w:val="single" w:sz="8" w:color="231F20"/>
            </w:tcBorders>
          </w:tcPr>
          <w:p>
            <w:pPr>
              <w:spacing w:after="0"/>
              <w:rPr>
                <w:sz w:val="13"/>
                <w:szCs w:val="13"/>
                <w:color w:val="auto"/>
              </w:rPr>
            </w:pPr>
          </w:p>
        </w:tc>
        <w:tc>
          <w:tcPr>
            <w:tcW w:w="720" w:type="dxa"/>
            <w:vAlign w:val="bottom"/>
            <w:tcBorders>
              <w:top w:val="single" w:sz="8" w:color="231F20"/>
            </w:tcBorders>
          </w:tcPr>
          <w:p>
            <w:pPr>
              <w:jc w:val="right"/>
              <w:ind w:right="129"/>
              <w:spacing w:after="0" w:line="158" w:lineRule="exact"/>
              <w:rPr>
                <w:sz w:val="20"/>
                <w:szCs w:val="20"/>
                <w:color w:val="auto"/>
              </w:rPr>
            </w:pPr>
            <w:r>
              <w:rPr>
                <w:rFonts w:ascii="Arial" w:cs="Arial" w:eastAsia="Arial" w:hAnsi="Arial"/>
                <w:sz w:val="16"/>
                <w:szCs w:val="16"/>
                <w:b w:val="1"/>
                <w:bCs w:val="1"/>
                <w:color w:val="231F20"/>
              </w:rPr>
              <w:t>Other</w:t>
            </w:r>
          </w:p>
        </w:tc>
      </w:tr>
      <w:tr>
        <w:trPr>
          <w:trHeight w:val="205"/>
        </w:trPr>
        <w:tc>
          <w:tcPr>
            <w:tcW w:w="1200" w:type="dxa"/>
            <w:vAlign w:val="bottom"/>
            <w:tcBorders>
              <w:bottom w:val="single" w:sz="8" w:color="231F20"/>
            </w:tcBorders>
            <w:gridSpan w:val="2"/>
          </w:tcPr>
          <w:p>
            <w:pPr>
              <w:jc w:val="center"/>
              <w:spacing w:after="0"/>
              <w:rPr>
                <w:sz w:val="20"/>
                <w:szCs w:val="20"/>
                <w:color w:val="auto"/>
              </w:rPr>
            </w:pPr>
            <w:r>
              <w:rPr>
                <w:rFonts w:ascii="Arial" w:cs="Arial" w:eastAsia="Arial" w:hAnsi="Arial"/>
                <w:sz w:val="16"/>
                <w:szCs w:val="16"/>
                <w:b w:val="1"/>
                <w:bCs w:val="1"/>
                <w:color w:val="231F20"/>
              </w:rPr>
              <w:t>products sold</w:t>
            </w:r>
          </w:p>
        </w:tc>
        <w:tc>
          <w:tcPr>
            <w:tcW w:w="2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center"/>
              <w:ind w:right="112"/>
              <w:spacing w:after="0"/>
              <w:rPr>
                <w:sz w:val="20"/>
                <w:szCs w:val="20"/>
                <w:color w:val="auto"/>
              </w:rPr>
            </w:pPr>
            <w:r>
              <w:rPr>
                <w:rFonts w:ascii="Arial" w:cs="Arial" w:eastAsia="Arial" w:hAnsi="Arial"/>
                <w:sz w:val="16"/>
                <w:szCs w:val="16"/>
                <w:b w:val="1"/>
                <w:bCs w:val="1"/>
                <w:color w:val="231F20"/>
                <w:w w:val="99"/>
              </w:rPr>
              <w:t>expense</w:t>
            </w:r>
          </w:p>
        </w:tc>
        <w:tc>
          <w:tcPr>
            <w:tcW w:w="180" w:type="dxa"/>
            <w:vAlign w:val="bottom"/>
          </w:tcPr>
          <w:p>
            <w:pPr>
              <w:spacing w:after="0"/>
              <w:rPr>
                <w:sz w:val="17"/>
                <w:szCs w:val="17"/>
                <w:color w:val="auto"/>
              </w:rPr>
            </w:pPr>
          </w:p>
        </w:tc>
        <w:tc>
          <w:tcPr>
            <w:tcW w:w="900" w:type="dxa"/>
            <w:vAlign w:val="bottom"/>
            <w:tcBorders>
              <w:bottom w:val="single" w:sz="8" w:color="231F20"/>
            </w:tcBorders>
            <w:gridSpan w:val="2"/>
          </w:tcPr>
          <w:p>
            <w:pPr>
              <w:spacing w:after="0"/>
              <w:rPr>
                <w:sz w:val="20"/>
                <w:szCs w:val="20"/>
                <w:color w:val="auto"/>
              </w:rPr>
            </w:pPr>
            <w:r>
              <w:rPr>
                <w:rFonts w:ascii="Arial" w:cs="Arial" w:eastAsia="Arial" w:hAnsi="Arial"/>
                <w:sz w:val="16"/>
                <w:szCs w:val="16"/>
                <w:b w:val="1"/>
                <w:bCs w:val="1"/>
                <w:color w:val="231F20"/>
                <w:w w:val="98"/>
              </w:rPr>
              <w:t>income, net</w:t>
            </w:r>
          </w:p>
        </w:tc>
      </w:tr>
      <w:tr>
        <w:trPr>
          <w:trHeight w:val="267"/>
        </w:trPr>
        <w:tc>
          <w:tcPr>
            <w:tcW w:w="220" w:type="dxa"/>
            <w:vAlign w:val="bottom"/>
          </w:tcPr>
          <w:p>
            <w:pPr>
              <w:jc w:val="right"/>
              <w:ind w:right="9"/>
              <w:spacing w:after="0"/>
              <w:rPr>
                <w:sz w:val="20"/>
                <w:szCs w:val="20"/>
                <w:color w:val="auto"/>
              </w:rPr>
            </w:pPr>
            <w:r>
              <w:rPr>
                <w:rFonts w:ascii="Arial" w:cs="Arial" w:eastAsia="Arial" w:hAnsi="Arial"/>
                <w:sz w:val="20"/>
                <w:szCs w:val="20"/>
                <w:color w:val="231F20"/>
                <w:w w:val="89"/>
              </w:rPr>
              <w:t>$</w:t>
            </w:r>
          </w:p>
        </w:tc>
        <w:tc>
          <w:tcPr>
            <w:tcW w:w="980" w:type="dxa"/>
            <w:vAlign w:val="bottom"/>
          </w:tcPr>
          <w:p>
            <w:pPr>
              <w:jc w:val="right"/>
              <w:spacing w:after="0"/>
              <w:rPr>
                <w:sz w:val="20"/>
                <w:szCs w:val="20"/>
                <w:color w:val="auto"/>
              </w:rPr>
            </w:pPr>
            <w:r>
              <w:rPr>
                <w:rFonts w:ascii="Arial" w:cs="Arial" w:eastAsia="Arial" w:hAnsi="Arial"/>
                <w:sz w:val="20"/>
                <w:szCs w:val="20"/>
                <w:color w:val="231F20"/>
              </w:rPr>
              <w:t>2,714.8</w:t>
            </w:r>
          </w:p>
        </w:tc>
        <w:tc>
          <w:tcPr>
            <w:tcW w:w="40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1000" w:type="dxa"/>
            <w:vAlign w:val="bottom"/>
          </w:tcPr>
          <w:p>
            <w:pPr>
              <w:jc w:val="right"/>
              <w:spacing w:after="0"/>
              <w:rPr>
                <w:sz w:val="20"/>
                <w:szCs w:val="20"/>
                <w:color w:val="auto"/>
              </w:rPr>
            </w:pPr>
            <w:r>
              <w:rPr>
                <w:rFonts w:ascii="Arial" w:cs="Arial" w:eastAsia="Arial" w:hAnsi="Arial"/>
                <w:sz w:val="20"/>
                <w:szCs w:val="20"/>
                <w:color w:val="231F20"/>
              </w:rPr>
              <w:t>116.5</w:t>
            </w:r>
          </w:p>
        </w:tc>
        <w:tc>
          <w:tcPr>
            <w:tcW w:w="360" w:type="dxa"/>
            <w:vAlign w:val="bottom"/>
            <w:gridSpan w:val="2"/>
          </w:tcPr>
          <w:p>
            <w:pPr>
              <w:ind w:left="180"/>
              <w:spacing w:after="0"/>
              <w:rPr>
                <w:sz w:val="20"/>
                <w:szCs w:val="20"/>
                <w:color w:val="auto"/>
              </w:rPr>
            </w:pPr>
            <w:r>
              <w:rPr>
                <w:rFonts w:ascii="Arial" w:cs="Arial" w:eastAsia="Arial" w:hAnsi="Arial"/>
                <w:sz w:val="20"/>
                <w:szCs w:val="20"/>
                <w:color w:val="231F20"/>
              </w:rPr>
              <w:t>$</w:t>
            </w:r>
          </w:p>
        </w:tc>
        <w:tc>
          <w:tcPr>
            <w:tcW w:w="720" w:type="dxa"/>
            <w:vAlign w:val="bottom"/>
          </w:tcPr>
          <w:p>
            <w:pPr>
              <w:jc w:val="right"/>
              <w:spacing w:after="0"/>
              <w:rPr>
                <w:sz w:val="20"/>
                <w:szCs w:val="20"/>
                <w:color w:val="auto"/>
              </w:rPr>
            </w:pPr>
            <w:r>
              <w:rPr>
                <w:rFonts w:ascii="Arial" w:cs="Arial" w:eastAsia="Arial" w:hAnsi="Arial"/>
                <w:sz w:val="20"/>
                <w:szCs w:val="20"/>
                <w:color w:val="231F20"/>
              </w:rPr>
              <w:t>19.5</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000" w:type="dxa"/>
        <w:tblCellMar>
          <w:top w:w="0" w:type="dxa"/>
          <w:left w:w="0" w:type="dxa"/>
          <w:bottom w:w="0" w:type="dxa"/>
          <w:right w:w="0" w:type="dxa"/>
        </w:tblCellMar>
      </w:tblPr>
      <w:tr>
        <w:trPr>
          <w:trHeight w:val="256"/>
        </w:trPr>
        <w:tc>
          <w:tcPr>
            <w:tcW w:w="800" w:type="dxa"/>
            <w:vAlign w:val="bottom"/>
          </w:tcPr>
          <w:p>
            <w:pPr>
              <w:spacing w:after="0"/>
              <w:rPr>
                <w:sz w:val="20"/>
                <w:szCs w:val="20"/>
                <w:color w:val="auto"/>
              </w:rPr>
            </w:pPr>
            <w:r>
              <w:rPr>
                <w:rFonts w:ascii="Arial" w:cs="Arial" w:eastAsia="Arial" w:hAnsi="Arial"/>
                <w:sz w:val="20"/>
                <w:szCs w:val="20"/>
                <w:color w:val="231F20"/>
              </w:rPr>
              <w:t>—</w:t>
            </w:r>
          </w:p>
        </w:tc>
        <w:tc>
          <w:tcPr>
            <w:tcW w:w="1180" w:type="dxa"/>
            <w:vAlign w:val="bottom"/>
          </w:tcPr>
          <w:p>
            <w:pPr>
              <w:ind w:left="600"/>
              <w:spacing w:after="0"/>
              <w:rPr>
                <w:sz w:val="20"/>
                <w:szCs w:val="20"/>
                <w:color w:val="auto"/>
              </w:rPr>
            </w:pPr>
            <w:r>
              <w:rPr>
                <w:rFonts w:ascii="Arial" w:cs="Arial" w:eastAsia="Arial" w:hAnsi="Arial"/>
                <w:sz w:val="20"/>
                <w:szCs w:val="20"/>
                <w:color w:val="231F20"/>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2.0</w:t>
            </w:r>
          </w:p>
        </w:tc>
      </w:tr>
      <w:tr>
        <w:trPr>
          <w:trHeight w:val="273"/>
        </w:trPr>
        <w:tc>
          <w:tcPr>
            <w:tcW w:w="800" w:type="dxa"/>
            <w:vAlign w:val="bottom"/>
          </w:tcPr>
          <w:p>
            <w:pPr>
              <w:spacing w:after="0"/>
              <w:rPr>
                <w:sz w:val="20"/>
                <w:szCs w:val="20"/>
                <w:color w:val="auto"/>
              </w:rPr>
            </w:pPr>
            <w:r>
              <w:rPr>
                <w:rFonts w:ascii="Arial" w:cs="Arial" w:eastAsia="Arial" w:hAnsi="Arial"/>
                <w:sz w:val="20"/>
                <w:szCs w:val="20"/>
                <w:color w:val="231F20"/>
              </w:rPr>
              <w:t>—</w:t>
            </w:r>
          </w:p>
        </w:tc>
        <w:tc>
          <w:tcPr>
            <w:tcW w:w="1180" w:type="dxa"/>
            <w:vAlign w:val="bottom"/>
          </w:tcPr>
          <w:p>
            <w:pPr>
              <w:ind w:left="600"/>
              <w:spacing w:after="0"/>
              <w:rPr>
                <w:sz w:val="20"/>
                <w:szCs w:val="20"/>
                <w:color w:val="auto"/>
              </w:rPr>
            </w:pPr>
            <w:r>
              <w:rPr>
                <w:rFonts w:ascii="Arial" w:cs="Arial" w:eastAsia="Arial" w:hAnsi="Arial"/>
                <w:sz w:val="20"/>
                <w:szCs w:val="20"/>
                <w:color w:val="231F20"/>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20"/>
        <w:spacing w:after="0"/>
        <w:tabs>
          <w:tab w:leader="none" w:pos="2380" w:val="left"/>
          <w:tab w:leader="none" w:pos="3460" w:val="left"/>
        </w:tabs>
        <w:rPr>
          <w:sz w:val="20"/>
          <w:szCs w:val="20"/>
          <w:color w:val="auto"/>
        </w:rPr>
      </w:pPr>
      <w:r>
        <w:rPr>
          <w:rFonts w:ascii="Arial" w:cs="Arial" w:eastAsia="Arial" w:hAnsi="Arial"/>
          <w:sz w:val="20"/>
          <w:szCs w:val="20"/>
          <w:color w:val="231F20"/>
        </w:rPr>
        <w:t>5.2</w:t>
      </w:r>
      <w:r>
        <w:rPr>
          <w:sz w:val="20"/>
          <w:szCs w:val="20"/>
          <w:color w:val="auto"/>
        </w:rPr>
        <w:tab/>
      </w:r>
      <w:r>
        <w:rPr>
          <w:rFonts w:ascii="Arial" w:cs="Arial" w:eastAsia="Arial" w:hAnsi="Arial"/>
          <w:sz w:val="20"/>
          <w:szCs w:val="20"/>
          <w:color w:val="231F20"/>
        </w:rPr>
        <w:t>—</w:t>
      </w:r>
      <w:r>
        <w:rPr>
          <w:sz w:val="20"/>
          <w:szCs w:val="20"/>
          <w:color w:val="auto"/>
        </w:rPr>
        <w:tab/>
      </w:r>
      <w:r>
        <w:rPr>
          <w:rFonts w:ascii="Arial" w:cs="Arial" w:eastAsia="Arial" w:hAnsi="Arial"/>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60"/>
        <w:spacing w:after="0"/>
        <w:tabs>
          <w:tab w:leader="none" w:pos="2380" w:val="left"/>
          <w:tab w:leader="none" w:pos="3460" w:val="left"/>
        </w:tabs>
        <w:rPr>
          <w:sz w:val="20"/>
          <w:szCs w:val="20"/>
          <w:color w:val="auto"/>
        </w:rPr>
      </w:pPr>
      <w:r>
        <w:rPr>
          <w:rFonts w:ascii="Arial" w:cs="Arial" w:eastAsia="Arial" w:hAnsi="Arial"/>
          <w:sz w:val="20"/>
          <w:szCs w:val="20"/>
          <w:color w:val="231F20"/>
        </w:rPr>
        <w:t>(0.2)</w:t>
      </w:r>
      <w:r>
        <w:rPr>
          <w:sz w:val="20"/>
          <w:szCs w:val="20"/>
          <w:color w:val="auto"/>
        </w:rPr>
        <w:tab/>
      </w:r>
      <w:r>
        <w:rPr>
          <w:rFonts w:ascii="Arial" w:cs="Arial" w:eastAsia="Arial" w:hAnsi="Arial"/>
          <w:sz w:val="20"/>
          <w:szCs w:val="20"/>
          <w:color w:val="231F20"/>
        </w:rPr>
        <w:t>—</w:t>
      </w:r>
      <w:r>
        <w:rPr>
          <w:sz w:val="20"/>
          <w:szCs w:val="20"/>
          <w:color w:val="auto"/>
        </w:rPr>
        <w:tab/>
      </w:r>
      <w:r>
        <w:rPr>
          <w:rFonts w:ascii="Arial" w:cs="Arial" w:eastAsia="Arial" w:hAnsi="Arial"/>
          <w:sz w:val="20"/>
          <w:szCs w:val="20"/>
          <w:color w:val="231F20"/>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0"/>
        <w:spacing w:after="0"/>
        <w:tabs>
          <w:tab w:leader="none" w:pos="2300" w:val="left"/>
          <w:tab w:leader="none" w:pos="3460" w:val="left"/>
        </w:tabs>
        <w:rPr>
          <w:sz w:val="20"/>
          <w:szCs w:val="20"/>
          <w:color w:val="auto"/>
        </w:rPr>
      </w:pPr>
      <w:r>
        <w:rPr>
          <w:rFonts w:ascii="Arial" w:cs="Arial" w:eastAsia="Arial" w:hAnsi="Arial"/>
          <w:sz w:val="20"/>
          <w:szCs w:val="20"/>
          <w:color w:val="231F20"/>
        </w:rPr>
        <w:t>—</w:t>
      </w:r>
      <w:r>
        <w:rPr>
          <w:sz w:val="20"/>
          <w:szCs w:val="20"/>
          <w:color w:val="auto"/>
        </w:rPr>
        <w:tab/>
      </w:r>
      <w:r>
        <w:rPr>
          <w:rFonts w:ascii="Arial" w:cs="Arial" w:eastAsia="Arial" w:hAnsi="Arial"/>
          <w:sz w:val="20"/>
          <w:szCs w:val="20"/>
          <w:color w:val="231F20"/>
        </w:rPr>
        <w:t>9.0</w:t>
      </w:r>
      <w:r>
        <w:rPr>
          <w:sz w:val="20"/>
          <w:szCs w:val="20"/>
          <w:color w:val="auto"/>
        </w:rPr>
        <w:tab/>
      </w:r>
      <w:r>
        <w:rPr>
          <w:rFonts w:ascii="Arial" w:cs="Arial" w:eastAsia="Arial" w:hAnsi="Arial"/>
          <w:sz w:val="20"/>
          <w:szCs w:val="20"/>
          <w:color w:val="231F20"/>
        </w:rPr>
        <w:t>—</w:t>
      </w:r>
    </w:p>
    <w:p>
      <w:pPr>
        <w:spacing w:after="0" w:line="255" w:lineRule="exact"/>
        <w:rPr>
          <w:sz w:val="20"/>
          <w:szCs w:val="20"/>
          <w:color w:val="auto"/>
        </w:rPr>
      </w:pPr>
    </w:p>
    <w:p>
      <w:pPr>
        <w:sectPr>
          <w:pgSz w:w="12240" w:h="15840" w:orient="portrait"/>
          <w:cols w:equalWidth="0" w:num="2">
            <w:col w:w="5600" w:space="80"/>
            <w:col w:w="3760"/>
          </w:cols>
          <w:pgMar w:left="1380" w:top="1346" w:right="1420" w:bottom="95" w:gutter="0" w:footer="0" w:header="0"/>
          <w:type w:val="continuous"/>
        </w:sectPr>
      </w:pP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620" w:type="dxa"/>
            <w:vAlign w:val="bottom"/>
          </w:tcPr>
          <w:p>
            <w:pPr>
              <w:spacing w:after="0"/>
              <w:rPr>
                <w:sz w:val="20"/>
                <w:szCs w:val="20"/>
                <w:color w:val="auto"/>
              </w:rPr>
            </w:pPr>
            <w:r>
              <w:rPr>
                <w:rFonts w:ascii="Arial" w:cs="Arial" w:eastAsia="Arial" w:hAnsi="Arial"/>
                <w:sz w:val="15"/>
                <w:szCs w:val="15"/>
                <w:i w:val="1"/>
                <w:iCs w:val="1"/>
                <w:color w:val="231F20"/>
              </w:rPr>
              <w:t>(In millions)</w:t>
            </w:r>
          </w:p>
        </w:tc>
        <w:tc>
          <w:tcPr>
            <w:tcW w:w="40" w:type="dxa"/>
            <w:vAlign w:val="bottom"/>
          </w:tcPr>
          <w:p>
            <w:pPr>
              <w:spacing w:after="0"/>
              <w:rPr>
                <w:sz w:val="15"/>
                <w:szCs w:val="15"/>
                <w:color w:val="auto"/>
              </w:rPr>
            </w:pPr>
          </w:p>
        </w:tc>
        <w:tc>
          <w:tcPr>
            <w:tcW w:w="180" w:type="dxa"/>
            <w:vAlign w:val="bottom"/>
            <w:tcBorders>
              <w:top w:val="single" w:sz="8" w:color="231F20"/>
            </w:tcBorders>
          </w:tcPr>
          <w:p>
            <w:pPr>
              <w:spacing w:after="0"/>
              <w:rPr>
                <w:sz w:val="15"/>
                <w:szCs w:val="15"/>
                <w:color w:val="auto"/>
              </w:rPr>
            </w:pPr>
          </w:p>
        </w:tc>
        <w:tc>
          <w:tcPr>
            <w:tcW w:w="3500" w:type="dxa"/>
            <w:vAlign w:val="bottom"/>
            <w:tcBorders>
              <w:top w:val="single" w:sz="8" w:color="231F20"/>
            </w:tcBorders>
            <w:gridSpan w:val="9"/>
          </w:tcPr>
          <w:p>
            <w:pPr>
              <w:jc w:val="right"/>
              <w:ind w:right="142"/>
              <w:spacing w:after="0" w:line="178" w:lineRule="exact"/>
              <w:rPr>
                <w:sz w:val="20"/>
                <w:szCs w:val="20"/>
                <w:color w:val="auto"/>
              </w:rPr>
            </w:pPr>
            <w:r>
              <w:rPr>
                <w:rFonts w:ascii="Arial" w:cs="Arial" w:eastAsia="Arial" w:hAnsi="Arial"/>
                <w:sz w:val="16"/>
                <w:szCs w:val="16"/>
                <w:b w:val="1"/>
                <w:bCs w:val="1"/>
                <w:color w:val="231F20"/>
              </w:rPr>
              <w:t>Classification and Amount of Gain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80" w:type="dxa"/>
            <w:vAlign w:val="bottom"/>
            <w:gridSpan w:val="10"/>
          </w:tcPr>
          <w:p>
            <w:pPr>
              <w:jc w:val="right"/>
              <w:ind w:right="300"/>
              <w:spacing w:after="0"/>
              <w:rPr>
                <w:sz w:val="20"/>
                <w:szCs w:val="20"/>
                <w:color w:val="auto"/>
              </w:rPr>
            </w:pPr>
            <w:r>
              <w:rPr>
                <w:rFonts w:ascii="Arial" w:cs="Arial" w:eastAsia="Arial" w:hAnsi="Arial"/>
                <w:sz w:val="16"/>
                <w:szCs w:val="16"/>
                <w:b w:val="1"/>
                <w:bCs w:val="1"/>
                <w:color w:val="231F20"/>
              </w:rPr>
              <w:t>Recognized in Income on Fair Value and</w:t>
            </w:r>
          </w:p>
        </w:tc>
        <w:tc>
          <w:tcPr>
            <w:tcW w:w="0" w:type="dxa"/>
            <w:vAlign w:val="bottom"/>
          </w:tcPr>
          <w:p>
            <w:pPr>
              <w:spacing w:after="0"/>
              <w:rPr>
                <w:sz w:val="1"/>
                <w:szCs w:val="1"/>
                <w:color w:val="auto"/>
              </w:rPr>
            </w:pPr>
          </w:p>
        </w:tc>
      </w:tr>
      <w:tr>
        <w:trPr>
          <w:trHeight w:val="205"/>
        </w:trPr>
        <w:tc>
          <w:tcPr>
            <w:tcW w:w="5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gridSpan w:val="10"/>
          </w:tcPr>
          <w:p>
            <w:pPr>
              <w:jc w:val="right"/>
              <w:ind w:right="540"/>
              <w:spacing w:after="0"/>
              <w:rPr>
                <w:sz w:val="20"/>
                <w:szCs w:val="20"/>
                <w:color w:val="auto"/>
              </w:rPr>
            </w:pPr>
            <w:r>
              <w:rPr>
                <w:rFonts w:ascii="Arial" w:cs="Arial" w:eastAsia="Arial" w:hAnsi="Arial"/>
                <w:sz w:val="16"/>
                <w:szCs w:val="16"/>
                <w:b w:val="1"/>
                <w:bCs w:val="1"/>
                <w:color w:val="231F20"/>
              </w:rPr>
              <w:t>Cash Flow Hedging Relationships</w:t>
            </w:r>
          </w:p>
        </w:tc>
        <w:tc>
          <w:tcPr>
            <w:tcW w:w="0" w:type="dxa"/>
            <w:vAlign w:val="bottom"/>
          </w:tcPr>
          <w:p>
            <w:pPr>
              <w:spacing w:after="0"/>
              <w:rPr>
                <w:sz w:val="1"/>
                <w:szCs w:val="1"/>
                <w:color w:val="auto"/>
              </w:rPr>
            </w:pPr>
          </w:p>
        </w:tc>
      </w:tr>
      <w:tr>
        <w:trPr>
          <w:trHeight w:val="246"/>
        </w:trPr>
        <w:tc>
          <w:tcPr>
            <w:tcW w:w="5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231F20"/>
              <w:bottom w:val="single" w:sz="8" w:color="231F20"/>
            </w:tcBorders>
          </w:tcPr>
          <w:p>
            <w:pPr>
              <w:spacing w:after="0"/>
              <w:rPr>
                <w:sz w:val="21"/>
                <w:szCs w:val="21"/>
                <w:color w:val="auto"/>
              </w:rPr>
            </w:pPr>
          </w:p>
        </w:tc>
        <w:tc>
          <w:tcPr>
            <w:tcW w:w="1020" w:type="dxa"/>
            <w:vAlign w:val="bottom"/>
            <w:tcBorders>
              <w:top w:val="single" w:sz="8" w:color="231F20"/>
              <w:bottom w:val="single" w:sz="8" w:color="231F20"/>
            </w:tcBorders>
          </w:tcPr>
          <w:p>
            <w:pPr>
              <w:spacing w:after="0"/>
              <w:rPr>
                <w:sz w:val="21"/>
                <w:szCs w:val="21"/>
                <w:color w:val="auto"/>
              </w:rPr>
            </w:pPr>
          </w:p>
        </w:tc>
        <w:tc>
          <w:tcPr>
            <w:tcW w:w="140" w:type="dxa"/>
            <w:vAlign w:val="bottom"/>
            <w:tcBorders>
              <w:top w:val="single" w:sz="8" w:color="231F20"/>
              <w:bottom w:val="single" w:sz="8" w:color="231F20"/>
            </w:tcBorders>
          </w:tcPr>
          <w:p>
            <w:pPr>
              <w:spacing w:after="0"/>
              <w:rPr>
                <w:sz w:val="21"/>
                <w:szCs w:val="21"/>
                <w:color w:val="auto"/>
              </w:rPr>
            </w:pPr>
          </w:p>
        </w:tc>
        <w:tc>
          <w:tcPr>
            <w:tcW w:w="60" w:type="dxa"/>
            <w:vAlign w:val="bottom"/>
            <w:tcBorders>
              <w:top w:val="single" w:sz="8" w:color="231F20"/>
              <w:bottom w:val="single" w:sz="8" w:color="231F20"/>
            </w:tcBorders>
          </w:tcPr>
          <w:p>
            <w:pPr>
              <w:spacing w:after="0"/>
              <w:rPr>
                <w:sz w:val="21"/>
                <w:szCs w:val="21"/>
                <w:color w:val="auto"/>
              </w:rPr>
            </w:pPr>
          </w:p>
        </w:tc>
        <w:tc>
          <w:tcPr>
            <w:tcW w:w="180" w:type="dxa"/>
            <w:vAlign w:val="bottom"/>
            <w:tcBorders>
              <w:top w:val="single" w:sz="8" w:color="231F20"/>
              <w:bottom w:val="single" w:sz="8" w:color="231F20"/>
            </w:tcBorders>
          </w:tcPr>
          <w:p>
            <w:pPr>
              <w:spacing w:after="0"/>
              <w:rPr>
                <w:sz w:val="21"/>
                <w:szCs w:val="21"/>
                <w:color w:val="auto"/>
              </w:rPr>
            </w:pPr>
          </w:p>
        </w:tc>
        <w:tc>
          <w:tcPr>
            <w:tcW w:w="1020" w:type="dxa"/>
            <w:vAlign w:val="bottom"/>
            <w:tcBorders>
              <w:top w:val="single" w:sz="8" w:color="231F20"/>
              <w:bottom w:val="single" w:sz="8" w:color="231F20"/>
            </w:tcBorders>
          </w:tcPr>
          <w:p>
            <w:pPr>
              <w:ind w:left="80"/>
              <w:spacing w:after="0"/>
              <w:rPr>
                <w:sz w:val="20"/>
                <w:szCs w:val="20"/>
                <w:color w:val="auto"/>
              </w:rPr>
            </w:pPr>
            <w:r>
              <w:rPr>
                <w:rFonts w:ascii="Arial" w:cs="Arial" w:eastAsia="Arial" w:hAnsi="Arial"/>
                <w:sz w:val="16"/>
                <w:szCs w:val="16"/>
                <w:b w:val="1"/>
                <w:bCs w:val="1"/>
                <w:color w:val="231F20"/>
              </w:rPr>
              <w:t>2022</w:t>
            </w:r>
          </w:p>
        </w:tc>
        <w:tc>
          <w:tcPr>
            <w:tcW w:w="100" w:type="dxa"/>
            <w:vAlign w:val="bottom"/>
            <w:tcBorders>
              <w:top w:val="single" w:sz="8" w:color="231F20"/>
              <w:bottom w:val="single" w:sz="8" w:color="231F20"/>
            </w:tcBorders>
          </w:tcPr>
          <w:p>
            <w:pPr>
              <w:spacing w:after="0"/>
              <w:rPr>
                <w:sz w:val="21"/>
                <w:szCs w:val="21"/>
                <w:color w:val="auto"/>
              </w:rPr>
            </w:pPr>
          </w:p>
        </w:tc>
        <w:tc>
          <w:tcPr>
            <w:tcW w:w="80" w:type="dxa"/>
            <w:vAlign w:val="bottom"/>
            <w:tcBorders>
              <w:top w:val="single" w:sz="8" w:color="231F20"/>
              <w:bottom w:val="single" w:sz="8" w:color="231F20"/>
            </w:tcBorders>
          </w:tcPr>
          <w:p>
            <w:pPr>
              <w:spacing w:after="0"/>
              <w:rPr>
                <w:sz w:val="21"/>
                <w:szCs w:val="21"/>
                <w:color w:val="auto"/>
              </w:rPr>
            </w:pPr>
          </w:p>
        </w:tc>
        <w:tc>
          <w:tcPr>
            <w:tcW w:w="180" w:type="dxa"/>
            <w:vAlign w:val="bottom"/>
            <w:tcBorders>
              <w:top w:val="single" w:sz="8" w:color="231F20"/>
              <w:bottom w:val="single" w:sz="8" w:color="231F20"/>
            </w:tcBorders>
          </w:tcPr>
          <w:p>
            <w:pPr>
              <w:spacing w:after="0"/>
              <w:rPr>
                <w:sz w:val="21"/>
                <w:szCs w:val="21"/>
                <w:color w:val="auto"/>
              </w:rPr>
            </w:pPr>
          </w:p>
        </w:tc>
        <w:tc>
          <w:tcPr>
            <w:tcW w:w="720" w:type="dxa"/>
            <w:vAlign w:val="bottom"/>
            <w:tcBorders>
              <w:top w:val="single" w:sz="8" w:color="231F20"/>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60"/>
              <w:spacing w:after="0" w:line="158" w:lineRule="exact"/>
              <w:rPr>
                <w:sz w:val="20"/>
                <w:szCs w:val="20"/>
                <w:color w:val="auto"/>
              </w:rPr>
            </w:pPr>
            <w:r>
              <w:rPr>
                <w:rFonts w:ascii="Arial" w:cs="Arial" w:eastAsia="Arial" w:hAnsi="Arial"/>
                <w:sz w:val="16"/>
                <w:szCs w:val="16"/>
                <w:b w:val="1"/>
                <w:bCs w:val="1"/>
                <w:color w:val="231F20"/>
              </w:rPr>
              <w:t>Cost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line="158" w:lineRule="exact"/>
              <w:rPr>
                <w:sz w:val="20"/>
                <w:szCs w:val="20"/>
                <w:color w:val="auto"/>
              </w:rPr>
            </w:pPr>
            <w:r>
              <w:rPr>
                <w:rFonts w:ascii="Arial" w:cs="Arial" w:eastAsia="Arial" w:hAnsi="Arial"/>
                <w:sz w:val="16"/>
                <w:szCs w:val="16"/>
                <w:b w:val="1"/>
                <w:bCs w:val="1"/>
                <w:color w:val="231F20"/>
              </w:rPr>
              <w:t>Interest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22"/>
              <w:spacing w:after="0" w:line="158" w:lineRule="exact"/>
              <w:rPr>
                <w:sz w:val="20"/>
                <w:szCs w:val="20"/>
                <w:color w:val="auto"/>
              </w:rPr>
            </w:pPr>
            <w:r>
              <w:rPr>
                <w:rFonts w:ascii="Arial" w:cs="Arial" w:eastAsia="Arial" w:hAnsi="Arial"/>
                <w:sz w:val="16"/>
                <w:szCs w:val="16"/>
                <w:b w:val="1"/>
                <w:bCs w:val="1"/>
                <w:color w:val="231F20"/>
              </w:rPr>
              <w:t>Other</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620" w:type="dxa"/>
            <w:vAlign w:val="bottom"/>
            <w:vMerge w:val="restart"/>
          </w:tcPr>
          <w:p>
            <w:pPr>
              <w:spacing w:after="0"/>
              <w:rPr>
                <w:sz w:val="20"/>
                <w:szCs w:val="20"/>
                <w:color w:val="auto"/>
              </w:rPr>
            </w:pPr>
            <w:r>
              <w:rPr>
                <w:rFonts w:ascii="Arial" w:cs="Arial" w:eastAsia="Arial" w:hAnsi="Arial"/>
                <w:sz w:val="20"/>
                <w:szCs w:val="20"/>
                <w:color w:val="231F20"/>
              </w:rPr>
              <w:t xml:space="preserve">Total amounts per Consolidated Statements of Income </w:t>
            </w:r>
            <w:r>
              <w:rPr>
                <w:rFonts w:ascii="Times New Roman" w:cs="Times New Roman" w:eastAsia="Times New Roman" w:hAnsi="Times New Roman"/>
                <w:sz w:val="20"/>
                <w:szCs w:val="20"/>
                <w:color w:val="231F20"/>
              </w:rPr>
              <w:t>.............</w:t>
            </w:r>
          </w:p>
        </w:tc>
        <w:tc>
          <w:tcPr>
            <w:tcW w:w="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231F20"/>
              </w:rPr>
              <w:t>products sold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ind w:left="100"/>
              <w:spacing w:after="0"/>
              <w:rPr>
                <w:sz w:val="20"/>
                <w:szCs w:val="20"/>
                <w:color w:val="auto"/>
              </w:rPr>
            </w:pPr>
            <w:r>
              <w:rPr>
                <w:rFonts w:ascii="Arial" w:cs="Arial" w:eastAsia="Arial" w:hAnsi="Arial"/>
                <w:sz w:val="16"/>
                <w:szCs w:val="16"/>
                <w:b w:val="1"/>
                <w:bCs w:val="1"/>
                <w:color w:val="231F20"/>
              </w:rPr>
              <w:t>expense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Arial" w:cs="Arial" w:eastAsia="Arial" w:hAnsi="Arial"/>
                <w:sz w:val="16"/>
                <w:szCs w:val="16"/>
                <w:b w:val="1"/>
                <w:bCs w:val="1"/>
                <w:color w:val="231F20"/>
              </w:rPr>
              <w:t>income, net</w:t>
            </w: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line="227" w:lineRule="exact"/>
              <w:rPr>
                <w:sz w:val="20"/>
                <w:szCs w:val="20"/>
                <w:color w:val="auto"/>
              </w:rPr>
            </w:pPr>
            <w:r>
              <w:rPr>
                <w:rFonts w:ascii="Arial" w:cs="Arial" w:eastAsia="Arial" w:hAnsi="Arial"/>
                <w:sz w:val="20"/>
                <w:szCs w:val="20"/>
                <w:color w:val="231F20"/>
                <w:w w:val="89"/>
              </w:rPr>
              <w:t>$</w:t>
            </w:r>
          </w:p>
        </w:tc>
        <w:tc>
          <w:tcPr>
            <w:tcW w:w="1020" w:type="dxa"/>
            <w:vAlign w:val="bottom"/>
          </w:tcPr>
          <w:p>
            <w:pPr>
              <w:jc w:val="right"/>
              <w:spacing w:after="0" w:line="227" w:lineRule="exact"/>
              <w:rPr>
                <w:sz w:val="20"/>
                <w:szCs w:val="20"/>
                <w:color w:val="auto"/>
              </w:rPr>
            </w:pPr>
            <w:r>
              <w:rPr>
                <w:rFonts w:ascii="Arial" w:cs="Arial" w:eastAsia="Arial" w:hAnsi="Arial"/>
                <w:sz w:val="20"/>
                <w:szCs w:val="20"/>
                <w:color w:val="231F20"/>
              </w:rPr>
              <w:t>2,790.1</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line="227" w:lineRule="exact"/>
              <w:rPr>
                <w:sz w:val="20"/>
                <w:szCs w:val="20"/>
                <w:color w:val="auto"/>
              </w:rPr>
            </w:pPr>
            <w:r>
              <w:rPr>
                <w:rFonts w:ascii="Arial" w:cs="Arial" w:eastAsia="Arial" w:hAnsi="Arial"/>
                <w:sz w:val="20"/>
                <w:szCs w:val="20"/>
                <w:color w:val="231F20"/>
              </w:rPr>
              <w:t>$</w:t>
            </w:r>
          </w:p>
        </w:tc>
        <w:tc>
          <w:tcPr>
            <w:tcW w:w="1020" w:type="dxa"/>
            <w:vAlign w:val="bottom"/>
          </w:tcPr>
          <w:p>
            <w:pPr>
              <w:jc w:val="right"/>
              <w:spacing w:after="0" w:line="227" w:lineRule="exact"/>
              <w:rPr>
                <w:sz w:val="20"/>
                <w:szCs w:val="20"/>
                <w:color w:val="auto"/>
              </w:rPr>
            </w:pPr>
            <w:r>
              <w:rPr>
                <w:rFonts w:ascii="Arial" w:cs="Arial" w:eastAsia="Arial" w:hAnsi="Arial"/>
                <w:sz w:val="20"/>
                <w:szCs w:val="20"/>
                <w:color w:val="231F20"/>
              </w:rPr>
              <w:t>119.2</w:t>
            </w:r>
          </w:p>
        </w:tc>
        <w:tc>
          <w:tcPr>
            <w:tcW w:w="100" w:type="dxa"/>
            <w:vAlign w:val="bottom"/>
          </w:tcPr>
          <w:p>
            <w:pPr>
              <w:spacing w:after="0"/>
              <w:rPr>
                <w:sz w:val="19"/>
                <w:szCs w:val="19"/>
                <w:color w:val="auto"/>
              </w:rPr>
            </w:pPr>
          </w:p>
        </w:tc>
        <w:tc>
          <w:tcPr>
            <w:tcW w:w="260" w:type="dxa"/>
            <w:vAlign w:val="bottom"/>
            <w:gridSpan w:val="2"/>
          </w:tcPr>
          <w:p>
            <w:pPr>
              <w:ind w:left="80"/>
              <w:spacing w:after="0" w:line="227" w:lineRule="exact"/>
              <w:rPr>
                <w:sz w:val="20"/>
                <w:szCs w:val="20"/>
                <w:color w:val="auto"/>
              </w:rPr>
            </w:pPr>
            <w:r>
              <w:rPr>
                <w:rFonts w:ascii="Arial" w:cs="Arial" w:eastAsia="Arial" w:hAnsi="Arial"/>
                <w:sz w:val="20"/>
                <w:szCs w:val="20"/>
                <w:color w:val="231F20"/>
              </w:rPr>
              <w:t>$</w:t>
            </w:r>
          </w:p>
        </w:tc>
        <w:tc>
          <w:tcPr>
            <w:tcW w:w="720" w:type="dxa"/>
            <w:vAlign w:val="bottom"/>
          </w:tcPr>
          <w:p>
            <w:pPr>
              <w:jc w:val="right"/>
              <w:spacing w:after="0" w:line="227" w:lineRule="exact"/>
              <w:rPr>
                <w:sz w:val="20"/>
                <w:szCs w:val="20"/>
                <w:color w:val="auto"/>
              </w:rPr>
            </w:pPr>
            <w:r>
              <w:rPr>
                <w:rFonts w:ascii="Arial" w:cs="Arial" w:eastAsia="Arial" w:hAnsi="Arial"/>
                <w:sz w:val="20"/>
                <w:szCs w:val="20"/>
                <w:color w:val="231F20"/>
              </w:rPr>
              <w:t>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20" w:type="dxa"/>
            <w:vAlign w:val="bottom"/>
          </w:tcPr>
          <w:p>
            <w:pPr>
              <w:spacing w:after="0"/>
              <w:rPr>
                <w:sz w:val="20"/>
                <w:szCs w:val="20"/>
                <w:color w:val="auto"/>
              </w:rPr>
            </w:pPr>
            <w:r>
              <w:rPr>
                <w:rFonts w:ascii="Arial" w:cs="Arial" w:eastAsia="Arial" w:hAnsi="Arial"/>
                <w:sz w:val="20"/>
                <w:szCs w:val="20"/>
                <w:color w:val="231F20"/>
              </w:rPr>
              <w:t>The effects of fair value and cash flow hedging:</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Pr>
          <w:p>
            <w:pPr>
              <w:ind w:left="280"/>
              <w:spacing w:after="0"/>
              <w:rPr>
                <w:sz w:val="20"/>
                <w:szCs w:val="20"/>
                <w:color w:val="auto"/>
              </w:rPr>
            </w:pPr>
            <w:r>
              <w:rPr>
                <w:rFonts w:ascii="Arial" w:cs="Arial" w:eastAsia="Arial" w:hAnsi="Arial"/>
                <w:sz w:val="20"/>
                <w:szCs w:val="20"/>
                <w:color w:val="231F20"/>
              </w:rPr>
              <w:t>Gain (loss) on fair value hedging relationships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20" w:type="dxa"/>
            <w:vAlign w:val="bottom"/>
          </w:tcPr>
          <w:p>
            <w:pPr>
              <w:ind w:left="560"/>
              <w:spacing w:after="0"/>
              <w:rPr>
                <w:sz w:val="20"/>
                <w:szCs w:val="20"/>
                <w:color w:val="auto"/>
              </w:rPr>
            </w:pPr>
            <w:r>
              <w:rPr>
                <w:rFonts w:ascii="Arial" w:cs="Arial" w:eastAsia="Arial" w:hAnsi="Arial"/>
                <w:sz w:val="20"/>
                <w:szCs w:val="20"/>
                <w:color w:val="231F20"/>
              </w:rPr>
              <w:t>Foreign exchange contracts: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Pr>
          <w:p>
            <w:pPr>
              <w:ind w:left="840"/>
              <w:spacing w:after="0"/>
              <w:rPr>
                <w:sz w:val="20"/>
                <w:szCs w:val="20"/>
                <w:color w:val="auto"/>
              </w:rPr>
            </w:pPr>
            <w:r>
              <w:rPr>
                <w:rFonts w:ascii="Arial" w:cs="Arial" w:eastAsia="Arial" w:hAnsi="Arial"/>
                <w:sz w:val="20"/>
                <w:szCs w:val="20"/>
                <w:color w:val="231F20"/>
              </w:rPr>
              <w:t xml:space="preserve">Hedged items </w:t>
            </w:r>
            <w:r>
              <w:rPr>
                <w:rFonts w:ascii="Times New Roman" w:cs="Times New Roman" w:eastAsia="Times New Roman" w:hAnsi="Times New Roman"/>
                <w:sz w:val="20"/>
                <w:szCs w:val="20"/>
                <w:color w:val="231F20"/>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231F20"/>
              </w:rPr>
              <w:t>(22.4)</w:t>
            </w:r>
          </w:p>
        </w:tc>
        <w:tc>
          <w:tcPr>
            <w:tcW w:w="0" w:type="dxa"/>
            <w:vAlign w:val="bottom"/>
          </w:tcPr>
          <w:p>
            <w:pPr>
              <w:spacing w:after="0"/>
              <w:rPr>
                <w:sz w:val="1"/>
                <w:szCs w:val="1"/>
                <w:color w:val="auto"/>
              </w:rPr>
            </w:pPr>
          </w:p>
        </w:tc>
      </w:tr>
      <w:tr>
        <w:trPr>
          <w:trHeight w:val="257"/>
        </w:trPr>
        <w:tc>
          <w:tcPr>
            <w:tcW w:w="5620" w:type="dxa"/>
            <w:vAlign w:val="bottom"/>
          </w:tcPr>
          <w:p>
            <w:pPr>
              <w:ind w:left="840"/>
              <w:spacing w:after="0"/>
              <w:rPr>
                <w:sz w:val="20"/>
                <w:szCs w:val="20"/>
                <w:color w:val="auto"/>
              </w:rPr>
            </w:pPr>
            <w:r>
              <w:rPr>
                <w:rFonts w:ascii="Arial" w:cs="Arial" w:eastAsia="Arial" w:hAnsi="Arial"/>
                <w:sz w:val="20"/>
                <w:szCs w:val="20"/>
                <w:color w:val="231F20"/>
              </w:rPr>
              <w:t xml:space="preserve">Derivative designated as hedging instruments </w:t>
            </w:r>
            <w:r>
              <w:rPr>
                <w:rFonts w:ascii="Times New Roman" w:cs="Times New Roman" w:eastAsia="Times New Roman" w:hAnsi="Times New Roman"/>
                <w:sz w:val="20"/>
                <w:szCs w:val="20"/>
                <w:color w:val="231F20"/>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31F20"/>
              </w:rPr>
              <w:t>21.3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Pr>
          <w:p>
            <w:pPr>
              <w:ind w:left="280"/>
              <w:spacing w:after="0"/>
              <w:rPr>
                <w:sz w:val="20"/>
                <w:szCs w:val="20"/>
                <w:color w:val="auto"/>
              </w:rPr>
            </w:pPr>
            <w:r>
              <w:rPr>
                <w:rFonts w:ascii="Arial" w:cs="Arial" w:eastAsia="Arial" w:hAnsi="Arial"/>
                <w:sz w:val="20"/>
                <w:szCs w:val="20"/>
                <w:color w:val="231F20"/>
              </w:rPr>
              <w:t>Gain (loss) on cash flow hedging relationships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Pr>
          <w:p>
            <w:pPr>
              <w:ind w:left="560"/>
              <w:spacing w:after="0"/>
              <w:rPr>
                <w:sz w:val="20"/>
                <w:szCs w:val="20"/>
                <w:color w:val="auto"/>
              </w:rPr>
            </w:pPr>
            <w:r>
              <w:rPr>
                <w:rFonts w:ascii="Arial" w:cs="Arial" w:eastAsia="Arial" w:hAnsi="Arial"/>
                <w:sz w:val="20"/>
                <w:szCs w:val="20"/>
                <w:color w:val="231F20"/>
              </w:rPr>
              <w:t>Foreign exchange contracts: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700"/>
              <w:spacing w:after="0"/>
              <w:rPr>
                <w:sz w:val="20"/>
                <w:szCs w:val="20"/>
                <w:color w:val="auto"/>
              </w:rPr>
            </w:pPr>
            <w:r>
              <w:rPr>
                <w:rFonts w:ascii="Arial" w:cs="Arial" w:eastAsia="Arial" w:hAnsi="Arial"/>
                <w:sz w:val="20"/>
                <w:szCs w:val="20"/>
                <w:color w:val="231F20"/>
              </w:rPr>
              <w:t>Amount of gain or (loss) reclassified from</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620" w:type="dxa"/>
            <w:vAlign w:val="bottom"/>
          </w:tcPr>
          <w:p>
            <w:pPr>
              <w:ind w:left="700"/>
              <w:spacing w:after="0"/>
              <w:rPr>
                <w:sz w:val="20"/>
                <w:szCs w:val="20"/>
                <w:color w:val="auto"/>
              </w:rPr>
            </w:pPr>
            <w:r>
              <w:rPr>
                <w:rFonts w:ascii="Arial" w:cs="Arial" w:eastAsia="Arial" w:hAnsi="Arial"/>
                <w:sz w:val="20"/>
                <w:szCs w:val="20"/>
                <w:color w:val="231F20"/>
              </w:rPr>
              <w:t>accumulated other comprehensive (loss) income into</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700"/>
              <w:spacing w:after="0"/>
              <w:rPr>
                <w:sz w:val="20"/>
                <w:szCs w:val="20"/>
                <w:color w:val="auto"/>
              </w:rPr>
            </w:pPr>
            <w:r>
              <w:rPr>
                <w:rFonts w:ascii="Arial" w:cs="Arial" w:eastAsia="Arial" w:hAnsi="Arial"/>
                <w:sz w:val="20"/>
                <w:szCs w:val="20"/>
                <w:color w:val="231F20"/>
              </w:rPr>
              <w:t>income</w:t>
            </w:r>
            <w:r>
              <w:rPr>
                <w:rFonts w:ascii="Times New Roman" w:cs="Times New Roman" w:eastAsia="Times New Roman" w:hAnsi="Times New Roman"/>
                <w:sz w:val="20"/>
                <w:szCs w:val="20"/>
                <w:color w:val="231F20"/>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20"/>
                <w:szCs w:val="20"/>
                <w:color w:val="231F20"/>
              </w:rPr>
              <w:t>4.8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6"/>
        </w:trPr>
        <w:tc>
          <w:tcPr>
            <w:tcW w:w="5620" w:type="dxa"/>
            <w:vAlign w:val="bottom"/>
          </w:tcPr>
          <w:p>
            <w:pPr>
              <w:ind w:left="560"/>
              <w:spacing w:after="0"/>
              <w:rPr>
                <w:sz w:val="20"/>
                <w:szCs w:val="20"/>
                <w:color w:val="auto"/>
              </w:rPr>
            </w:pPr>
            <w:r>
              <w:rPr>
                <w:rFonts w:ascii="Arial" w:cs="Arial" w:eastAsia="Arial" w:hAnsi="Arial"/>
                <w:sz w:val="20"/>
                <w:szCs w:val="20"/>
                <w:color w:val="231F20"/>
              </w:rPr>
              <w:t>Commodity contracts: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700"/>
              <w:spacing w:after="0"/>
              <w:rPr>
                <w:sz w:val="20"/>
                <w:szCs w:val="20"/>
                <w:color w:val="auto"/>
              </w:rPr>
            </w:pPr>
            <w:r>
              <w:rPr>
                <w:rFonts w:ascii="Arial" w:cs="Arial" w:eastAsia="Arial" w:hAnsi="Arial"/>
                <w:sz w:val="20"/>
                <w:szCs w:val="20"/>
                <w:color w:val="231F20"/>
              </w:rPr>
              <w:t>Amount of gain or (loss) reclassified from</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620" w:type="dxa"/>
            <w:vAlign w:val="bottom"/>
          </w:tcPr>
          <w:p>
            <w:pPr>
              <w:ind w:left="700"/>
              <w:spacing w:after="0"/>
              <w:rPr>
                <w:sz w:val="20"/>
                <w:szCs w:val="20"/>
                <w:color w:val="auto"/>
              </w:rPr>
            </w:pPr>
            <w:r>
              <w:rPr>
                <w:rFonts w:ascii="Arial" w:cs="Arial" w:eastAsia="Arial" w:hAnsi="Arial"/>
                <w:sz w:val="20"/>
                <w:szCs w:val="20"/>
                <w:color w:val="231F20"/>
              </w:rPr>
              <w:t>accumulated other comprehensive (loss) income into</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700"/>
              <w:spacing w:after="0"/>
              <w:rPr>
                <w:sz w:val="20"/>
                <w:szCs w:val="20"/>
                <w:color w:val="auto"/>
              </w:rPr>
            </w:pPr>
            <w:r>
              <w:rPr>
                <w:rFonts w:ascii="Arial" w:cs="Arial" w:eastAsia="Arial" w:hAnsi="Arial"/>
                <w:sz w:val="20"/>
                <w:szCs w:val="20"/>
                <w:color w:val="231F20"/>
              </w:rPr>
              <w:t>income</w:t>
            </w:r>
            <w:r>
              <w:rPr>
                <w:rFonts w:ascii="Times New Roman" w:cs="Times New Roman" w:eastAsia="Times New Roman" w:hAnsi="Times New Roman"/>
                <w:sz w:val="20"/>
                <w:szCs w:val="20"/>
                <w:color w:val="231F20"/>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0"/>
                <w:szCs w:val="20"/>
                <w:color w:val="231F20"/>
              </w:rPr>
              <w:t>(7.3)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231F20"/>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6"/>
        </w:trPr>
        <w:tc>
          <w:tcPr>
            <w:tcW w:w="5620" w:type="dxa"/>
            <w:vAlign w:val="bottom"/>
          </w:tcPr>
          <w:p>
            <w:pPr>
              <w:ind w:left="560"/>
              <w:spacing w:after="0"/>
              <w:rPr>
                <w:sz w:val="20"/>
                <w:szCs w:val="20"/>
                <w:color w:val="auto"/>
              </w:rPr>
            </w:pPr>
            <w:r>
              <w:rPr>
                <w:rFonts w:ascii="Arial" w:cs="Arial" w:eastAsia="Arial" w:hAnsi="Arial"/>
                <w:sz w:val="20"/>
                <w:szCs w:val="20"/>
                <w:color w:val="231F20"/>
              </w:rPr>
              <w:t>Interest rate contracts:</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20" w:type="dxa"/>
            <w:vAlign w:val="bottom"/>
          </w:tcPr>
          <w:p>
            <w:pPr>
              <w:ind w:left="700"/>
              <w:spacing w:after="0"/>
              <w:rPr>
                <w:sz w:val="20"/>
                <w:szCs w:val="20"/>
                <w:color w:val="auto"/>
              </w:rPr>
            </w:pPr>
            <w:r>
              <w:rPr>
                <w:rFonts w:ascii="Arial" w:cs="Arial" w:eastAsia="Arial" w:hAnsi="Arial"/>
                <w:sz w:val="20"/>
                <w:szCs w:val="20"/>
                <w:color w:val="231F20"/>
              </w:rPr>
              <w:t>Amount of gain or (loss) reclassified from</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620" w:type="dxa"/>
            <w:vAlign w:val="bottom"/>
          </w:tcPr>
          <w:p>
            <w:pPr>
              <w:ind w:left="700"/>
              <w:spacing w:after="0"/>
              <w:rPr>
                <w:sz w:val="20"/>
                <w:szCs w:val="20"/>
                <w:color w:val="auto"/>
              </w:rPr>
            </w:pPr>
            <w:r>
              <w:rPr>
                <w:rFonts w:ascii="Arial" w:cs="Arial" w:eastAsia="Arial" w:hAnsi="Arial"/>
                <w:sz w:val="20"/>
                <w:szCs w:val="20"/>
                <w:color w:val="231F20"/>
              </w:rPr>
              <w:t>accumulated other comprehensive (loss) income into</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620" w:type="dxa"/>
            <w:vAlign w:val="bottom"/>
          </w:tcPr>
          <w:p>
            <w:pPr>
              <w:ind w:left="700"/>
              <w:spacing w:after="0"/>
              <w:rPr>
                <w:sz w:val="20"/>
                <w:szCs w:val="20"/>
                <w:color w:val="auto"/>
              </w:rPr>
            </w:pPr>
            <w:r>
              <w:rPr>
                <w:rFonts w:ascii="Arial" w:cs="Arial" w:eastAsia="Arial" w:hAnsi="Arial"/>
                <w:sz w:val="20"/>
                <w:szCs w:val="20"/>
                <w:color w:val="231F20"/>
              </w:rPr>
              <w:t>income</w:t>
            </w:r>
            <w:r>
              <w:rPr>
                <w:rFonts w:ascii="Times New Roman" w:cs="Times New Roman" w:eastAsia="Times New Roman" w:hAnsi="Times New Roman"/>
                <w:sz w:val="20"/>
                <w:szCs w:val="20"/>
                <w:color w:val="231F20"/>
              </w:rPr>
              <w:t>...................................................................................</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20"/>
                <w:szCs w:val="20"/>
                <w:color w:val="231F20"/>
              </w:rPr>
              <w:t>3.6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440"/>
          </w:cols>
          <w:pgMar w:left="1380" w:top="1346" w:right="1420" w:bottom="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69</w:t>
      </w:r>
    </w:p>
    <w:p>
      <w:pPr>
        <w:sectPr>
          <w:pgSz w:w="12240" w:h="15840" w:orient="portrait"/>
          <w:cols w:equalWidth="0" w:num="1">
            <w:col w:w="9440"/>
          </w:cols>
          <w:pgMar w:left="1380" w:top="1346" w:right="1420" w:bottom="95" w:gutter="0" w:footer="0" w:header="0"/>
          <w:type w:val="continuous"/>
        </w:sectPr>
      </w:pPr>
    </w:p>
    <w:bookmarkStart w:id="77" w:name="page78"/>
    <w:bookmarkEnd w:id="77"/>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440" w:type="dxa"/>
            <w:vAlign w:val="bottom"/>
          </w:tcPr>
          <w:p>
            <w:pPr>
              <w:spacing w:after="0"/>
              <w:rPr>
                <w:sz w:val="20"/>
                <w:szCs w:val="20"/>
                <w:color w:val="auto"/>
              </w:rPr>
            </w:pPr>
            <w:r>
              <w:rPr>
                <w:rFonts w:ascii="Arial" w:cs="Arial" w:eastAsia="Arial" w:hAnsi="Arial"/>
                <w:sz w:val="15"/>
                <w:szCs w:val="15"/>
                <w:i w:val="1"/>
                <w:iCs w:val="1"/>
                <w:color w:val="231F20"/>
              </w:rPr>
              <w:t>(In millions)</w:t>
            </w:r>
          </w:p>
        </w:tc>
        <w:tc>
          <w:tcPr>
            <w:tcW w:w="200" w:type="dxa"/>
            <w:vAlign w:val="bottom"/>
            <w:tcBorders>
              <w:top w:val="single" w:sz="8" w:color="231F20"/>
            </w:tcBorders>
          </w:tcPr>
          <w:p>
            <w:pPr>
              <w:spacing w:after="0"/>
              <w:rPr>
                <w:sz w:val="15"/>
                <w:szCs w:val="15"/>
                <w:color w:val="auto"/>
              </w:rPr>
            </w:pPr>
          </w:p>
        </w:tc>
        <w:tc>
          <w:tcPr>
            <w:tcW w:w="3360" w:type="dxa"/>
            <w:vAlign w:val="bottom"/>
            <w:tcBorders>
              <w:top w:val="single" w:sz="8" w:color="231F20"/>
            </w:tcBorders>
            <w:gridSpan w:val="7"/>
          </w:tcPr>
          <w:p>
            <w:pPr>
              <w:ind w:left="160"/>
              <w:spacing w:after="0" w:line="178" w:lineRule="exact"/>
              <w:rPr>
                <w:sz w:val="20"/>
                <w:szCs w:val="20"/>
                <w:color w:val="auto"/>
              </w:rPr>
            </w:pPr>
            <w:r>
              <w:rPr>
                <w:rFonts w:ascii="Arial" w:cs="Arial" w:eastAsia="Arial" w:hAnsi="Arial"/>
                <w:sz w:val="16"/>
                <w:szCs w:val="16"/>
                <w:b w:val="1"/>
                <w:bCs w:val="1"/>
                <w:color w:val="231F20"/>
              </w:rPr>
              <w:t>Classification and Amount of Gain (Loss)</w:t>
            </w:r>
          </w:p>
        </w:tc>
        <w:tc>
          <w:tcPr>
            <w:tcW w:w="34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80" w:type="dxa"/>
            <w:vAlign w:val="bottom"/>
            <w:gridSpan w:val="9"/>
          </w:tcPr>
          <w:p>
            <w:pPr>
              <w:jc w:val="center"/>
              <w:ind w:right="120"/>
              <w:spacing w:after="0"/>
              <w:rPr>
                <w:sz w:val="20"/>
                <w:szCs w:val="20"/>
                <w:color w:val="auto"/>
              </w:rPr>
            </w:pPr>
            <w:r>
              <w:rPr>
                <w:rFonts w:ascii="Arial" w:cs="Arial" w:eastAsia="Arial" w:hAnsi="Arial"/>
                <w:sz w:val="16"/>
                <w:szCs w:val="16"/>
                <w:b w:val="1"/>
                <w:bCs w:val="1"/>
                <w:color w:val="231F20"/>
              </w:rPr>
              <w:t>Recognized in Income on Fair Value and</w:t>
            </w:r>
          </w:p>
        </w:tc>
        <w:tc>
          <w:tcPr>
            <w:tcW w:w="0" w:type="dxa"/>
            <w:vAlign w:val="bottom"/>
          </w:tcPr>
          <w:p>
            <w:pPr>
              <w:spacing w:after="0"/>
              <w:rPr>
                <w:sz w:val="1"/>
                <w:szCs w:val="1"/>
                <w:color w:val="auto"/>
              </w:rPr>
            </w:pPr>
          </w:p>
        </w:tc>
      </w:tr>
      <w:tr>
        <w:trPr>
          <w:trHeight w:val="205"/>
        </w:trPr>
        <w:tc>
          <w:tcPr>
            <w:tcW w:w="544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3360" w:type="dxa"/>
            <w:vAlign w:val="bottom"/>
            <w:tcBorders>
              <w:bottom w:val="single" w:sz="8" w:color="231F20"/>
            </w:tcBorders>
            <w:gridSpan w:val="7"/>
          </w:tcPr>
          <w:p>
            <w:pPr>
              <w:jc w:val="center"/>
              <w:ind w:left="187"/>
              <w:spacing w:after="0"/>
              <w:rPr>
                <w:sz w:val="20"/>
                <w:szCs w:val="20"/>
                <w:color w:val="auto"/>
              </w:rPr>
            </w:pPr>
            <w:r>
              <w:rPr>
                <w:rFonts w:ascii="Arial" w:cs="Arial" w:eastAsia="Arial" w:hAnsi="Arial"/>
                <w:sz w:val="16"/>
                <w:szCs w:val="16"/>
                <w:b w:val="1"/>
                <w:bCs w:val="1"/>
                <w:color w:val="231F20"/>
              </w:rPr>
              <w:t>Cash Flow Hedging Relationships</w:t>
            </w:r>
          </w:p>
        </w:tc>
        <w:tc>
          <w:tcPr>
            <w:tcW w:w="34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4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60" w:type="dxa"/>
            <w:vAlign w:val="bottom"/>
            <w:tcBorders>
              <w:bottom w:val="single" w:sz="8" w:color="231F20"/>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286"/>
              <w:spacing w:after="0"/>
              <w:rPr>
                <w:sz w:val="20"/>
                <w:szCs w:val="20"/>
                <w:color w:val="auto"/>
              </w:rPr>
            </w:pPr>
            <w:r>
              <w:rPr>
                <w:rFonts w:ascii="Arial" w:cs="Arial" w:eastAsia="Arial" w:hAnsi="Arial"/>
                <w:sz w:val="16"/>
                <w:szCs w:val="16"/>
                <w:b w:val="1"/>
                <w:bCs w:val="1"/>
                <w:color w:val="231F20"/>
              </w:rPr>
              <w:t>2021</w:t>
            </w:r>
          </w:p>
        </w:tc>
        <w:tc>
          <w:tcPr>
            <w:tcW w:w="18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20"/>
              <w:spacing w:after="0" w:line="158" w:lineRule="exact"/>
              <w:rPr>
                <w:sz w:val="20"/>
                <w:szCs w:val="20"/>
                <w:color w:val="auto"/>
              </w:rPr>
            </w:pPr>
            <w:r>
              <w:rPr>
                <w:rFonts w:ascii="Arial" w:cs="Arial" w:eastAsia="Arial" w:hAnsi="Arial"/>
                <w:sz w:val="16"/>
                <w:szCs w:val="16"/>
                <w:b w:val="1"/>
                <w:bCs w:val="1"/>
                <w:color w:val="231F20"/>
              </w:rPr>
              <w:t>Cost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06"/>
              <w:spacing w:after="0" w:line="158" w:lineRule="exact"/>
              <w:rPr>
                <w:sz w:val="20"/>
                <w:szCs w:val="20"/>
                <w:color w:val="auto"/>
              </w:rPr>
            </w:pPr>
            <w:r>
              <w:rPr>
                <w:rFonts w:ascii="Arial" w:cs="Arial" w:eastAsia="Arial" w:hAnsi="Arial"/>
                <w:sz w:val="16"/>
                <w:szCs w:val="16"/>
                <w:b w:val="1"/>
                <w:bCs w:val="1"/>
                <w:color w:val="231F20"/>
              </w:rPr>
              <w:t>Interest</w:t>
            </w:r>
          </w:p>
        </w:tc>
        <w:tc>
          <w:tcPr>
            <w:tcW w:w="180" w:type="dxa"/>
            <w:vAlign w:val="bottom"/>
          </w:tcPr>
          <w:p>
            <w:pPr>
              <w:spacing w:after="0"/>
              <w:rPr>
                <w:sz w:val="13"/>
                <w:szCs w:val="13"/>
                <w:color w:val="auto"/>
              </w:rPr>
            </w:pPr>
          </w:p>
        </w:tc>
        <w:tc>
          <w:tcPr>
            <w:tcW w:w="12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231F20"/>
              </w:rPr>
              <w:t>Other expense,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440" w:type="dxa"/>
            <w:vAlign w:val="bottom"/>
            <w:vMerge w:val="restart"/>
          </w:tcPr>
          <w:p>
            <w:pPr>
              <w:spacing w:after="0"/>
              <w:rPr>
                <w:sz w:val="20"/>
                <w:szCs w:val="20"/>
                <w:color w:val="auto"/>
              </w:rPr>
            </w:pPr>
            <w:r>
              <w:rPr>
                <w:rFonts w:ascii="Arial" w:cs="Arial" w:eastAsia="Arial" w:hAnsi="Arial"/>
                <w:sz w:val="20"/>
                <w:szCs w:val="20"/>
                <w:color w:val="231F20"/>
              </w:rPr>
              <w:t>Total amounts per Consolidated Statements of Income</w:t>
            </w:r>
            <w:r>
              <w:rPr>
                <w:rFonts w:ascii="Times New Roman" w:cs="Times New Roman" w:eastAsia="Times New Roman" w:hAnsi="Times New Roman"/>
                <w:sz w:val="20"/>
                <w:szCs w:val="20"/>
                <w:color w:val="231F20"/>
              </w:rPr>
              <w:t>.........</w:t>
            </w:r>
          </w:p>
        </w:tc>
        <w:tc>
          <w:tcPr>
            <w:tcW w:w="1140" w:type="dxa"/>
            <w:vAlign w:val="bottom"/>
            <w:tcBorders>
              <w:bottom w:val="single" w:sz="8" w:color="231F20"/>
            </w:tcBorders>
            <w:gridSpan w:val="2"/>
          </w:tcPr>
          <w:p>
            <w:pPr>
              <w:jc w:val="right"/>
              <w:spacing w:after="0"/>
              <w:rPr>
                <w:sz w:val="20"/>
                <w:szCs w:val="20"/>
                <w:color w:val="auto"/>
              </w:rPr>
            </w:pPr>
            <w:r>
              <w:rPr>
                <w:rFonts w:ascii="Arial" w:cs="Arial" w:eastAsia="Arial" w:hAnsi="Arial"/>
                <w:sz w:val="16"/>
                <w:szCs w:val="16"/>
                <w:b w:val="1"/>
                <w:bCs w:val="1"/>
                <w:color w:val="231F20"/>
              </w:rPr>
              <w:t>products sold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186"/>
              <w:spacing w:after="0"/>
              <w:rPr>
                <w:sz w:val="20"/>
                <w:szCs w:val="20"/>
                <w:color w:val="auto"/>
              </w:rPr>
            </w:pPr>
            <w:r>
              <w:rPr>
                <w:rFonts w:ascii="Arial" w:cs="Arial" w:eastAsia="Arial" w:hAnsi="Arial"/>
                <w:sz w:val="16"/>
                <w:szCs w:val="16"/>
                <w:b w:val="1"/>
                <w:bCs w:val="1"/>
                <w:color w:val="231F20"/>
              </w:rPr>
              <w:t>expense</w:t>
            </w:r>
          </w:p>
        </w:tc>
        <w:tc>
          <w:tcPr>
            <w:tcW w:w="180" w:type="dxa"/>
            <w:vAlign w:val="bottom"/>
          </w:tcPr>
          <w:p>
            <w:pPr>
              <w:spacing w:after="0"/>
              <w:rPr>
                <w:sz w:val="17"/>
                <w:szCs w:val="17"/>
                <w:color w:val="auto"/>
              </w:rPr>
            </w:pPr>
          </w:p>
        </w:tc>
        <w:tc>
          <w:tcPr>
            <w:tcW w:w="860" w:type="dxa"/>
            <w:vAlign w:val="bottom"/>
            <w:tcBorders>
              <w:bottom w:val="single" w:sz="8" w:color="231F20"/>
            </w:tcBorders>
          </w:tcPr>
          <w:p>
            <w:pPr>
              <w:ind w:left="480"/>
              <w:spacing w:after="0"/>
              <w:rPr>
                <w:sz w:val="20"/>
                <w:szCs w:val="20"/>
                <w:color w:val="auto"/>
              </w:rPr>
            </w:pPr>
            <w:r>
              <w:rPr>
                <w:rFonts w:ascii="Arial" w:cs="Arial" w:eastAsia="Arial" w:hAnsi="Arial"/>
                <w:sz w:val="16"/>
                <w:szCs w:val="16"/>
                <w:b w:val="1"/>
                <w:bCs w:val="1"/>
                <w:color w:val="231F20"/>
              </w:rPr>
              <w:t>net</w:t>
            </w:r>
          </w:p>
        </w:tc>
        <w:tc>
          <w:tcPr>
            <w:tcW w:w="340" w:type="dxa"/>
            <w:vAlign w:val="bottom"/>
            <w:tcBorders>
              <w:bottom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40" w:type="dxa"/>
            <w:vAlign w:val="bottom"/>
            <w:vMerge w:val="continue"/>
          </w:tcPr>
          <w:p>
            <w:pPr>
              <w:spacing w:after="0"/>
              <w:rPr>
                <w:sz w:val="19"/>
                <w:szCs w:val="19"/>
                <w:color w:val="auto"/>
              </w:rPr>
            </w:pPr>
          </w:p>
        </w:tc>
        <w:tc>
          <w:tcPr>
            <w:tcW w:w="200" w:type="dxa"/>
            <w:vAlign w:val="bottom"/>
          </w:tcPr>
          <w:p>
            <w:pPr>
              <w:jc w:val="right"/>
              <w:spacing w:after="0" w:line="227" w:lineRule="exact"/>
              <w:rPr>
                <w:sz w:val="20"/>
                <w:szCs w:val="20"/>
                <w:color w:val="auto"/>
              </w:rPr>
            </w:pPr>
            <w:r>
              <w:rPr>
                <w:rFonts w:ascii="Arial" w:cs="Arial" w:eastAsia="Arial" w:hAnsi="Arial"/>
                <w:sz w:val="20"/>
                <w:szCs w:val="20"/>
                <w:color w:val="231F20"/>
                <w:w w:val="89"/>
              </w:rPr>
              <w:t>$</w:t>
            </w:r>
          </w:p>
        </w:tc>
        <w:tc>
          <w:tcPr>
            <w:tcW w:w="940" w:type="dxa"/>
            <w:vAlign w:val="bottom"/>
          </w:tcPr>
          <w:p>
            <w:pPr>
              <w:jc w:val="right"/>
              <w:spacing w:after="0" w:line="227" w:lineRule="exact"/>
              <w:rPr>
                <w:sz w:val="20"/>
                <w:szCs w:val="20"/>
                <w:color w:val="auto"/>
              </w:rPr>
            </w:pPr>
            <w:r>
              <w:rPr>
                <w:rFonts w:ascii="Arial" w:cs="Arial" w:eastAsia="Arial" w:hAnsi="Arial"/>
                <w:sz w:val="20"/>
                <w:szCs w:val="20"/>
                <w:color w:val="231F20"/>
              </w:rPr>
              <w:t>2,840.6</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line="227" w:lineRule="exact"/>
              <w:rPr>
                <w:sz w:val="20"/>
                <w:szCs w:val="20"/>
                <w:color w:val="auto"/>
              </w:rPr>
            </w:pPr>
            <w:r>
              <w:rPr>
                <w:rFonts w:ascii="Arial" w:cs="Arial" w:eastAsia="Arial" w:hAnsi="Arial"/>
                <w:sz w:val="20"/>
                <w:szCs w:val="20"/>
                <w:color w:val="231F20"/>
              </w:rPr>
              <w:t>$</w:t>
            </w:r>
          </w:p>
        </w:tc>
        <w:tc>
          <w:tcPr>
            <w:tcW w:w="1000" w:type="dxa"/>
            <w:vAlign w:val="bottom"/>
          </w:tcPr>
          <w:p>
            <w:pPr>
              <w:jc w:val="right"/>
              <w:spacing w:after="0" w:line="227" w:lineRule="exact"/>
              <w:rPr>
                <w:sz w:val="20"/>
                <w:szCs w:val="20"/>
                <w:color w:val="auto"/>
              </w:rPr>
            </w:pPr>
            <w:r>
              <w:rPr>
                <w:rFonts w:ascii="Arial" w:cs="Arial" w:eastAsia="Arial" w:hAnsi="Arial"/>
                <w:sz w:val="20"/>
                <w:szCs w:val="20"/>
                <w:color w:val="231F20"/>
              </w:rPr>
              <w:t>84.3</w:t>
            </w:r>
          </w:p>
        </w:tc>
        <w:tc>
          <w:tcPr>
            <w:tcW w:w="1040" w:type="dxa"/>
            <w:vAlign w:val="bottom"/>
            <w:gridSpan w:val="2"/>
          </w:tcPr>
          <w:p>
            <w:pPr>
              <w:ind w:left="180"/>
              <w:spacing w:after="0" w:line="227" w:lineRule="exact"/>
              <w:rPr>
                <w:sz w:val="20"/>
                <w:szCs w:val="20"/>
                <w:color w:val="auto"/>
              </w:rPr>
            </w:pPr>
            <w:r>
              <w:rPr>
                <w:rFonts w:ascii="Arial" w:cs="Arial" w:eastAsia="Arial" w:hAnsi="Arial"/>
                <w:sz w:val="20"/>
                <w:szCs w:val="20"/>
                <w:color w:val="231F20"/>
              </w:rPr>
              <w:t>$</w:t>
            </w:r>
          </w:p>
        </w:tc>
        <w:tc>
          <w:tcPr>
            <w:tcW w:w="340" w:type="dxa"/>
            <w:vAlign w:val="bottom"/>
          </w:tcPr>
          <w:p>
            <w:pPr>
              <w:jc w:val="right"/>
              <w:spacing w:after="0" w:line="227" w:lineRule="exact"/>
              <w:rPr>
                <w:sz w:val="20"/>
                <w:szCs w:val="20"/>
                <w:color w:val="auto"/>
              </w:rPr>
            </w:pPr>
            <w:r>
              <w:rPr>
                <w:rFonts w:ascii="Arial" w:cs="Arial" w:eastAsia="Arial" w:hAnsi="Arial"/>
                <w:sz w:val="20"/>
                <w:szCs w:val="20"/>
                <w:color w:val="231F20"/>
              </w:rPr>
              <w:t>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0"/>
                <w:szCs w:val="20"/>
                <w:color w:val="auto"/>
              </w:rPr>
            </w:pPr>
            <w:r>
              <w:rPr>
                <w:rFonts w:ascii="Arial" w:cs="Arial" w:eastAsia="Arial" w:hAnsi="Arial"/>
                <w:sz w:val="20"/>
                <w:szCs w:val="20"/>
                <w:color w:val="231F20"/>
              </w:rPr>
              <w:t>The effects of fair value and cash flow hedging:</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40" w:type="dxa"/>
            <w:vAlign w:val="bottom"/>
          </w:tcPr>
          <w:p>
            <w:pPr>
              <w:ind w:left="280"/>
              <w:spacing w:after="0"/>
              <w:rPr>
                <w:sz w:val="20"/>
                <w:szCs w:val="20"/>
                <w:color w:val="auto"/>
              </w:rPr>
            </w:pPr>
            <w:r>
              <w:rPr>
                <w:rFonts w:ascii="Arial" w:cs="Arial" w:eastAsia="Arial" w:hAnsi="Arial"/>
                <w:sz w:val="20"/>
                <w:szCs w:val="20"/>
                <w:color w:val="231F20"/>
              </w:rPr>
              <w:t>Gain (loss) on fair value hedging relationships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440" w:type="dxa"/>
            <w:vAlign w:val="bottom"/>
          </w:tcPr>
          <w:p>
            <w:pPr>
              <w:ind w:left="560"/>
              <w:spacing w:after="0"/>
              <w:rPr>
                <w:sz w:val="20"/>
                <w:szCs w:val="20"/>
                <w:color w:val="auto"/>
              </w:rPr>
            </w:pPr>
            <w:r>
              <w:rPr>
                <w:rFonts w:ascii="Arial" w:cs="Arial" w:eastAsia="Arial" w:hAnsi="Arial"/>
                <w:sz w:val="20"/>
                <w:szCs w:val="20"/>
                <w:color w:val="231F20"/>
              </w:rPr>
              <w:t>Foreign exchange contracts: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40" w:type="dxa"/>
            <w:vAlign w:val="bottom"/>
          </w:tcPr>
          <w:p>
            <w:pPr>
              <w:ind w:left="840"/>
              <w:spacing w:after="0"/>
              <w:rPr>
                <w:sz w:val="20"/>
                <w:szCs w:val="20"/>
                <w:color w:val="auto"/>
              </w:rPr>
            </w:pPr>
            <w:r>
              <w:rPr>
                <w:rFonts w:ascii="Arial" w:cs="Arial" w:eastAsia="Arial" w:hAnsi="Arial"/>
                <w:sz w:val="20"/>
                <w:szCs w:val="20"/>
                <w:color w:val="231F20"/>
              </w:rPr>
              <w:t>Hedged items</w:t>
            </w:r>
            <w:r>
              <w:rPr>
                <w:rFonts w:ascii="Times New Roman" w:cs="Times New Roman" w:eastAsia="Times New Roman" w:hAnsi="Times New Roman"/>
                <w:sz w:val="20"/>
                <w:szCs w:val="20"/>
                <w:color w:val="231F20"/>
              </w:rPr>
              <w:t>................................................................</w:t>
            </w:r>
          </w:p>
        </w:tc>
        <w:tc>
          <w:tcPr>
            <w:tcW w:w="2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20"/>
                <w:szCs w:val="20"/>
                <w:color w:val="231F20"/>
                <w:w w:val="97"/>
              </w:rPr>
              <w:t>(4.7)</w:t>
            </w:r>
          </w:p>
        </w:tc>
        <w:tc>
          <w:tcPr>
            <w:tcW w:w="0" w:type="dxa"/>
            <w:vAlign w:val="bottom"/>
          </w:tcPr>
          <w:p>
            <w:pPr>
              <w:spacing w:after="0"/>
              <w:rPr>
                <w:sz w:val="1"/>
                <w:szCs w:val="1"/>
                <w:color w:val="auto"/>
              </w:rPr>
            </w:pPr>
          </w:p>
        </w:tc>
      </w:tr>
      <w:tr>
        <w:trPr>
          <w:trHeight w:val="257"/>
        </w:trPr>
        <w:tc>
          <w:tcPr>
            <w:tcW w:w="5440" w:type="dxa"/>
            <w:vAlign w:val="bottom"/>
          </w:tcPr>
          <w:p>
            <w:pPr>
              <w:ind w:left="840"/>
              <w:spacing w:after="0"/>
              <w:rPr>
                <w:sz w:val="20"/>
                <w:szCs w:val="20"/>
                <w:color w:val="auto"/>
              </w:rPr>
            </w:pPr>
            <w:r>
              <w:rPr>
                <w:rFonts w:ascii="Arial" w:cs="Arial" w:eastAsia="Arial" w:hAnsi="Arial"/>
                <w:sz w:val="20"/>
                <w:szCs w:val="20"/>
                <w:color w:val="231F20"/>
              </w:rPr>
              <w:t>Derivative designated as hedging instruments</w:t>
            </w:r>
            <w:r>
              <w:rPr>
                <w:rFonts w:ascii="Times New Roman" w:cs="Times New Roman" w:eastAsia="Times New Roman" w:hAnsi="Times New Roman"/>
                <w:sz w:val="20"/>
                <w:szCs w:val="20"/>
                <w:color w:val="231F20"/>
              </w:rPr>
              <w:t>........</w:t>
            </w:r>
          </w:p>
        </w:tc>
        <w:tc>
          <w:tcPr>
            <w:tcW w:w="2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231F20"/>
              </w:rPr>
              <w:t>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40" w:type="dxa"/>
            <w:vAlign w:val="bottom"/>
          </w:tcPr>
          <w:p>
            <w:pPr>
              <w:ind w:left="280"/>
              <w:spacing w:after="0"/>
              <w:rPr>
                <w:sz w:val="20"/>
                <w:szCs w:val="20"/>
                <w:color w:val="auto"/>
              </w:rPr>
            </w:pPr>
            <w:r>
              <w:rPr>
                <w:rFonts w:ascii="Arial" w:cs="Arial" w:eastAsia="Arial" w:hAnsi="Arial"/>
                <w:sz w:val="20"/>
                <w:szCs w:val="20"/>
                <w:color w:val="231F20"/>
              </w:rPr>
              <w:t>Gain (loss) on cash flow hedging relationships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40" w:type="dxa"/>
            <w:vAlign w:val="bottom"/>
          </w:tcPr>
          <w:p>
            <w:pPr>
              <w:ind w:left="560"/>
              <w:spacing w:after="0"/>
              <w:rPr>
                <w:sz w:val="20"/>
                <w:szCs w:val="20"/>
                <w:color w:val="auto"/>
              </w:rPr>
            </w:pPr>
            <w:r>
              <w:rPr>
                <w:rFonts w:ascii="Arial" w:cs="Arial" w:eastAsia="Arial" w:hAnsi="Arial"/>
                <w:sz w:val="20"/>
                <w:szCs w:val="20"/>
                <w:color w:val="231F20"/>
              </w:rPr>
              <w:t>Foreign exchange contracts: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440" w:type="dxa"/>
            <w:vAlign w:val="bottom"/>
          </w:tcPr>
          <w:p>
            <w:pPr>
              <w:ind w:left="700"/>
              <w:spacing w:after="0"/>
              <w:rPr>
                <w:sz w:val="20"/>
                <w:szCs w:val="20"/>
                <w:color w:val="auto"/>
              </w:rPr>
            </w:pPr>
            <w:r>
              <w:rPr>
                <w:rFonts w:ascii="Arial" w:cs="Arial" w:eastAsia="Arial" w:hAnsi="Arial"/>
                <w:sz w:val="20"/>
                <w:szCs w:val="20"/>
                <w:color w:val="231F20"/>
              </w:rPr>
              <w:t>Amount of gain or (loss) reclassified from</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440" w:type="dxa"/>
            <w:vAlign w:val="bottom"/>
          </w:tcPr>
          <w:p>
            <w:pPr>
              <w:ind w:left="700"/>
              <w:spacing w:after="0"/>
              <w:rPr>
                <w:sz w:val="20"/>
                <w:szCs w:val="20"/>
                <w:color w:val="auto"/>
              </w:rPr>
            </w:pPr>
            <w:r>
              <w:rPr>
                <w:rFonts w:ascii="Arial" w:cs="Arial" w:eastAsia="Arial" w:hAnsi="Arial"/>
                <w:sz w:val="20"/>
                <w:szCs w:val="20"/>
                <w:color w:val="231F20"/>
              </w:rPr>
              <w:t>accumulated other comprehensive (loss) income</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700"/>
              <w:spacing w:after="0"/>
              <w:rPr>
                <w:sz w:val="20"/>
                <w:szCs w:val="20"/>
                <w:color w:val="auto"/>
              </w:rPr>
            </w:pPr>
            <w:r>
              <w:rPr>
                <w:rFonts w:ascii="Arial" w:cs="Arial" w:eastAsia="Arial" w:hAnsi="Arial"/>
                <w:sz w:val="20"/>
                <w:szCs w:val="20"/>
                <w:color w:val="231F20"/>
              </w:rPr>
              <w:t>into income</w:t>
            </w: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20"/>
                <w:szCs w:val="20"/>
                <w:color w:val="231F20"/>
              </w:rPr>
              <w:t>(2.6)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6"/>
        </w:trPr>
        <w:tc>
          <w:tcPr>
            <w:tcW w:w="5440" w:type="dxa"/>
            <w:vAlign w:val="bottom"/>
          </w:tcPr>
          <w:p>
            <w:pPr>
              <w:ind w:left="560"/>
              <w:spacing w:after="0"/>
              <w:rPr>
                <w:sz w:val="20"/>
                <w:szCs w:val="20"/>
                <w:color w:val="auto"/>
              </w:rPr>
            </w:pPr>
            <w:r>
              <w:rPr>
                <w:rFonts w:ascii="Arial" w:cs="Arial" w:eastAsia="Arial" w:hAnsi="Arial"/>
                <w:sz w:val="20"/>
                <w:szCs w:val="20"/>
                <w:color w:val="231F20"/>
              </w:rPr>
              <w:t>Commodity contracts: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440" w:type="dxa"/>
            <w:vAlign w:val="bottom"/>
          </w:tcPr>
          <w:p>
            <w:pPr>
              <w:ind w:left="700"/>
              <w:spacing w:after="0"/>
              <w:rPr>
                <w:sz w:val="20"/>
                <w:szCs w:val="20"/>
                <w:color w:val="auto"/>
              </w:rPr>
            </w:pPr>
            <w:r>
              <w:rPr>
                <w:rFonts w:ascii="Arial" w:cs="Arial" w:eastAsia="Arial" w:hAnsi="Arial"/>
                <w:sz w:val="20"/>
                <w:szCs w:val="20"/>
                <w:color w:val="231F20"/>
              </w:rPr>
              <w:t>Amount of gain or (loss) reclassified from</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440" w:type="dxa"/>
            <w:vAlign w:val="bottom"/>
          </w:tcPr>
          <w:p>
            <w:pPr>
              <w:ind w:left="700"/>
              <w:spacing w:after="0"/>
              <w:rPr>
                <w:sz w:val="20"/>
                <w:szCs w:val="20"/>
                <w:color w:val="auto"/>
              </w:rPr>
            </w:pPr>
            <w:r>
              <w:rPr>
                <w:rFonts w:ascii="Arial" w:cs="Arial" w:eastAsia="Arial" w:hAnsi="Arial"/>
                <w:sz w:val="20"/>
                <w:szCs w:val="20"/>
                <w:color w:val="231F20"/>
              </w:rPr>
              <w:t>accumulated other comprehensive (loss) income</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700"/>
              <w:spacing w:after="0"/>
              <w:rPr>
                <w:sz w:val="20"/>
                <w:szCs w:val="20"/>
                <w:color w:val="auto"/>
              </w:rPr>
            </w:pPr>
            <w:r>
              <w:rPr>
                <w:rFonts w:ascii="Arial" w:cs="Arial" w:eastAsia="Arial" w:hAnsi="Arial"/>
                <w:sz w:val="20"/>
                <w:szCs w:val="20"/>
                <w:color w:val="231F20"/>
              </w:rPr>
              <w:t>into income</w:t>
            </w: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231F20"/>
              </w:rPr>
              <w:t>1.3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6"/>
        </w:trPr>
        <w:tc>
          <w:tcPr>
            <w:tcW w:w="5440" w:type="dxa"/>
            <w:vAlign w:val="bottom"/>
          </w:tcPr>
          <w:p>
            <w:pPr>
              <w:ind w:left="560"/>
              <w:spacing w:after="0"/>
              <w:rPr>
                <w:sz w:val="20"/>
                <w:szCs w:val="20"/>
                <w:color w:val="auto"/>
              </w:rPr>
            </w:pPr>
            <w:r>
              <w:rPr>
                <w:rFonts w:ascii="Arial" w:cs="Arial" w:eastAsia="Arial" w:hAnsi="Arial"/>
                <w:sz w:val="20"/>
                <w:szCs w:val="20"/>
                <w:color w:val="231F20"/>
              </w:rPr>
              <w:t>Interest rate contracts: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440" w:type="dxa"/>
            <w:vAlign w:val="bottom"/>
          </w:tcPr>
          <w:p>
            <w:pPr>
              <w:ind w:left="700"/>
              <w:spacing w:after="0"/>
              <w:rPr>
                <w:sz w:val="20"/>
                <w:szCs w:val="20"/>
                <w:color w:val="auto"/>
              </w:rPr>
            </w:pPr>
            <w:r>
              <w:rPr>
                <w:rFonts w:ascii="Arial" w:cs="Arial" w:eastAsia="Arial" w:hAnsi="Arial"/>
                <w:sz w:val="20"/>
                <w:szCs w:val="20"/>
                <w:color w:val="231F20"/>
              </w:rPr>
              <w:t>Amount of gain or (loss) reclassified from</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440" w:type="dxa"/>
            <w:vAlign w:val="bottom"/>
          </w:tcPr>
          <w:p>
            <w:pPr>
              <w:ind w:left="700"/>
              <w:spacing w:after="0"/>
              <w:rPr>
                <w:sz w:val="20"/>
                <w:szCs w:val="20"/>
                <w:color w:val="auto"/>
              </w:rPr>
            </w:pPr>
            <w:r>
              <w:rPr>
                <w:rFonts w:ascii="Arial" w:cs="Arial" w:eastAsia="Arial" w:hAnsi="Arial"/>
                <w:sz w:val="20"/>
                <w:szCs w:val="20"/>
                <w:color w:val="231F20"/>
              </w:rPr>
              <w:t>accumulated other comprehensive (loss) income</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440" w:type="dxa"/>
            <w:vAlign w:val="bottom"/>
          </w:tcPr>
          <w:p>
            <w:pPr>
              <w:ind w:left="700"/>
              <w:spacing w:after="0"/>
              <w:rPr>
                <w:sz w:val="20"/>
                <w:szCs w:val="20"/>
                <w:color w:val="auto"/>
              </w:rPr>
            </w:pPr>
            <w:r>
              <w:rPr>
                <w:rFonts w:ascii="Arial" w:cs="Arial" w:eastAsia="Arial" w:hAnsi="Arial"/>
                <w:sz w:val="20"/>
                <w:szCs w:val="20"/>
                <w:color w:val="231F20"/>
              </w:rPr>
              <w:t>into income</w:t>
            </w:r>
            <w:r>
              <w:rPr>
                <w:rFonts w:ascii="Times New Roman" w:cs="Times New Roman" w:eastAsia="Times New Roman" w:hAnsi="Times New Roman"/>
                <w:sz w:val="20"/>
                <w:szCs w:val="20"/>
                <w:color w:val="231F20"/>
              </w:rPr>
              <w:t>.......................................................................</w:t>
            </w:r>
          </w:p>
        </w:tc>
        <w:tc>
          <w:tcPr>
            <w:tcW w:w="20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0.6</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300"/>
        <w:spacing w:after="0" w:line="287" w:lineRule="auto"/>
        <w:rPr>
          <w:sz w:val="20"/>
          <w:szCs w:val="20"/>
          <w:color w:val="auto"/>
        </w:rPr>
      </w:pPr>
      <w:r>
        <w:rPr>
          <w:rFonts w:ascii="Arial" w:cs="Arial" w:eastAsia="Arial" w:hAnsi="Arial"/>
          <w:sz w:val="20"/>
          <w:szCs w:val="20"/>
          <w:color w:val="231F20"/>
        </w:rPr>
        <w:t>The cash flow hedges from continuing operations recognized in other comprehensive income were net gains of $4.1 million, $119.0 million and $1.0 million in 2023, 2022 and 2021 respectively.</w:t>
      </w:r>
    </w:p>
    <w:p>
      <w:pPr>
        <w:spacing w:after="0" w:line="73" w:lineRule="exact"/>
        <w:rPr>
          <w:sz w:val="20"/>
          <w:szCs w:val="20"/>
          <w:color w:val="auto"/>
        </w:rPr>
      </w:pPr>
    </w:p>
    <w:p>
      <w:pPr>
        <w:ind w:left="520" w:hanging="514"/>
        <w:spacing w:after="0"/>
        <w:tabs>
          <w:tab w:leader="none" w:pos="520" w:val="left"/>
        </w:tabs>
        <w:numPr>
          <w:ilvl w:val="0"/>
          <w:numId w:val="34"/>
        </w:numPr>
        <w:rPr>
          <w:rFonts w:ascii="Arial" w:cs="Arial" w:eastAsia="Arial" w:hAnsi="Arial"/>
          <w:sz w:val="20"/>
          <w:szCs w:val="20"/>
          <w:b w:val="1"/>
          <w:bCs w:val="1"/>
          <w:color w:val="231F20"/>
        </w:rPr>
      </w:pPr>
      <w:r>
        <w:rPr>
          <w:rFonts w:ascii="Arial" w:cs="Arial" w:eastAsia="Arial" w:hAnsi="Arial"/>
          <w:sz w:val="20"/>
          <w:szCs w:val="20"/>
          <w:b w:val="1"/>
          <w:bCs w:val="1"/>
          <w:color w:val="231F20"/>
        </w:rPr>
        <w:t>Fair Value Measurements</w:t>
      </w:r>
    </w:p>
    <w:p>
      <w:pPr>
        <w:spacing w:after="0" w:line="168"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color w:val="231F20"/>
        </w:rPr>
        <w:t>ASC requirements for Fair Value Measurements and Disclosures establish a fair value hierarchy that prioritizes the inputs to valuation techniques used to measure fair value into three levels. Level 1 inputs, the highest priority, are quoted prices in active markets for identical assets or liabilities. Level 2 inputs reflect other than quoted prices included in level 1 that are either observable directly or through corroboration with observable market data. Level 3 inputs are unobservable inputs due to little or no market activity for the asset or liability, such as internally developed valuation models. We do not have any assets or liabilities measured at fair value on a recurring basis that are level 3, except for pension assets discussed in Note 15, "Defined Benefit Plans."</w:t>
      </w:r>
    </w:p>
    <w:p>
      <w:pPr>
        <w:spacing w:after="0" w:line="114" w:lineRule="exact"/>
        <w:rPr>
          <w:sz w:val="20"/>
          <w:szCs w:val="20"/>
          <w:color w:val="auto"/>
        </w:rPr>
      </w:pPr>
    </w:p>
    <w:p>
      <w:pPr>
        <w:ind w:right="520"/>
        <w:spacing w:after="0" w:line="287" w:lineRule="auto"/>
        <w:rPr>
          <w:sz w:val="20"/>
          <w:szCs w:val="20"/>
          <w:color w:val="auto"/>
        </w:rPr>
      </w:pPr>
      <w:r>
        <w:rPr>
          <w:rFonts w:ascii="Arial" w:cs="Arial" w:eastAsia="Arial" w:hAnsi="Arial"/>
          <w:sz w:val="20"/>
          <w:szCs w:val="20"/>
          <w:color w:val="231F20"/>
        </w:rPr>
        <w:t>The carrying value and fair value of debt as of December 30, 2023 and December 31, 2022 were as follows: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860" w:type="dxa"/>
            <w:vAlign w:val="bottom"/>
            <w:tcBorders>
              <w:top w:val="single" w:sz="8" w:color="231F20"/>
              <w:bottom w:val="single" w:sz="8" w:color="231F20"/>
            </w:tcBorders>
          </w:tcPr>
          <w:p>
            <w:pPr>
              <w:spacing w:after="0" w:line="184"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2280" w:type="dxa"/>
            <w:vAlign w:val="bottom"/>
            <w:tcBorders>
              <w:top w:val="single" w:sz="8" w:color="231F20"/>
              <w:bottom w:val="single" w:sz="8" w:color="231F20"/>
            </w:tcBorders>
            <w:gridSpan w:val="2"/>
          </w:tcPr>
          <w:p>
            <w:pPr>
              <w:jc w:val="right"/>
              <w:ind w:right="16"/>
              <w:spacing w:after="0"/>
              <w:rPr>
                <w:sz w:val="20"/>
                <w:szCs w:val="20"/>
                <w:color w:val="auto"/>
              </w:rPr>
            </w:pPr>
            <w:r>
              <w:rPr>
                <w:rFonts w:ascii="Arial" w:cs="Arial" w:eastAsia="Arial" w:hAnsi="Arial"/>
                <w:sz w:val="15"/>
                <w:szCs w:val="15"/>
                <w:color w:val="231F20"/>
              </w:rPr>
              <w:t>December 30, 2023</w:t>
            </w:r>
          </w:p>
        </w:tc>
        <w:tc>
          <w:tcPr>
            <w:tcW w:w="2300" w:type="dxa"/>
            <w:vAlign w:val="bottom"/>
            <w:tcBorders>
              <w:top w:val="single" w:sz="8" w:color="231F20"/>
              <w:bottom w:val="single" w:sz="8" w:color="231F20"/>
            </w:tcBorders>
            <w:gridSpan w:val="2"/>
          </w:tcPr>
          <w:p>
            <w:pPr>
              <w:jc w:val="right"/>
              <w:ind w:right="16"/>
              <w:spacing w:after="0"/>
              <w:rPr>
                <w:sz w:val="20"/>
                <w:szCs w:val="20"/>
                <w:color w:val="auto"/>
              </w:rPr>
            </w:pPr>
            <w:r>
              <w:rPr>
                <w:rFonts w:ascii="Arial" w:cs="Arial" w:eastAsia="Arial" w:hAnsi="Arial"/>
                <w:sz w:val="15"/>
                <w:szCs w:val="15"/>
                <w:color w:val="231F20"/>
              </w:rPr>
              <w:t>December 31, 2022</w:t>
            </w:r>
          </w:p>
        </w:tc>
      </w:tr>
      <w:tr>
        <w:trPr>
          <w:trHeight w:val="150"/>
        </w:trPr>
        <w:tc>
          <w:tcPr>
            <w:tcW w:w="4860" w:type="dxa"/>
            <w:vAlign w:val="bottom"/>
          </w:tcPr>
          <w:p>
            <w:pPr>
              <w:spacing w:after="0"/>
              <w:rPr>
                <w:sz w:val="13"/>
                <w:szCs w:val="13"/>
                <w:color w:val="auto"/>
              </w:rPr>
            </w:pPr>
          </w:p>
        </w:tc>
        <w:tc>
          <w:tcPr>
            <w:tcW w:w="1120" w:type="dxa"/>
            <w:vAlign w:val="bottom"/>
          </w:tcPr>
          <w:p>
            <w:pPr>
              <w:jc w:val="right"/>
              <w:ind w:right="18"/>
              <w:spacing w:after="0" w:line="150" w:lineRule="exact"/>
              <w:rPr>
                <w:sz w:val="20"/>
                <w:szCs w:val="20"/>
                <w:color w:val="auto"/>
              </w:rPr>
            </w:pPr>
            <w:r>
              <w:rPr>
                <w:rFonts w:ascii="Arial" w:cs="Arial" w:eastAsia="Arial" w:hAnsi="Arial"/>
                <w:sz w:val="15"/>
                <w:szCs w:val="15"/>
                <w:color w:val="231F20"/>
              </w:rPr>
              <w:t>Carrying</w:t>
            </w:r>
          </w:p>
        </w:tc>
        <w:tc>
          <w:tcPr>
            <w:tcW w:w="1160" w:type="dxa"/>
            <w:vAlign w:val="bottom"/>
            <w:tcBorders>
              <w:right w:val="single" w:sz="8" w:color="231F20"/>
            </w:tcBorders>
          </w:tcPr>
          <w:p>
            <w:pPr>
              <w:jc w:val="right"/>
              <w:ind w:right="16"/>
              <w:spacing w:after="0" w:line="150" w:lineRule="exact"/>
              <w:rPr>
                <w:sz w:val="20"/>
                <w:szCs w:val="20"/>
                <w:color w:val="auto"/>
              </w:rPr>
            </w:pPr>
            <w:r>
              <w:rPr>
                <w:rFonts w:ascii="Arial" w:cs="Arial" w:eastAsia="Arial" w:hAnsi="Arial"/>
                <w:sz w:val="15"/>
                <w:szCs w:val="15"/>
                <w:color w:val="231F20"/>
              </w:rPr>
              <w:t>Fair</w:t>
            </w:r>
          </w:p>
        </w:tc>
        <w:tc>
          <w:tcPr>
            <w:tcW w:w="1160" w:type="dxa"/>
            <w:vAlign w:val="bottom"/>
          </w:tcPr>
          <w:p>
            <w:pPr>
              <w:jc w:val="right"/>
              <w:ind w:right="18"/>
              <w:spacing w:after="0" w:line="150" w:lineRule="exact"/>
              <w:rPr>
                <w:sz w:val="20"/>
                <w:szCs w:val="20"/>
                <w:color w:val="auto"/>
              </w:rPr>
            </w:pPr>
            <w:r>
              <w:rPr>
                <w:rFonts w:ascii="Arial" w:cs="Arial" w:eastAsia="Arial" w:hAnsi="Arial"/>
                <w:sz w:val="15"/>
                <w:szCs w:val="15"/>
                <w:color w:val="231F20"/>
              </w:rPr>
              <w:t>Carrying</w:t>
            </w:r>
          </w:p>
        </w:tc>
        <w:tc>
          <w:tcPr>
            <w:tcW w:w="1140" w:type="dxa"/>
            <w:vAlign w:val="bottom"/>
          </w:tcPr>
          <w:p>
            <w:pPr>
              <w:jc w:val="right"/>
              <w:ind w:right="16"/>
              <w:spacing w:after="0" w:line="150" w:lineRule="exact"/>
              <w:rPr>
                <w:sz w:val="20"/>
                <w:szCs w:val="20"/>
                <w:color w:val="auto"/>
              </w:rPr>
            </w:pPr>
            <w:r>
              <w:rPr>
                <w:rFonts w:ascii="Arial" w:cs="Arial" w:eastAsia="Arial" w:hAnsi="Arial"/>
                <w:sz w:val="15"/>
                <w:szCs w:val="15"/>
                <w:color w:val="231F20"/>
              </w:rPr>
              <w:t>Fair</w:t>
            </w:r>
          </w:p>
        </w:tc>
      </w:tr>
      <w:tr>
        <w:trPr>
          <w:trHeight w:val="189"/>
        </w:trPr>
        <w:tc>
          <w:tcPr>
            <w:tcW w:w="4860" w:type="dxa"/>
            <w:vAlign w:val="bottom"/>
            <w:tcBorders>
              <w:bottom w:val="single" w:sz="8" w:color="231F20"/>
            </w:tcBorders>
          </w:tcPr>
          <w:p>
            <w:pPr>
              <w:spacing w:after="0"/>
              <w:rPr>
                <w:sz w:val="16"/>
                <w:szCs w:val="16"/>
                <w:color w:val="auto"/>
              </w:rPr>
            </w:pPr>
          </w:p>
        </w:tc>
        <w:tc>
          <w:tcPr>
            <w:tcW w:w="1120" w:type="dxa"/>
            <w:vAlign w:val="bottom"/>
            <w:tcBorders>
              <w:bottom w:val="single" w:sz="8" w:color="231F20"/>
            </w:tcBorders>
          </w:tcPr>
          <w:p>
            <w:pPr>
              <w:jc w:val="right"/>
              <w:ind w:right="18"/>
              <w:spacing w:after="0"/>
              <w:rPr>
                <w:sz w:val="20"/>
                <w:szCs w:val="20"/>
                <w:color w:val="auto"/>
              </w:rPr>
            </w:pPr>
            <w:r>
              <w:rPr>
                <w:rFonts w:ascii="Arial" w:cs="Arial" w:eastAsia="Arial" w:hAnsi="Arial"/>
                <w:sz w:val="15"/>
                <w:szCs w:val="15"/>
                <w:color w:val="231F20"/>
              </w:rPr>
              <w:t>Value</w:t>
            </w:r>
          </w:p>
        </w:tc>
        <w:tc>
          <w:tcPr>
            <w:tcW w:w="1160" w:type="dxa"/>
            <w:vAlign w:val="bottom"/>
            <w:tcBorders>
              <w:bottom w:val="single" w:sz="8" w:color="231F20"/>
              <w:right w:val="single" w:sz="8" w:color="231F20"/>
            </w:tcBorders>
          </w:tcPr>
          <w:p>
            <w:pPr>
              <w:jc w:val="right"/>
              <w:ind w:right="16"/>
              <w:spacing w:after="0"/>
              <w:rPr>
                <w:sz w:val="20"/>
                <w:szCs w:val="20"/>
                <w:color w:val="auto"/>
              </w:rPr>
            </w:pPr>
            <w:r>
              <w:rPr>
                <w:rFonts w:ascii="Arial" w:cs="Arial" w:eastAsia="Arial" w:hAnsi="Arial"/>
                <w:sz w:val="15"/>
                <w:szCs w:val="15"/>
                <w:color w:val="231F20"/>
              </w:rPr>
              <w:t>Value</w:t>
            </w:r>
          </w:p>
        </w:tc>
        <w:tc>
          <w:tcPr>
            <w:tcW w:w="1160" w:type="dxa"/>
            <w:vAlign w:val="bottom"/>
            <w:tcBorders>
              <w:bottom w:val="single" w:sz="8" w:color="231F20"/>
            </w:tcBorders>
          </w:tcPr>
          <w:p>
            <w:pPr>
              <w:jc w:val="right"/>
              <w:ind w:right="18"/>
              <w:spacing w:after="0"/>
              <w:rPr>
                <w:sz w:val="20"/>
                <w:szCs w:val="20"/>
                <w:color w:val="auto"/>
              </w:rPr>
            </w:pPr>
            <w:r>
              <w:rPr>
                <w:rFonts w:ascii="Arial" w:cs="Arial" w:eastAsia="Arial" w:hAnsi="Arial"/>
                <w:sz w:val="15"/>
                <w:szCs w:val="15"/>
                <w:color w:val="231F20"/>
              </w:rPr>
              <w:t>Value</w:t>
            </w:r>
          </w:p>
        </w:tc>
        <w:tc>
          <w:tcPr>
            <w:tcW w:w="1140" w:type="dxa"/>
            <w:vAlign w:val="bottom"/>
            <w:tcBorders>
              <w:bottom w:val="single" w:sz="8" w:color="231F20"/>
            </w:tcBorders>
          </w:tcPr>
          <w:p>
            <w:pPr>
              <w:jc w:val="right"/>
              <w:ind w:right="16"/>
              <w:spacing w:after="0"/>
              <w:rPr>
                <w:sz w:val="20"/>
                <w:szCs w:val="20"/>
                <w:color w:val="auto"/>
              </w:rPr>
            </w:pPr>
            <w:r>
              <w:rPr>
                <w:rFonts w:ascii="Arial" w:cs="Arial" w:eastAsia="Arial" w:hAnsi="Arial"/>
                <w:sz w:val="15"/>
                <w:szCs w:val="15"/>
                <w:color w:val="231F20"/>
              </w:rPr>
              <w:t>Value</w:t>
            </w:r>
          </w:p>
        </w:tc>
      </w:tr>
      <w:tr>
        <w:trPr>
          <w:trHeight w:val="202"/>
        </w:trPr>
        <w:tc>
          <w:tcPr>
            <w:tcW w:w="4860" w:type="dxa"/>
            <w:vAlign w:val="bottom"/>
          </w:tcPr>
          <w:p>
            <w:pPr>
              <w:spacing w:after="0" w:line="203" w:lineRule="exact"/>
              <w:rPr>
                <w:sz w:val="20"/>
                <w:szCs w:val="20"/>
                <w:color w:val="auto"/>
              </w:rPr>
            </w:pPr>
            <w:r>
              <w:rPr>
                <w:rFonts w:ascii="Arial" w:cs="Arial" w:eastAsia="Arial" w:hAnsi="Arial"/>
                <w:sz w:val="20"/>
                <w:szCs w:val="20"/>
                <w:color w:val="231F20"/>
              </w:rPr>
              <w:t>Notes, net of underwriting commissions, price</w:t>
            </w:r>
          </w:p>
        </w:tc>
        <w:tc>
          <w:tcPr>
            <w:tcW w:w="1120" w:type="dxa"/>
            <w:vAlign w:val="bottom"/>
          </w:tcPr>
          <w:p>
            <w:pPr>
              <w:spacing w:after="0"/>
              <w:rPr>
                <w:sz w:val="17"/>
                <w:szCs w:val="17"/>
                <w:color w:val="auto"/>
              </w:rPr>
            </w:pPr>
          </w:p>
        </w:tc>
        <w:tc>
          <w:tcPr>
            <w:tcW w:w="1160" w:type="dxa"/>
            <w:vAlign w:val="bottom"/>
            <w:tcBorders>
              <w:right w:val="single" w:sz="8" w:color="231F20"/>
            </w:tcBorders>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79"/>
        </w:trPr>
        <w:tc>
          <w:tcPr>
            <w:tcW w:w="4860" w:type="dxa"/>
            <w:vAlign w:val="bottom"/>
            <w:tcBorders>
              <w:bottom w:val="single" w:sz="8" w:color="231F20"/>
            </w:tcBorders>
          </w:tcPr>
          <w:p>
            <w:pPr>
              <w:ind w:left="160"/>
              <w:spacing w:after="0"/>
              <w:rPr>
                <w:sz w:val="20"/>
                <w:szCs w:val="20"/>
                <w:color w:val="auto"/>
              </w:rPr>
            </w:pPr>
            <w:r>
              <w:rPr>
                <w:rFonts w:ascii="Arial" w:cs="Arial" w:eastAsia="Arial" w:hAnsi="Arial"/>
                <w:sz w:val="20"/>
                <w:szCs w:val="20"/>
                <w:color w:val="231F20"/>
              </w:rPr>
              <w:t>discounts and debt issuance costs</w:t>
            </w:r>
            <w:r>
              <w:rPr>
                <w:rFonts w:ascii="Times New Roman" w:cs="Times New Roman" w:eastAsia="Times New Roman" w:hAnsi="Times New Roman"/>
                <w:sz w:val="20"/>
                <w:szCs w:val="20"/>
                <w:color w:val="231F20"/>
              </w:rPr>
              <w:t>...............................</w:t>
            </w:r>
          </w:p>
        </w:tc>
        <w:tc>
          <w:tcPr>
            <w:tcW w:w="1120" w:type="dxa"/>
            <w:vAlign w:val="bottom"/>
            <w:tcBorders>
              <w:bottom w:val="single" w:sz="8" w:color="231F20"/>
            </w:tcBorders>
          </w:tcPr>
          <w:p>
            <w:pPr>
              <w:jc w:val="right"/>
              <w:ind w:right="18"/>
              <w:spacing w:after="0"/>
              <w:rPr>
                <w:sz w:val="20"/>
                <w:szCs w:val="20"/>
                <w:color w:val="auto"/>
              </w:rPr>
            </w:pPr>
            <w:r>
              <w:rPr>
                <w:rFonts w:ascii="Arial" w:cs="Arial" w:eastAsia="Arial" w:hAnsi="Arial"/>
                <w:sz w:val="20"/>
                <w:szCs w:val="20"/>
                <w:color w:val="231F20"/>
              </w:rPr>
              <w:t>$  2,670.1</w:t>
            </w:r>
          </w:p>
        </w:tc>
        <w:tc>
          <w:tcPr>
            <w:tcW w:w="1160" w:type="dxa"/>
            <w:vAlign w:val="bottom"/>
            <w:tcBorders>
              <w:bottom w:val="single" w:sz="8" w:color="231F20"/>
              <w:right w:val="single" w:sz="8" w:color="231F20"/>
            </w:tcBorders>
          </w:tcPr>
          <w:p>
            <w:pPr>
              <w:jc w:val="right"/>
              <w:ind w:right="16"/>
              <w:spacing w:after="0"/>
              <w:rPr>
                <w:sz w:val="20"/>
                <w:szCs w:val="20"/>
                <w:color w:val="auto"/>
              </w:rPr>
            </w:pPr>
            <w:r>
              <w:rPr>
                <w:rFonts w:ascii="Arial" w:cs="Arial" w:eastAsia="Arial" w:hAnsi="Arial"/>
                <w:sz w:val="20"/>
                <w:szCs w:val="20"/>
                <w:color w:val="231F20"/>
              </w:rPr>
              <w:t>$  2,562.4</w:t>
            </w:r>
          </w:p>
        </w:tc>
        <w:tc>
          <w:tcPr>
            <w:tcW w:w="1160" w:type="dxa"/>
            <w:vAlign w:val="bottom"/>
            <w:tcBorders>
              <w:bottom w:val="single" w:sz="8" w:color="231F20"/>
            </w:tcBorders>
          </w:tcPr>
          <w:p>
            <w:pPr>
              <w:jc w:val="right"/>
              <w:ind w:right="18"/>
              <w:spacing w:after="0"/>
              <w:rPr>
                <w:sz w:val="20"/>
                <w:szCs w:val="20"/>
                <w:color w:val="auto"/>
              </w:rPr>
            </w:pPr>
            <w:r>
              <w:rPr>
                <w:rFonts w:ascii="Arial" w:cs="Arial" w:eastAsia="Arial" w:hAnsi="Arial"/>
                <w:sz w:val="20"/>
                <w:szCs w:val="20"/>
                <w:color w:val="231F20"/>
              </w:rPr>
              <w:t>$  2,673.5</w:t>
            </w:r>
          </w:p>
        </w:tc>
        <w:tc>
          <w:tcPr>
            <w:tcW w:w="1140" w:type="dxa"/>
            <w:vAlign w:val="bottom"/>
            <w:tcBorders>
              <w:bottom w:val="single" w:sz="8" w:color="231F20"/>
            </w:tcBorders>
          </w:tcPr>
          <w:p>
            <w:pPr>
              <w:jc w:val="right"/>
              <w:ind w:right="16"/>
              <w:spacing w:after="0"/>
              <w:rPr>
                <w:sz w:val="20"/>
                <w:szCs w:val="20"/>
                <w:color w:val="auto"/>
              </w:rPr>
            </w:pPr>
            <w:r>
              <w:rPr>
                <w:rFonts w:ascii="Arial" w:cs="Arial" w:eastAsia="Arial" w:hAnsi="Arial"/>
                <w:sz w:val="20"/>
                <w:szCs w:val="20"/>
                <w:color w:val="231F20"/>
              </w:rPr>
              <w:t>$  2,412.6</w:t>
            </w:r>
          </w:p>
        </w:tc>
      </w:tr>
    </w:tbl>
    <w:p>
      <w:pPr>
        <w:spacing w:after="0" w:line="120" w:lineRule="exact"/>
        <w:rPr>
          <w:sz w:val="20"/>
          <w:szCs w:val="20"/>
          <w:color w:val="auto"/>
        </w:rPr>
      </w:pPr>
    </w:p>
    <w:p>
      <w:pPr>
        <w:ind w:right="420"/>
        <w:spacing w:after="0" w:line="265" w:lineRule="auto"/>
        <w:rPr>
          <w:sz w:val="20"/>
          <w:szCs w:val="20"/>
          <w:color w:val="auto"/>
        </w:rPr>
      </w:pPr>
      <w:r>
        <w:rPr>
          <w:rFonts w:ascii="Arial" w:cs="Arial" w:eastAsia="Arial" w:hAnsi="Arial"/>
          <w:sz w:val="20"/>
          <w:szCs w:val="20"/>
          <w:color w:val="231F20"/>
        </w:rPr>
        <w:t>The estimated fair value of our 2021 Term Loan and 2022 Revolving Credit Agreement is determined primarily using broker quotes, which are level 2 inputs. The estimated fair value of our Notes is determined by using quoted market prices of our debt securities, which are level 1 inputs.</w:t>
      </w:r>
    </w:p>
    <w:p>
      <w:pPr>
        <w:sectPr>
          <w:pgSz w:w="12240" w:h="15840" w:orient="portrait"/>
          <w:cols w:equalWidth="0" w:num="1">
            <w:col w:w="9460"/>
          </w:cols>
          <w:pgMar w:left="1380" w:top="1440"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70</w:t>
      </w:r>
    </w:p>
    <w:p>
      <w:pPr>
        <w:sectPr>
          <w:pgSz w:w="12240" w:h="15840" w:orient="portrait"/>
          <w:cols w:equalWidth="0" w:num="1">
            <w:col w:w="9460"/>
          </w:cols>
          <w:pgMar w:left="1380" w:top="1440" w:right="1400" w:bottom="95"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color w:val="231F20"/>
        </w:rPr>
        <w:t>Assets and liabilities measured at fair value on a recurring basis as of December 30, 2023 and</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231F20"/>
        </w:rPr>
        <w:t>December 31, 2022 were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240" w:type="dxa"/>
            <w:vAlign w:val="bottom"/>
            <w:tcBorders>
              <w:top w:val="single" w:sz="8" w:color="231F20"/>
              <w:bottom w:val="single" w:sz="8" w:color="231F20"/>
              <w:right w:val="single" w:sz="8" w:color="231F20"/>
            </w:tcBorders>
          </w:tcPr>
          <w:p>
            <w:pPr>
              <w:spacing w:after="0"/>
              <w:rPr>
                <w:sz w:val="20"/>
                <w:szCs w:val="20"/>
                <w:color w:val="auto"/>
              </w:rPr>
            </w:pPr>
            <w:r>
              <w:rPr>
                <w:rFonts w:ascii="Arial" w:cs="Arial" w:eastAsia="Arial" w:hAnsi="Arial"/>
                <w:sz w:val="15"/>
                <w:szCs w:val="15"/>
                <w:i w:val="1"/>
                <w:iCs w:val="1"/>
                <w:color w:val="231F20"/>
              </w:rPr>
              <w:t>(In millions)</w:t>
            </w:r>
          </w:p>
        </w:tc>
        <w:tc>
          <w:tcPr>
            <w:tcW w:w="640" w:type="dxa"/>
            <w:vAlign w:val="bottom"/>
            <w:tcBorders>
              <w:top w:val="single" w:sz="8" w:color="231F20"/>
              <w:bottom w:val="single" w:sz="8" w:color="231F20"/>
            </w:tcBorders>
          </w:tcPr>
          <w:p>
            <w:pPr>
              <w:spacing w:after="0"/>
              <w:rPr>
                <w:sz w:val="16"/>
                <w:szCs w:val="16"/>
                <w:color w:val="auto"/>
              </w:rPr>
            </w:pPr>
          </w:p>
        </w:tc>
        <w:tc>
          <w:tcPr>
            <w:tcW w:w="1640" w:type="dxa"/>
            <w:vAlign w:val="bottom"/>
            <w:tcBorders>
              <w:top w:val="single" w:sz="8" w:color="231F20"/>
              <w:bottom w:val="single" w:sz="8" w:color="231F20"/>
            </w:tcBorders>
            <w:gridSpan w:val="2"/>
          </w:tcPr>
          <w:p>
            <w:pPr>
              <w:jc w:val="right"/>
              <w:ind w:right="219"/>
              <w:spacing w:after="0"/>
              <w:rPr>
                <w:sz w:val="20"/>
                <w:szCs w:val="20"/>
                <w:color w:val="auto"/>
              </w:rPr>
            </w:pPr>
            <w:r>
              <w:rPr>
                <w:rFonts w:ascii="Arial" w:cs="Arial" w:eastAsia="Arial" w:hAnsi="Arial"/>
                <w:sz w:val="15"/>
                <w:szCs w:val="15"/>
                <w:color w:val="231F20"/>
              </w:rPr>
              <w:t>Fair Value</w:t>
            </w:r>
          </w:p>
        </w:tc>
        <w:tc>
          <w:tcPr>
            <w:tcW w:w="920" w:type="dxa"/>
            <w:vAlign w:val="bottom"/>
            <w:tcBorders>
              <w:top w:val="single" w:sz="8" w:color="231F20"/>
              <w:bottom w:val="single" w:sz="8" w:color="231F20"/>
            </w:tcBorders>
          </w:tcPr>
          <w:p>
            <w:pPr>
              <w:spacing w:after="0"/>
              <w:rPr>
                <w:sz w:val="16"/>
                <w:szCs w:val="16"/>
                <w:color w:val="auto"/>
              </w:rPr>
            </w:pPr>
          </w:p>
        </w:tc>
      </w:tr>
      <w:tr>
        <w:trPr>
          <w:trHeight w:val="165"/>
        </w:trPr>
        <w:tc>
          <w:tcPr>
            <w:tcW w:w="6240" w:type="dxa"/>
            <w:vAlign w:val="bottom"/>
            <w:tcBorders>
              <w:bottom w:val="single" w:sz="8" w:color="231F20"/>
              <w:right w:val="single" w:sz="8" w:color="231F20"/>
            </w:tcBorders>
          </w:tcPr>
          <w:p>
            <w:pPr>
              <w:spacing w:after="0"/>
              <w:rPr>
                <w:sz w:val="14"/>
                <w:szCs w:val="14"/>
                <w:color w:val="auto"/>
              </w:rPr>
            </w:pPr>
          </w:p>
        </w:tc>
        <w:tc>
          <w:tcPr>
            <w:tcW w:w="640" w:type="dxa"/>
            <w:vAlign w:val="bottom"/>
            <w:tcBorders>
              <w:bottom w:val="single" w:sz="8" w:color="231F20"/>
            </w:tcBorders>
          </w:tcPr>
          <w:p>
            <w:pPr>
              <w:spacing w:after="0"/>
              <w:rPr>
                <w:sz w:val="14"/>
                <w:szCs w:val="14"/>
                <w:color w:val="auto"/>
              </w:rPr>
            </w:pPr>
          </w:p>
        </w:tc>
        <w:tc>
          <w:tcPr>
            <w:tcW w:w="1040" w:type="dxa"/>
            <w:vAlign w:val="bottom"/>
            <w:tcBorders>
              <w:bottom w:val="single" w:sz="8" w:color="231F20"/>
              <w:right w:val="single" w:sz="8" w:color="231F20"/>
            </w:tcBorders>
          </w:tcPr>
          <w:p>
            <w:pPr>
              <w:jc w:val="right"/>
              <w:ind w:right="167"/>
              <w:spacing w:after="0" w:line="165" w:lineRule="exact"/>
              <w:rPr>
                <w:sz w:val="20"/>
                <w:szCs w:val="20"/>
                <w:color w:val="auto"/>
              </w:rPr>
            </w:pPr>
            <w:r>
              <w:rPr>
                <w:rFonts w:ascii="Arial" w:cs="Arial" w:eastAsia="Arial" w:hAnsi="Arial"/>
                <w:sz w:val="15"/>
                <w:szCs w:val="15"/>
                <w:i w:val="1"/>
                <w:iCs w:val="1"/>
                <w:color w:val="231F20"/>
              </w:rPr>
              <w:t>2023</w:t>
            </w:r>
          </w:p>
        </w:tc>
        <w:tc>
          <w:tcPr>
            <w:tcW w:w="600" w:type="dxa"/>
            <w:vAlign w:val="bottom"/>
            <w:tcBorders>
              <w:bottom w:val="single" w:sz="8" w:color="231F20"/>
            </w:tcBorders>
          </w:tcPr>
          <w:p>
            <w:pPr>
              <w:spacing w:after="0"/>
              <w:rPr>
                <w:sz w:val="14"/>
                <w:szCs w:val="14"/>
                <w:color w:val="auto"/>
              </w:rPr>
            </w:pPr>
          </w:p>
        </w:tc>
        <w:tc>
          <w:tcPr>
            <w:tcW w:w="920" w:type="dxa"/>
            <w:vAlign w:val="bottom"/>
            <w:tcBorders>
              <w:bottom w:val="single" w:sz="8" w:color="231F20"/>
            </w:tcBorders>
          </w:tcPr>
          <w:p>
            <w:pPr>
              <w:jc w:val="right"/>
              <w:ind w:right="4"/>
              <w:spacing w:after="0" w:line="165" w:lineRule="exact"/>
              <w:rPr>
                <w:sz w:val="20"/>
                <w:szCs w:val="20"/>
                <w:color w:val="auto"/>
              </w:rPr>
            </w:pPr>
            <w:r>
              <w:rPr>
                <w:rFonts w:ascii="Arial" w:cs="Arial" w:eastAsia="Arial" w:hAnsi="Arial"/>
                <w:sz w:val="15"/>
                <w:szCs w:val="15"/>
                <w:color w:val="231F20"/>
              </w:rPr>
              <w:t>2022</w:t>
            </w:r>
          </w:p>
        </w:tc>
      </w:tr>
      <w:tr>
        <w:trPr>
          <w:trHeight w:val="202"/>
        </w:trPr>
        <w:tc>
          <w:tcPr>
            <w:tcW w:w="6240" w:type="dxa"/>
            <w:vAlign w:val="bottom"/>
            <w:tcBorders>
              <w:right w:val="single" w:sz="8" w:color="231F20"/>
            </w:tcBorders>
          </w:tcPr>
          <w:p>
            <w:pPr>
              <w:spacing w:after="0" w:line="203" w:lineRule="exact"/>
              <w:rPr>
                <w:sz w:val="20"/>
                <w:szCs w:val="20"/>
                <w:color w:val="auto"/>
              </w:rPr>
            </w:pPr>
            <w:r>
              <w:rPr>
                <w:rFonts w:ascii="Arial" w:cs="Arial" w:eastAsia="Arial" w:hAnsi="Arial"/>
                <w:sz w:val="20"/>
                <w:szCs w:val="20"/>
                <w:color w:val="231F20"/>
              </w:rPr>
              <w:t>Assets:</w:t>
            </w:r>
          </w:p>
        </w:tc>
        <w:tc>
          <w:tcPr>
            <w:tcW w:w="640" w:type="dxa"/>
            <w:vAlign w:val="bottom"/>
          </w:tcPr>
          <w:p>
            <w:pPr>
              <w:spacing w:after="0"/>
              <w:rPr>
                <w:sz w:val="17"/>
                <w:szCs w:val="17"/>
                <w:color w:val="auto"/>
              </w:rPr>
            </w:pPr>
          </w:p>
        </w:tc>
        <w:tc>
          <w:tcPr>
            <w:tcW w:w="1040" w:type="dxa"/>
            <w:vAlign w:val="bottom"/>
            <w:tcBorders>
              <w:right w:val="single" w:sz="8" w:color="231F20"/>
            </w:tcBorders>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3"/>
        </w:trPr>
        <w:tc>
          <w:tcPr>
            <w:tcW w:w="62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Derivative asset financial instruments (level 2) </w:t>
            </w:r>
            <w:r>
              <w:rPr>
                <w:rFonts w:ascii="Times New Roman" w:cs="Times New Roman" w:eastAsia="Times New Roman" w:hAnsi="Times New Roman"/>
                <w:sz w:val="20"/>
                <w:szCs w:val="20"/>
                <w:color w:val="231F20"/>
              </w:rPr>
              <w:t>.........................................</w:t>
            </w:r>
          </w:p>
        </w:tc>
        <w:tc>
          <w:tcPr>
            <w:tcW w:w="640" w:type="dxa"/>
            <w:vAlign w:val="bottom"/>
          </w:tcPr>
          <w:p>
            <w:pPr>
              <w:jc w:val="right"/>
              <w:ind w:right="299"/>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67"/>
              <w:spacing w:after="0"/>
              <w:rPr>
                <w:sz w:val="20"/>
                <w:szCs w:val="20"/>
                <w:color w:val="auto"/>
              </w:rPr>
            </w:pPr>
            <w:r>
              <w:rPr>
                <w:rFonts w:ascii="Arial" w:cs="Arial" w:eastAsia="Arial" w:hAnsi="Arial"/>
                <w:sz w:val="20"/>
                <w:szCs w:val="20"/>
                <w:color w:val="231F20"/>
              </w:rPr>
              <w:t>0.8</w:t>
            </w:r>
          </w:p>
        </w:tc>
        <w:tc>
          <w:tcPr>
            <w:tcW w:w="600" w:type="dxa"/>
            <w:vAlign w:val="bottom"/>
          </w:tcPr>
          <w:p>
            <w:pPr>
              <w:jc w:val="right"/>
              <w:ind w:right="259"/>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4"/>
              <w:spacing w:after="0"/>
              <w:rPr>
                <w:sz w:val="20"/>
                <w:szCs w:val="20"/>
                <w:color w:val="auto"/>
              </w:rPr>
            </w:pPr>
            <w:r>
              <w:rPr>
                <w:rFonts w:ascii="Arial" w:cs="Arial" w:eastAsia="Arial" w:hAnsi="Arial"/>
                <w:sz w:val="20"/>
                <w:szCs w:val="20"/>
                <w:color w:val="231F20"/>
              </w:rPr>
              <w:t>89.6</w:t>
            </w:r>
          </w:p>
        </w:tc>
      </w:tr>
      <w:tr>
        <w:trPr>
          <w:trHeight w:val="253"/>
        </w:trPr>
        <w:tc>
          <w:tcPr>
            <w:tcW w:w="62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20"/>
                <w:szCs w:val="20"/>
                <w:color w:val="231F20"/>
              </w:rPr>
              <w:t xml:space="preserve">Deferred compensation program assets (level 2) </w:t>
            </w:r>
            <w:r>
              <w:rPr>
                <w:rFonts w:ascii="Times New Roman" w:cs="Times New Roman" w:eastAsia="Times New Roman" w:hAnsi="Times New Roman"/>
                <w:sz w:val="20"/>
                <w:szCs w:val="20"/>
                <w:color w:val="231F20"/>
              </w:rPr>
              <w:t>.....................................</w:t>
            </w:r>
          </w:p>
        </w:tc>
        <w:tc>
          <w:tcPr>
            <w:tcW w:w="64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67"/>
              <w:spacing w:after="0"/>
              <w:rPr>
                <w:sz w:val="20"/>
                <w:szCs w:val="20"/>
                <w:color w:val="auto"/>
              </w:rPr>
            </w:pPr>
            <w:r>
              <w:rPr>
                <w:rFonts w:ascii="Arial" w:cs="Arial" w:eastAsia="Arial" w:hAnsi="Arial"/>
                <w:sz w:val="20"/>
                <w:szCs w:val="20"/>
                <w:color w:val="231F20"/>
              </w:rPr>
              <w:t>14.7</w:t>
            </w:r>
          </w:p>
        </w:tc>
        <w:tc>
          <w:tcPr>
            <w:tcW w:w="60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4"/>
              <w:spacing w:after="0"/>
              <w:rPr>
                <w:sz w:val="20"/>
                <w:szCs w:val="20"/>
                <w:color w:val="auto"/>
              </w:rPr>
            </w:pPr>
            <w:r>
              <w:rPr>
                <w:rFonts w:ascii="Arial" w:cs="Arial" w:eastAsia="Arial" w:hAnsi="Arial"/>
                <w:sz w:val="20"/>
                <w:szCs w:val="20"/>
                <w:color w:val="231F20"/>
              </w:rPr>
              <w:t>14.9</w:t>
            </w:r>
          </w:p>
        </w:tc>
      </w:tr>
      <w:tr>
        <w:trPr>
          <w:trHeight w:val="248"/>
        </w:trPr>
        <w:tc>
          <w:tcPr>
            <w:tcW w:w="6240" w:type="dxa"/>
            <w:vAlign w:val="bottom"/>
            <w:tcBorders>
              <w:bottom w:val="single" w:sz="8" w:color="231F20"/>
              <w:right w:val="single" w:sz="8" w:color="231F20"/>
            </w:tcBorders>
          </w:tcPr>
          <w:p>
            <w:pPr>
              <w:ind w:left="280"/>
              <w:spacing w:after="0" w:line="223" w:lineRule="exact"/>
              <w:rPr>
                <w:sz w:val="20"/>
                <w:szCs w:val="20"/>
                <w:color w:val="auto"/>
              </w:rPr>
            </w:pPr>
            <w:r>
              <w:rPr>
                <w:rFonts w:ascii="Arial" w:cs="Arial" w:eastAsia="Arial" w:hAnsi="Arial"/>
                <w:sz w:val="20"/>
                <w:szCs w:val="20"/>
                <w:color w:val="231F20"/>
              </w:rPr>
              <w:t xml:space="preserve">Total assets </w:t>
            </w:r>
            <w:r>
              <w:rPr>
                <w:rFonts w:ascii="Times New Roman" w:cs="Times New Roman" w:eastAsia="Times New Roman" w:hAnsi="Times New Roman"/>
                <w:sz w:val="20"/>
                <w:szCs w:val="20"/>
                <w:color w:val="231F20"/>
              </w:rPr>
              <w:t>...............................................................................................</w:t>
            </w:r>
          </w:p>
        </w:tc>
        <w:tc>
          <w:tcPr>
            <w:tcW w:w="640" w:type="dxa"/>
            <w:vAlign w:val="bottom"/>
            <w:tcBorders>
              <w:bottom w:val="single" w:sz="8" w:color="231F20"/>
            </w:tcBorders>
          </w:tcPr>
          <w:p>
            <w:pPr>
              <w:jc w:val="right"/>
              <w:ind w:right="299"/>
              <w:spacing w:after="0" w:line="223" w:lineRule="exact"/>
              <w:rPr>
                <w:sz w:val="20"/>
                <w:szCs w:val="20"/>
                <w:color w:val="auto"/>
              </w:rPr>
            </w:pPr>
            <w:r>
              <w:rPr>
                <w:rFonts w:ascii="Arial" w:cs="Arial" w:eastAsia="Arial" w:hAnsi="Arial"/>
                <w:sz w:val="20"/>
                <w:szCs w:val="20"/>
                <w:color w:val="231F20"/>
              </w:rPr>
              <w:t>$</w:t>
            </w:r>
          </w:p>
        </w:tc>
        <w:tc>
          <w:tcPr>
            <w:tcW w:w="1040" w:type="dxa"/>
            <w:vAlign w:val="bottom"/>
            <w:tcBorders>
              <w:bottom w:val="single" w:sz="8" w:color="231F20"/>
              <w:right w:val="single" w:sz="8" w:color="231F20"/>
            </w:tcBorders>
          </w:tcPr>
          <w:p>
            <w:pPr>
              <w:jc w:val="right"/>
              <w:ind w:right="167"/>
              <w:spacing w:after="0" w:line="223" w:lineRule="exact"/>
              <w:rPr>
                <w:sz w:val="20"/>
                <w:szCs w:val="20"/>
                <w:color w:val="auto"/>
              </w:rPr>
            </w:pPr>
            <w:r>
              <w:rPr>
                <w:rFonts w:ascii="Arial" w:cs="Arial" w:eastAsia="Arial" w:hAnsi="Arial"/>
                <w:sz w:val="20"/>
                <w:szCs w:val="20"/>
                <w:color w:val="231F20"/>
              </w:rPr>
              <w:t>15.5</w:t>
            </w:r>
          </w:p>
        </w:tc>
        <w:tc>
          <w:tcPr>
            <w:tcW w:w="600" w:type="dxa"/>
            <w:vAlign w:val="bottom"/>
            <w:tcBorders>
              <w:bottom w:val="single" w:sz="8" w:color="231F20"/>
            </w:tcBorders>
          </w:tcPr>
          <w:p>
            <w:pPr>
              <w:jc w:val="right"/>
              <w:ind w:right="259"/>
              <w:spacing w:after="0" w:line="223" w:lineRule="exact"/>
              <w:rPr>
                <w:sz w:val="20"/>
                <w:szCs w:val="20"/>
                <w:color w:val="auto"/>
              </w:rPr>
            </w:pPr>
            <w:r>
              <w:rPr>
                <w:rFonts w:ascii="Arial" w:cs="Arial" w:eastAsia="Arial" w:hAnsi="Arial"/>
                <w:sz w:val="20"/>
                <w:szCs w:val="20"/>
                <w:color w:val="231F20"/>
              </w:rPr>
              <w:t>$</w:t>
            </w:r>
          </w:p>
        </w:tc>
        <w:tc>
          <w:tcPr>
            <w:tcW w:w="920" w:type="dxa"/>
            <w:vAlign w:val="bottom"/>
            <w:tcBorders>
              <w:bottom w:val="single" w:sz="8" w:color="231F20"/>
            </w:tcBorders>
          </w:tcPr>
          <w:p>
            <w:pPr>
              <w:jc w:val="right"/>
              <w:ind w:right="4"/>
              <w:spacing w:after="0" w:line="223" w:lineRule="exact"/>
              <w:rPr>
                <w:sz w:val="20"/>
                <w:szCs w:val="20"/>
                <w:color w:val="auto"/>
              </w:rPr>
            </w:pPr>
            <w:r>
              <w:rPr>
                <w:rFonts w:ascii="Arial" w:cs="Arial" w:eastAsia="Arial" w:hAnsi="Arial"/>
                <w:sz w:val="20"/>
                <w:szCs w:val="20"/>
                <w:color w:val="231F20"/>
              </w:rPr>
              <w:t>104.5</w:t>
            </w:r>
          </w:p>
        </w:tc>
      </w:tr>
      <w:tr>
        <w:trPr>
          <w:trHeight w:val="212"/>
        </w:trPr>
        <w:tc>
          <w:tcPr>
            <w:tcW w:w="6240" w:type="dxa"/>
            <w:vAlign w:val="bottom"/>
            <w:tcBorders>
              <w:right w:val="single" w:sz="8" w:color="231F20"/>
            </w:tcBorders>
          </w:tcPr>
          <w:p>
            <w:pPr>
              <w:spacing w:after="0" w:line="212" w:lineRule="exact"/>
              <w:rPr>
                <w:sz w:val="20"/>
                <w:szCs w:val="20"/>
                <w:color w:val="auto"/>
              </w:rPr>
            </w:pPr>
            <w:r>
              <w:rPr>
                <w:rFonts w:ascii="Arial" w:cs="Arial" w:eastAsia="Arial" w:hAnsi="Arial"/>
                <w:sz w:val="20"/>
                <w:szCs w:val="20"/>
                <w:color w:val="231F20"/>
              </w:rPr>
              <w:t>Liabilities:</w:t>
            </w:r>
          </w:p>
        </w:tc>
        <w:tc>
          <w:tcPr>
            <w:tcW w:w="640" w:type="dxa"/>
            <w:vAlign w:val="bottom"/>
          </w:tcPr>
          <w:p>
            <w:pPr>
              <w:spacing w:after="0"/>
              <w:rPr>
                <w:sz w:val="18"/>
                <w:szCs w:val="18"/>
                <w:color w:val="auto"/>
              </w:rPr>
            </w:pPr>
          </w:p>
        </w:tc>
        <w:tc>
          <w:tcPr>
            <w:tcW w:w="1040" w:type="dxa"/>
            <w:vAlign w:val="bottom"/>
            <w:tcBorders>
              <w:right w:val="single" w:sz="8" w:color="231F20"/>
            </w:tcBorders>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9"/>
        </w:trPr>
        <w:tc>
          <w:tcPr>
            <w:tcW w:w="62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20"/>
                <w:szCs w:val="20"/>
                <w:color w:val="231F20"/>
              </w:rPr>
              <w:t>Derivative liability financial instruments (level 2)</w:t>
            </w:r>
            <w:r>
              <w:rPr>
                <w:rFonts w:ascii="Times New Roman" w:cs="Times New Roman" w:eastAsia="Times New Roman" w:hAnsi="Times New Roman"/>
                <w:sz w:val="20"/>
                <w:szCs w:val="20"/>
                <w:color w:val="231F20"/>
              </w:rPr>
              <w:t>.......................................</w:t>
            </w:r>
          </w:p>
        </w:tc>
        <w:tc>
          <w:tcPr>
            <w:tcW w:w="640" w:type="dxa"/>
            <w:vAlign w:val="bottom"/>
            <w:tcBorders>
              <w:bottom w:val="single" w:sz="8" w:color="231F20"/>
            </w:tcBorders>
          </w:tcPr>
          <w:p>
            <w:pPr>
              <w:jc w:val="right"/>
              <w:ind w:right="299"/>
              <w:spacing w:after="0"/>
              <w:rPr>
                <w:sz w:val="20"/>
                <w:szCs w:val="20"/>
                <w:color w:val="auto"/>
              </w:rPr>
            </w:pPr>
            <w:r>
              <w:rPr>
                <w:rFonts w:ascii="Arial" w:cs="Arial" w:eastAsia="Arial" w:hAnsi="Arial"/>
                <w:sz w:val="20"/>
                <w:szCs w:val="20"/>
                <w:color w:val="231F20"/>
              </w:rPr>
              <w:t>$</w:t>
            </w:r>
          </w:p>
        </w:tc>
        <w:tc>
          <w:tcPr>
            <w:tcW w:w="1040" w:type="dxa"/>
            <w:vAlign w:val="bottom"/>
            <w:tcBorders>
              <w:bottom w:val="single" w:sz="8" w:color="231F20"/>
              <w:right w:val="single" w:sz="8" w:color="231F20"/>
            </w:tcBorders>
          </w:tcPr>
          <w:p>
            <w:pPr>
              <w:jc w:val="right"/>
              <w:ind w:right="167"/>
              <w:spacing w:after="0"/>
              <w:rPr>
                <w:sz w:val="20"/>
                <w:szCs w:val="20"/>
                <w:color w:val="auto"/>
              </w:rPr>
            </w:pPr>
            <w:r>
              <w:rPr>
                <w:rFonts w:ascii="Arial" w:cs="Arial" w:eastAsia="Arial" w:hAnsi="Arial"/>
                <w:sz w:val="20"/>
                <w:szCs w:val="20"/>
                <w:color w:val="231F20"/>
              </w:rPr>
              <w:t>2.7</w:t>
            </w:r>
          </w:p>
        </w:tc>
        <w:tc>
          <w:tcPr>
            <w:tcW w:w="600" w:type="dxa"/>
            <w:vAlign w:val="bottom"/>
            <w:tcBorders>
              <w:bottom w:val="single" w:sz="8" w:color="231F20"/>
            </w:tcBorders>
          </w:tcPr>
          <w:p>
            <w:pPr>
              <w:jc w:val="right"/>
              <w:ind w:right="259"/>
              <w:spacing w:after="0"/>
              <w:rPr>
                <w:sz w:val="20"/>
                <w:szCs w:val="20"/>
                <w:color w:val="auto"/>
              </w:rPr>
            </w:pPr>
            <w:r>
              <w:rPr>
                <w:rFonts w:ascii="Arial" w:cs="Arial" w:eastAsia="Arial" w:hAnsi="Arial"/>
                <w:sz w:val="20"/>
                <w:szCs w:val="20"/>
                <w:color w:val="231F20"/>
              </w:rPr>
              <w:t>$</w:t>
            </w:r>
          </w:p>
        </w:tc>
        <w:tc>
          <w:tcPr>
            <w:tcW w:w="920" w:type="dxa"/>
            <w:vAlign w:val="bottom"/>
            <w:tcBorders>
              <w:bottom w:val="single" w:sz="8" w:color="231F20"/>
            </w:tcBorders>
          </w:tcPr>
          <w:p>
            <w:pPr>
              <w:jc w:val="right"/>
              <w:ind w:right="4"/>
              <w:spacing w:after="0"/>
              <w:rPr>
                <w:sz w:val="20"/>
                <w:szCs w:val="20"/>
                <w:color w:val="auto"/>
              </w:rPr>
            </w:pPr>
            <w:r>
              <w:rPr>
                <w:rFonts w:ascii="Arial" w:cs="Arial" w:eastAsia="Arial" w:hAnsi="Arial"/>
                <w:sz w:val="20"/>
                <w:szCs w:val="20"/>
                <w:color w:val="231F20"/>
              </w:rPr>
              <w:t>4.3</w:t>
            </w:r>
          </w:p>
        </w:tc>
      </w:tr>
    </w:tbl>
    <w:p>
      <w:pPr>
        <w:spacing w:after="0" w:line="190" w:lineRule="exact"/>
        <w:rPr>
          <w:sz w:val="20"/>
          <w:szCs w:val="20"/>
          <w:color w:val="auto"/>
        </w:rPr>
      </w:pPr>
    </w:p>
    <w:p>
      <w:pPr>
        <w:ind w:right="120"/>
        <w:spacing w:after="0" w:line="265" w:lineRule="auto"/>
        <w:rPr>
          <w:sz w:val="20"/>
          <w:szCs w:val="20"/>
          <w:color w:val="auto"/>
        </w:rPr>
      </w:pPr>
      <w:r>
        <w:rPr>
          <w:rFonts w:ascii="Arial" w:cs="Arial" w:eastAsia="Arial" w:hAnsi="Arial"/>
          <w:sz w:val="20"/>
          <w:szCs w:val="20"/>
          <w:color w:val="231F20"/>
        </w:rPr>
        <w:t>The principal derivative financial instruments we enter into on a routine basis are foreign exchange contracts. In addition, from time to time, we enter into commodity swaps. Derivative financial instruments are recorded at fair value.</w:t>
      </w:r>
    </w:p>
    <w:p>
      <w:pPr>
        <w:spacing w:after="0" w:line="114" w:lineRule="exact"/>
        <w:rPr>
          <w:sz w:val="20"/>
          <w:szCs w:val="20"/>
          <w:color w:val="auto"/>
        </w:rPr>
      </w:pPr>
    </w:p>
    <w:p>
      <w:pPr>
        <w:ind w:left="520" w:hanging="514"/>
        <w:spacing w:after="0"/>
        <w:tabs>
          <w:tab w:leader="none" w:pos="520" w:val="left"/>
        </w:tabs>
        <w:numPr>
          <w:ilvl w:val="0"/>
          <w:numId w:val="35"/>
        </w:numPr>
        <w:rPr>
          <w:rFonts w:ascii="Arial" w:cs="Arial" w:eastAsia="Arial" w:hAnsi="Arial"/>
          <w:sz w:val="20"/>
          <w:szCs w:val="20"/>
          <w:b w:val="1"/>
          <w:bCs w:val="1"/>
          <w:color w:val="231F20"/>
        </w:rPr>
      </w:pPr>
      <w:r>
        <w:rPr>
          <w:rFonts w:ascii="Arial" w:cs="Arial" w:eastAsia="Arial" w:hAnsi="Arial"/>
          <w:sz w:val="20"/>
          <w:szCs w:val="20"/>
          <w:b w:val="1"/>
          <w:bCs w:val="1"/>
          <w:color w:val="231F20"/>
        </w:rPr>
        <w:t>Common Stock</w:t>
      </w:r>
    </w:p>
    <w:p>
      <w:pPr>
        <w:spacing w:after="0" w:line="189" w:lineRule="exact"/>
        <w:rPr>
          <w:sz w:val="20"/>
          <w:szCs w:val="20"/>
          <w:color w:val="auto"/>
        </w:rPr>
      </w:pPr>
    </w:p>
    <w:p>
      <w:pPr>
        <w:ind w:right="20"/>
        <w:spacing w:after="0" w:line="265" w:lineRule="auto"/>
        <w:rPr>
          <w:sz w:val="20"/>
          <w:szCs w:val="20"/>
          <w:color w:val="auto"/>
        </w:rPr>
      </w:pPr>
      <w:r>
        <w:rPr>
          <w:rFonts w:ascii="Arial" w:cs="Arial" w:eastAsia="Arial" w:hAnsi="Arial"/>
          <w:sz w:val="20"/>
          <w:szCs w:val="20"/>
          <w:color w:val="231F20"/>
        </w:rPr>
        <w:t>The Company has 750 million authorized shares of common stock, par value $0.01 per share and 60 million authorized shares of preferred stock, par value $0.01 per share. The number of shares of common stock and treasury stock and the share activity for 2023 and 2022 were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500" w:type="dxa"/>
            <w:vAlign w:val="bottom"/>
            <w:tcBorders>
              <w:top w:val="single" w:sz="8" w:color="231F20"/>
              <w:bottom w:val="single" w:sz="8" w:color="231F20"/>
            </w:tcBorders>
          </w:tcPr>
          <w:p>
            <w:pPr>
              <w:spacing w:after="0"/>
              <w:rPr>
                <w:sz w:val="16"/>
                <w:szCs w:val="16"/>
                <w:color w:val="auto"/>
              </w:rPr>
            </w:pPr>
          </w:p>
        </w:tc>
        <w:tc>
          <w:tcPr>
            <w:tcW w:w="3120" w:type="dxa"/>
            <w:vAlign w:val="bottom"/>
            <w:tcBorders>
              <w:top w:val="single" w:sz="8" w:color="231F20"/>
              <w:bottom w:val="single" w:sz="8" w:color="231F20"/>
              <w:right w:val="single" w:sz="8" w:color="231F20"/>
            </w:tcBorders>
            <w:gridSpan w:val="2"/>
          </w:tcPr>
          <w:p>
            <w:pPr>
              <w:jc w:val="right"/>
              <w:ind w:right="1043"/>
              <w:spacing w:after="0"/>
              <w:rPr>
                <w:sz w:val="20"/>
                <w:szCs w:val="20"/>
                <w:color w:val="auto"/>
              </w:rPr>
            </w:pPr>
            <w:r>
              <w:rPr>
                <w:rFonts w:ascii="Arial" w:cs="Arial" w:eastAsia="Arial" w:hAnsi="Arial"/>
                <w:sz w:val="15"/>
                <w:szCs w:val="15"/>
                <w:color w:val="231F20"/>
              </w:rPr>
              <w:t>Common Shares</w:t>
            </w:r>
          </w:p>
        </w:tc>
        <w:tc>
          <w:tcPr>
            <w:tcW w:w="2820" w:type="dxa"/>
            <w:vAlign w:val="bottom"/>
            <w:tcBorders>
              <w:top w:val="single" w:sz="8" w:color="231F20"/>
              <w:bottom w:val="single" w:sz="8" w:color="231F20"/>
            </w:tcBorders>
            <w:gridSpan w:val="2"/>
          </w:tcPr>
          <w:p>
            <w:pPr>
              <w:jc w:val="right"/>
              <w:ind w:right="763"/>
              <w:spacing w:after="0"/>
              <w:rPr>
                <w:sz w:val="20"/>
                <w:szCs w:val="20"/>
                <w:color w:val="auto"/>
              </w:rPr>
            </w:pPr>
            <w:r>
              <w:rPr>
                <w:rFonts w:ascii="Arial" w:cs="Arial" w:eastAsia="Arial" w:hAnsi="Arial"/>
                <w:sz w:val="15"/>
                <w:szCs w:val="15"/>
                <w:color w:val="231F20"/>
              </w:rPr>
              <w:t>Treasury Shares</w:t>
            </w:r>
          </w:p>
        </w:tc>
      </w:tr>
      <w:tr>
        <w:trPr>
          <w:trHeight w:val="165"/>
        </w:trPr>
        <w:tc>
          <w:tcPr>
            <w:tcW w:w="3500" w:type="dxa"/>
            <w:vAlign w:val="bottom"/>
            <w:tcBorders>
              <w:bottom w:val="single" w:sz="8" w:color="231F20"/>
            </w:tcBorders>
          </w:tcPr>
          <w:p>
            <w:pPr>
              <w:spacing w:after="0"/>
              <w:rPr>
                <w:sz w:val="14"/>
                <w:szCs w:val="14"/>
                <w:color w:val="auto"/>
              </w:rPr>
            </w:pPr>
          </w:p>
        </w:tc>
        <w:tc>
          <w:tcPr>
            <w:tcW w:w="1520" w:type="dxa"/>
            <w:vAlign w:val="bottom"/>
            <w:tcBorders>
              <w:bottom w:val="single" w:sz="8" w:color="231F20"/>
              <w:right w:val="single" w:sz="8" w:color="231F20"/>
            </w:tcBorders>
          </w:tcPr>
          <w:p>
            <w:pPr>
              <w:jc w:val="right"/>
              <w:ind w:right="106"/>
              <w:spacing w:after="0" w:line="165" w:lineRule="exact"/>
              <w:rPr>
                <w:sz w:val="20"/>
                <w:szCs w:val="20"/>
                <w:color w:val="auto"/>
              </w:rPr>
            </w:pPr>
            <w:r>
              <w:rPr>
                <w:rFonts w:ascii="Arial" w:cs="Arial" w:eastAsia="Arial" w:hAnsi="Arial"/>
                <w:sz w:val="15"/>
                <w:szCs w:val="15"/>
                <w:i w:val="1"/>
                <w:iCs w:val="1"/>
                <w:color w:val="231F20"/>
              </w:rPr>
              <w:t>2023</w:t>
            </w:r>
          </w:p>
        </w:tc>
        <w:tc>
          <w:tcPr>
            <w:tcW w:w="1600" w:type="dxa"/>
            <w:vAlign w:val="bottom"/>
            <w:tcBorders>
              <w:bottom w:val="single" w:sz="8" w:color="231F20"/>
              <w:right w:val="single" w:sz="8" w:color="231F20"/>
            </w:tcBorders>
          </w:tcPr>
          <w:p>
            <w:pPr>
              <w:jc w:val="right"/>
              <w:ind w:right="103"/>
              <w:spacing w:after="0" w:line="165" w:lineRule="exact"/>
              <w:rPr>
                <w:sz w:val="20"/>
                <w:szCs w:val="20"/>
                <w:color w:val="auto"/>
              </w:rPr>
            </w:pPr>
            <w:r>
              <w:rPr>
                <w:rFonts w:ascii="Arial" w:cs="Arial" w:eastAsia="Arial" w:hAnsi="Arial"/>
                <w:sz w:val="15"/>
                <w:szCs w:val="15"/>
                <w:color w:val="231F20"/>
              </w:rPr>
              <w:t>2022</w:t>
            </w:r>
          </w:p>
        </w:tc>
        <w:tc>
          <w:tcPr>
            <w:tcW w:w="1520" w:type="dxa"/>
            <w:vAlign w:val="bottom"/>
            <w:tcBorders>
              <w:bottom w:val="single" w:sz="8" w:color="231F20"/>
              <w:right w:val="single" w:sz="8" w:color="231F20"/>
            </w:tcBorders>
          </w:tcPr>
          <w:p>
            <w:pPr>
              <w:jc w:val="right"/>
              <w:ind w:right="106"/>
              <w:spacing w:after="0" w:line="165" w:lineRule="exact"/>
              <w:rPr>
                <w:sz w:val="20"/>
                <w:szCs w:val="20"/>
                <w:color w:val="auto"/>
              </w:rPr>
            </w:pPr>
            <w:r>
              <w:rPr>
                <w:rFonts w:ascii="Arial" w:cs="Arial" w:eastAsia="Arial" w:hAnsi="Arial"/>
                <w:sz w:val="15"/>
                <w:szCs w:val="15"/>
                <w:i w:val="1"/>
                <w:iCs w:val="1"/>
                <w:color w:val="231F20"/>
              </w:rPr>
              <w:t>2023</w:t>
            </w:r>
          </w:p>
        </w:tc>
        <w:tc>
          <w:tcPr>
            <w:tcW w:w="1300" w:type="dxa"/>
            <w:vAlign w:val="bottom"/>
            <w:tcBorders>
              <w:bottom w:val="single" w:sz="8" w:color="231F20"/>
            </w:tcBorders>
          </w:tcPr>
          <w:p>
            <w:pPr>
              <w:jc w:val="right"/>
              <w:ind w:right="3"/>
              <w:spacing w:after="0" w:line="165" w:lineRule="exact"/>
              <w:rPr>
                <w:sz w:val="20"/>
                <w:szCs w:val="20"/>
                <w:color w:val="auto"/>
              </w:rPr>
            </w:pPr>
            <w:r>
              <w:rPr>
                <w:rFonts w:ascii="Arial" w:cs="Arial" w:eastAsia="Arial" w:hAnsi="Arial"/>
                <w:sz w:val="15"/>
                <w:szCs w:val="15"/>
                <w:color w:val="231F20"/>
              </w:rPr>
              <w:t>2022</w:t>
            </w:r>
          </w:p>
        </w:tc>
      </w:tr>
      <w:tr>
        <w:trPr>
          <w:trHeight w:val="202"/>
        </w:trPr>
        <w:tc>
          <w:tcPr>
            <w:tcW w:w="3500" w:type="dxa"/>
            <w:vAlign w:val="bottom"/>
          </w:tcPr>
          <w:p>
            <w:pPr>
              <w:spacing w:after="0" w:line="202" w:lineRule="exact"/>
              <w:rPr>
                <w:sz w:val="20"/>
                <w:szCs w:val="20"/>
                <w:color w:val="auto"/>
              </w:rPr>
            </w:pPr>
            <w:r>
              <w:rPr>
                <w:rFonts w:ascii="Arial" w:cs="Arial" w:eastAsia="Arial" w:hAnsi="Arial"/>
                <w:sz w:val="20"/>
                <w:szCs w:val="20"/>
                <w:color w:val="231F20"/>
              </w:rPr>
              <w:t>Balance at the beginning of the year</w:t>
            </w:r>
            <w:r>
              <w:rPr>
                <w:rFonts w:ascii="Times New Roman" w:cs="Times New Roman" w:eastAsia="Times New Roman" w:hAnsi="Times New Roman"/>
                <w:sz w:val="20"/>
                <w:szCs w:val="20"/>
                <w:color w:val="231F20"/>
              </w:rPr>
              <w:t>.</w:t>
            </w:r>
          </w:p>
        </w:tc>
        <w:tc>
          <w:tcPr>
            <w:tcW w:w="1520" w:type="dxa"/>
            <w:vAlign w:val="bottom"/>
            <w:tcBorders>
              <w:right w:val="single" w:sz="8" w:color="231F20"/>
            </w:tcBorders>
          </w:tcPr>
          <w:p>
            <w:pPr>
              <w:jc w:val="right"/>
              <w:ind w:right="106"/>
              <w:spacing w:after="0" w:line="203" w:lineRule="exact"/>
              <w:rPr>
                <w:sz w:val="20"/>
                <w:szCs w:val="20"/>
                <w:color w:val="auto"/>
              </w:rPr>
            </w:pPr>
            <w:r>
              <w:rPr>
                <w:rFonts w:ascii="Arial" w:cs="Arial" w:eastAsia="Arial" w:hAnsi="Arial"/>
                <w:sz w:val="20"/>
                <w:szCs w:val="20"/>
                <w:color w:val="231F20"/>
              </w:rPr>
              <w:t>128,040,559</w:t>
            </w:r>
          </w:p>
        </w:tc>
        <w:tc>
          <w:tcPr>
            <w:tcW w:w="1600" w:type="dxa"/>
            <w:vAlign w:val="bottom"/>
            <w:tcBorders>
              <w:right w:val="single" w:sz="8" w:color="231F20"/>
            </w:tcBorders>
          </w:tcPr>
          <w:p>
            <w:pPr>
              <w:jc w:val="right"/>
              <w:ind w:right="103"/>
              <w:spacing w:after="0" w:line="203" w:lineRule="exact"/>
              <w:rPr>
                <w:sz w:val="20"/>
                <w:szCs w:val="20"/>
                <w:color w:val="auto"/>
              </w:rPr>
            </w:pPr>
            <w:r>
              <w:rPr>
                <w:rFonts w:ascii="Arial" w:cs="Arial" w:eastAsia="Arial" w:hAnsi="Arial"/>
                <w:sz w:val="20"/>
                <w:szCs w:val="20"/>
                <w:color w:val="231F20"/>
              </w:rPr>
              <w:t>135,064,296</w:t>
            </w:r>
          </w:p>
        </w:tc>
        <w:tc>
          <w:tcPr>
            <w:tcW w:w="1520" w:type="dxa"/>
            <w:vAlign w:val="bottom"/>
            <w:tcBorders>
              <w:right w:val="single" w:sz="8" w:color="231F20"/>
            </w:tcBorders>
          </w:tcPr>
          <w:p>
            <w:pPr>
              <w:jc w:val="right"/>
              <w:ind w:right="106"/>
              <w:spacing w:after="0" w:line="203" w:lineRule="exact"/>
              <w:rPr>
                <w:sz w:val="20"/>
                <w:szCs w:val="20"/>
                <w:color w:val="auto"/>
              </w:rPr>
            </w:pPr>
            <w:r>
              <w:rPr>
                <w:rFonts w:ascii="Arial" w:cs="Arial" w:eastAsia="Arial" w:hAnsi="Arial"/>
                <w:sz w:val="20"/>
                <w:szCs w:val="20"/>
                <w:color w:val="231F20"/>
              </w:rPr>
              <w:t>58,132,478</w:t>
            </w:r>
          </w:p>
        </w:tc>
        <w:tc>
          <w:tcPr>
            <w:tcW w:w="1300" w:type="dxa"/>
            <w:vAlign w:val="bottom"/>
          </w:tcPr>
          <w:p>
            <w:pPr>
              <w:jc w:val="right"/>
              <w:ind w:right="3"/>
              <w:spacing w:after="0" w:line="203" w:lineRule="exact"/>
              <w:rPr>
                <w:sz w:val="20"/>
                <w:szCs w:val="20"/>
                <w:color w:val="auto"/>
              </w:rPr>
            </w:pPr>
            <w:r>
              <w:rPr>
                <w:rFonts w:ascii="Arial" w:cs="Arial" w:eastAsia="Arial" w:hAnsi="Arial"/>
                <w:sz w:val="20"/>
                <w:szCs w:val="20"/>
                <w:color w:val="231F20"/>
              </w:rPr>
              <w:t>50,252,566</w:t>
            </w:r>
          </w:p>
        </w:tc>
      </w:tr>
      <w:tr>
        <w:trPr>
          <w:trHeight w:val="233"/>
        </w:trPr>
        <w:tc>
          <w:tcPr>
            <w:tcW w:w="3500" w:type="dxa"/>
            <w:vAlign w:val="bottom"/>
          </w:tcPr>
          <w:p>
            <w:pPr>
              <w:spacing w:after="0"/>
              <w:rPr>
                <w:sz w:val="20"/>
                <w:szCs w:val="20"/>
                <w:color w:val="auto"/>
              </w:rPr>
            </w:pPr>
            <w:r>
              <w:rPr>
                <w:rFonts w:ascii="Arial" w:cs="Arial" w:eastAsia="Arial" w:hAnsi="Arial"/>
                <w:sz w:val="20"/>
                <w:szCs w:val="20"/>
                <w:color w:val="231F20"/>
              </w:rPr>
              <w:t xml:space="preserve">Stock plan shares issued </w:t>
            </w:r>
            <w:r>
              <w:rPr>
                <w:rFonts w:ascii="Times New Roman" w:cs="Times New Roman" w:eastAsia="Times New Roman" w:hAnsi="Times New Roman"/>
                <w:sz w:val="20"/>
                <w:szCs w:val="20"/>
                <w:color w:val="231F20"/>
              </w:rPr>
              <w:t>....................</w:t>
            </w:r>
          </w:p>
        </w:tc>
        <w:tc>
          <w:tcPr>
            <w:tcW w:w="1520" w:type="dxa"/>
            <w:vAlign w:val="bottom"/>
            <w:tcBorders>
              <w:right w:val="single" w:sz="8" w:color="231F20"/>
            </w:tcBorders>
          </w:tcPr>
          <w:p>
            <w:pPr>
              <w:jc w:val="right"/>
              <w:ind w:right="106"/>
              <w:spacing w:after="0"/>
              <w:rPr>
                <w:sz w:val="20"/>
                <w:szCs w:val="20"/>
                <w:color w:val="auto"/>
              </w:rPr>
            </w:pPr>
            <w:r>
              <w:rPr>
                <w:rFonts w:ascii="Arial" w:cs="Arial" w:eastAsia="Arial" w:hAnsi="Arial"/>
                <w:sz w:val="20"/>
                <w:szCs w:val="20"/>
                <w:color w:val="231F20"/>
              </w:rPr>
              <w:t>963,161</w:t>
            </w:r>
          </w:p>
        </w:tc>
        <w:tc>
          <w:tcPr>
            <w:tcW w:w="1600" w:type="dxa"/>
            <w:vAlign w:val="bottom"/>
            <w:tcBorders>
              <w:right w:val="single" w:sz="8" w:color="231F20"/>
            </w:tcBorders>
          </w:tcPr>
          <w:p>
            <w:pPr>
              <w:jc w:val="right"/>
              <w:ind w:right="103"/>
              <w:spacing w:after="0"/>
              <w:rPr>
                <w:sz w:val="20"/>
                <w:szCs w:val="20"/>
                <w:color w:val="auto"/>
              </w:rPr>
            </w:pPr>
            <w:r>
              <w:rPr>
                <w:rFonts w:ascii="Arial" w:cs="Arial" w:eastAsia="Arial" w:hAnsi="Arial"/>
                <w:sz w:val="20"/>
                <w:szCs w:val="20"/>
                <w:color w:val="231F20"/>
              </w:rPr>
              <w:t>856,175</w:t>
            </w:r>
          </w:p>
        </w:tc>
        <w:tc>
          <w:tcPr>
            <w:tcW w:w="1520" w:type="dxa"/>
            <w:vAlign w:val="bottom"/>
            <w:tcBorders>
              <w:right w:val="single" w:sz="8" w:color="231F20"/>
            </w:tcBorders>
          </w:tcPr>
          <w:p>
            <w:pPr>
              <w:jc w:val="right"/>
              <w:ind w:right="106"/>
              <w:spacing w:after="0"/>
              <w:rPr>
                <w:sz w:val="20"/>
                <w:szCs w:val="20"/>
                <w:color w:val="auto"/>
              </w:rPr>
            </w:pPr>
            <w:r>
              <w:rPr>
                <w:rFonts w:ascii="Arial" w:cs="Arial" w:eastAsia="Arial" w:hAnsi="Arial"/>
                <w:sz w:val="20"/>
                <w:szCs w:val="20"/>
                <w:color w:val="231F20"/>
              </w:rPr>
              <w:t>—</w:t>
            </w:r>
          </w:p>
        </w:tc>
        <w:tc>
          <w:tcPr>
            <w:tcW w:w="1300" w:type="dxa"/>
            <w:vAlign w:val="bottom"/>
          </w:tcPr>
          <w:p>
            <w:pPr>
              <w:jc w:val="right"/>
              <w:ind w:right="3"/>
              <w:spacing w:after="0"/>
              <w:rPr>
                <w:sz w:val="20"/>
                <w:szCs w:val="20"/>
                <w:color w:val="auto"/>
              </w:rPr>
            </w:pPr>
            <w:r>
              <w:rPr>
                <w:rFonts w:ascii="Arial" w:cs="Arial" w:eastAsia="Arial" w:hAnsi="Arial"/>
                <w:sz w:val="20"/>
                <w:szCs w:val="20"/>
                <w:color w:val="231F20"/>
              </w:rPr>
              <w:t>—</w:t>
            </w:r>
          </w:p>
        </w:tc>
      </w:tr>
      <w:tr>
        <w:trPr>
          <w:trHeight w:val="233"/>
        </w:trPr>
        <w:tc>
          <w:tcPr>
            <w:tcW w:w="3500" w:type="dxa"/>
            <w:vAlign w:val="bottom"/>
          </w:tcPr>
          <w:p>
            <w:pPr>
              <w:spacing w:after="0"/>
              <w:rPr>
                <w:sz w:val="20"/>
                <w:szCs w:val="20"/>
                <w:color w:val="auto"/>
              </w:rPr>
            </w:pPr>
            <w:r>
              <w:rPr>
                <w:rFonts w:ascii="Arial" w:cs="Arial" w:eastAsia="Arial" w:hAnsi="Arial"/>
                <w:sz w:val="20"/>
                <w:szCs w:val="20"/>
                <w:color w:val="231F20"/>
              </w:rPr>
              <w:t>Shares surrendered by optionees</w:t>
            </w:r>
            <w:r>
              <w:rPr>
                <w:rFonts w:ascii="Times New Roman" w:cs="Times New Roman" w:eastAsia="Times New Roman" w:hAnsi="Times New Roman"/>
                <w:sz w:val="20"/>
                <w:szCs w:val="20"/>
                <w:color w:val="231F20"/>
              </w:rPr>
              <w:t>......</w:t>
            </w:r>
          </w:p>
        </w:tc>
        <w:tc>
          <w:tcPr>
            <w:tcW w:w="1520" w:type="dxa"/>
            <w:vAlign w:val="bottom"/>
            <w:tcBorders>
              <w:right w:val="single" w:sz="8" w:color="231F20"/>
            </w:tcBorders>
          </w:tcPr>
          <w:p>
            <w:pPr>
              <w:jc w:val="right"/>
              <w:ind w:right="46"/>
              <w:spacing w:after="0"/>
              <w:rPr>
                <w:sz w:val="20"/>
                <w:szCs w:val="20"/>
                <w:color w:val="auto"/>
              </w:rPr>
            </w:pPr>
            <w:r>
              <w:rPr>
                <w:rFonts w:ascii="Arial" w:cs="Arial" w:eastAsia="Arial" w:hAnsi="Arial"/>
                <w:sz w:val="20"/>
                <w:szCs w:val="20"/>
                <w:color w:val="231F20"/>
              </w:rPr>
              <w:t>(229,115)</w:t>
            </w:r>
          </w:p>
        </w:tc>
        <w:tc>
          <w:tcPr>
            <w:tcW w:w="1600" w:type="dxa"/>
            <w:vAlign w:val="bottom"/>
            <w:tcBorders>
              <w:right w:val="single" w:sz="8" w:color="231F20"/>
            </w:tcBorders>
          </w:tcPr>
          <w:p>
            <w:pPr>
              <w:jc w:val="right"/>
              <w:ind w:right="43"/>
              <w:spacing w:after="0"/>
              <w:rPr>
                <w:sz w:val="20"/>
                <w:szCs w:val="20"/>
                <w:color w:val="auto"/>
              </w:rPr>
            </w:pPr>
            <w:r>
              <w:rPr>
                <w:rFonts w:ascii="Arial" w:cs="Arial" w:eastAsia="Arial" w:hAnsi="Arial"/>
                <w:sz w:val="20"/>
                <w:szCs w:val="20"/>
                <w:color w:val="231F20"/>
              </w:rPr>
              <w:t>(316,450)</w:t>
            </w:r>
          </w:p>
        </w:tc>
        <w:tc>
          <w:tcPr>
            <w:tcW w:w="1520" w:type="dxa"/>
            <w:vAlign w:val="bottom"/>
            <w:tcBorders>
              <w:right w:val="single" w:sz="8" w:color="231F20"/>
            </w:tcBorders>
          </w:tcPr>
          <w:p>
            <w:pPr>
              <w:jc w:val="right"/>
              <w:ind w:right="106"/>
              <w:spacing w:after="0"/>
              <w:rPr>
                <w:sz w:val="20"/>
                <w:szCs w:val="20"/>
                <w:color w:val="auto"/>
              </w:rPr>
            </w:pPr>
            <w:r>
              <w:rPr>
                <w:rFonts w:ascii="Arial" w:cs="Arial" w:eastAsia="Arial" w:hAnsi="Arial"/>
                <w:sz w:val="20"/>
                <w:szCs w:val="20"/>
                <w:color w:val="231F20"/>
              </w:rPr>
              <w:t>229,115</w:t>
            </w:r>
          </w:p>
        </w:tc>
        <w:tc>
          <w:tcPr>
            <w:tcW w:w="1300" w:type="dxa"/>
            <w:vAlign w:val="bottom"/>
          </w:tcPr>
          <w:p>
            <w:pPr>
              <w:jc w:val="right"/>
              <w:ind w:right="3"/>
              <w:spacing w:after="0"/>
              <w:rPr>
                <w:sz w:val="20"/>
                <w:szCs w:val="20"/>
                <w:color w:val="auto"/>
              </w:rPr>
            </w:pPr>
            <w:r>
              <w:rPr>
                <w:rFonts w:ascii="Arial" w:cs="Arial" w:eastAsia="Arial" w:hAnsi="Arial"/>
                <w:sz w:val="20"/>
                <w:szCs w:val="20"/>
                <w:color w:val="231F20"/>
              </w:rPr>
              <w:t>316,450</w:t>
            </w:r>
          </w:p>
        </w:tc>
      </w:tr>
      <w:tr>
        <w:trPr>
          <w:trHeight w:val="253"/>
        </w:trPr>
        <w:tc>
          <w:tcPr>
            <w:tcW w:w="350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rPr>
              <w:t xml:space="preserve">Common stock repurchases </w:t>
            </w:r>
            <w:r>
              <w:rPr>
                <w:rFonts w:ascii="Times New Roman" w:cs="Times New Roman" w:eastAsia="Times New Roman" w:hAnsi="Times New Roman"/>
                <w:sz w:val="20"/>
                <w:szCs w:val="20"/>
                <w:color w:val="231F20"/>
              </w:rPr>
              <w:t>...............</w:t>
            </w:r>
          </w:p>
        </w:tc>
        <w:tc>
          <w:tcPr>
            <w:tcW w:w="1520" w:type="dxa"/>
            <w:vAlign w:val="bottom"/>
            <w:tcBorders>
              <w:bottom w:val="single" w:sz="8" w:color="231F20"/>
              <w:right w:val="single" w:sz="8" w:color="231F20"/>
            </w:tcBorders>
          </w:tcPr>
          <w:p>
            <w:pPr>
              <w:jc w:val="right"/>
              <w:ind w:right="46"/>
              <w:spacing w:after="0"/>
              <w:rPr>
                <w:sz w:val="20"/>
                <w:szCs w:val="20"/>
                <w:color w:val="auto"/>
              </w:rPr>
            </w:pPr>
            <w:r>
              <w:rPr>
                <w:rFonts w:ascii="Arial" w:cs="Arial" w:eastAsia="Arial" w:hAnsi="Arial"/>
                <w:sz w:val="20"/>
                <w:szCs w:val="20"/>
                <w:color w:val="231F20"/>
              </w:rPr>
              <w:t>(2,487,278)</w:t>
            </w:r>
          </w:p>
        </w:tc>
        <w:tc>
          <w:tcPr>
            <w:tcW w:w="1600" w:type="dxa"/>
            <w:vAlign w:val="bottom"/>
            <w:tcBorders>
              <w:bottom w:val="single" w:sz="8" w:color="231F20"/>
              <w:right w:val="single" w:sz="8" w:color="231F20"/>
            </w:tcBorders>
          </w:tcPr>
          <w:p>
            <w:pPr>
              <w:jc w:val="right"/>
              <w:ind w:right="43"/>
              <w:spacing w:after="0"/>
              <w:rPr>
                <w:sz w:val="20"/>
                <w:szCs w:val="20"/>
                <w:color w:val="auto"/>
              </w:rPr>
            </w:pPr>
            <w:r>
              <w:rPr>
                <w:rFonts w:ascii="Arial" w:cs="Arial" w:eastAsia="Arial" w:hAnsi="Arial"/>
                <w:sz w:val="20"/>
                <w:szCs w:val="20"/>
                <w:color w:val="231F20"/>
              </w:rPr>
              <w:t>(7,563,462)</w:t>
            </w:r>
          </w:p>
        </w:tc>
        <w:tc>
          <w:tcPr>
            <w:tcW w:w="1520" w:type="dxa"/>
            <w:vAlign w:val="bottom"/>
            <w:tcBorders>
              <w:bottom w:val="single" w:sz="8" w:color="231F20"/>
              <w:right w:val="single" w:sz="8" w:color="231F20"/>
            </w:tcBorders>
          </w:tcPr>
          <w:p>
            <w:pPr>
              <w:jc w:val="right"/>
              <w:ind w:right="106"/>
              <w:spacing w:after="0"/>
              <w:rPr>
                <w:sz w:val="20"/>
                <w:szCs w:val="20"/>
                <w:color w:val="auto"/>
              </w:rPr>
            </w:pPr>
            <w:r>
              <w:rPr>
                <w:rFonts w:ascii="Arial" w:cs="Arial" w:eastAsia="Arial" w:hAnsi="Arial"/>
                <w:sz w:val="20"/>
                <w:szCs w:val="20"/>
                <w:color w:val="231F20"/>
              </w:rPr>
              <w:t>2,487,278</w:t>
            </w:r>
          </w:p>
        </w:tc>
        <w:tc>
          <w:tcPr>
            <w:tcW w:w="1300" w:type="dxa"/>
            <w:vAlign w:val="bottom"/>
            <w:tcBorders>
              <w:bottom w:val="single" w:sz="8" w:color="231F20"/>
            </w:tcBorders>
          </w:tcPr>
          <w:p>
            <w:pPr>
              <w:jc w:val="right"/>
              <w:ind w:right="3"/>
              <w:spacing w:after="0"/>
              <w:rPr>
                <w:sz w:val="20"/>
                <w:szCs w:val="20"/>
                <w:color w:val="auto"/>
              </w:rPr>
            </w:pPr>
            <w:r>
              <w:rPr>
                <w:rFonts w:ascii="Arial" w:cs="Arial" w:eastAsia="Arial" w:hAnsi="Arial"/>
                <w:sz w:val="20"/>
                <w:szCs w:val="20"/>
                <w:color w:val="231F20"/>
              </w:rPr>
              <w:t>7,563,462</w:t>
            </w:r>
          </w:p>
        </w:tc>
      </w:tr>
      <w:tr>
        <w:trPr>
          <w:trHeight w:val="248"/>
        </w:trPr>
        <w:tc>
          <w:tcPr>
            <w:tcW w:w="3500" w:type="dxa"/>
            <w:vAlign w:val="bottom"/>
            <w:tcBorders>
              <w:bottom w:val="single" w:sz="8" w:color="231F20"/>
            </w:tcBorders>
          </w:tcPr>
          <w:p>
            <w:pPr>
              <w:spacing w:after="0" w:line="223" w:lineRule="exact"/>
              <w:rPr>
                <w:sz w:val="20"/>
                <w:szCs w:val="20"/>
                <w:color w:val="auto"/>
              </w:rPr>
            </w:pPr>
            <w:r>
              <w:rPr>
                <w:rFonts w:ascii="Arial" w:cs="Arial" w:eastAsia="Arial" w:hAnsi="Arial"/>
                <w:sz w:val="20"/>
                <w:szCs w:val="20"/>
                <w:color w:val="231F20"/>
              </w:rPr>
              <w:t>Balance at the end of the year</w:t>
            </w:r>
            <w:r>
              <w:rPr>
                <w:rFonts w:ascii="Times New Roman" w:cs="Times New Roman" w:eastAsia="Times New Roman" w:hAnsi="Times New Roman"/>
                <w:sz w:val="20"/>
                <w:szCs w:val="20"/>
                <w:color w:val="231F20"/>
              </w:rPr>
              <w:t>............</w:t>
            </w:r>
          </w:p>
        </w:tc>
        <w:tc>
          <w:tcPr>
            <w:tcW w:w="1520" w:type="dxa"/>
            <w:vAlign w:val="bottom"/>
            <w:tcBorders>
              <w:bottom w:val="single" w:sz="8" w:color="231F20"/>
              <w:right w:val="single" w:sz="8" w:color="231F20"/>
            </w:tcBorders>
          </w:tcPr>
          <w:p>
            <w:pPr>
              <w:jc w:val="right"/>
              <w:ind w:right="106"/>
              <w:spacing w:after="0" w:line="223" w:lineRule="exact"/>
              <w:rPr>
                <w:sz w:val="20"/>
                <w:szCs w:val="20"/>
                <w:color w:val="auto"/>
              </w:rPr>
            </w:pPr>
            <w:r>
              <w:rPr>
                <w:rFonts w:ascii="Arial" w:cs="Arial" w:eastAsia="Arial" w:hAnsi="Arial"/>
                <w:sz w:val="20"/>
                <w:szCs w:val="20"/>
                <w:color w:val="231F20"/>
              </w:rPr>
              <w:t>126,287,327</w:t>
            </w:r>
          </w:p>
        </w:tc>
        <w:tc>
          <w:tcPr>
            <w:tcW w:w="1600" w:type="dxa"/>
            <w:vAlign w:val="bottom"/>
            <w:tcBorders>
              <w:bottom w:val="single" w:sz="8" w:color="231F20"/>
              <w:right w:val="single" w:sz="8" w:color="231F20"/>
            </w:tcBorders>
          </w:tcPr>
          <w:p>
            <w:pPr>
              <w:jc w:val="right"/>
              <w:ind w:right="103"/>
              <w:spacing w:after="0" w:line="223" w:lineRule="exact"/>
              <w:rPr>
                <w:sz w:val="20"/>
                <w:szCs w:val="20"/>
                <w:color w:val="auto"/>
              </w:rPr>
            </w:pPr>
            <w:r>
              <w:rPr>
                <w:rFonts w:ascii="Arial" w:cs="Arial" w:eastAsia="Arial" w:hAnsi="Arial"/>
                <w:sz w:val="20"/>
                <w:szCs w:val="20"/>
                <w:color w:val="231F20"/>
              </w:rPr>
              <w:t>128,040,559</w:t>
            </w:r>
          </w:p>
        </w:tc>
        <w:tc>
          <w:tcPr>
            <w:tcW w:w="1520" w:type="dxa"/>
            <w:vAlign w:val="bottom"/>
            <w:tcBorders>
              <w:bottom w:val="single" w:sz="8" w:color="231F20"/>
              <w:right w:val="single" w:sz="8" w:color="231F20"/>
            </w:tcBorders>
          </w:tcPr>
          <w:p>
            <w:pPr>
              <w:jc w:val="right"/>
              <w:ind w:right="106"/>
              <w:spacing w:after="0" w:line="223" w:lineRule="exact"/>
              <w:rPr>
                <w:sz w:val="20"/>
                <w:szCs w:val="20"/>
                <w:color w:val="auto"/>
              </w:rPr>
            </w:pPr>
            <w:r>
              <w:rPr>
                <w:rFonts w:ascii="Arial" w:cs="Arial" w:eastAsia="Arial" w:hAnsi="Arial"/>
                <w:sz w:val="20"/>
                <w:szCs w:val="20"/>
                <w:color w:val="231F20"/>
              </w:rPr>
              <w:t>60,848,871</w:t>
            </w:r>
          </w:p>
        </w:tc>
        <w:tc>
          <w:tcPr>
            <w:tcW w:w="1300" w:type="dxa"/>
            <w:vAlign w:val="bottom"/>
            <w:tcBorders>
              <w:bottom w:val="single" w:sz="8" w:color="231F20"/>
            </w:tcBorders>
          </w:tcPr>
          <w:p>
            <w:pPr>
              <w:jc w:val="right"/>
              <w:ind w:right="3"/>
              <w:spacing w:after="0" w:line="223" w:lineRule="exact"/>
              <w:rPr>
                <w:sz w:val="20"/>
                <w:szCs w:val="20"/>
                <w:color w:val="auto"/>
              </w:rPr>
            </w:pPr>
            <w:r>
              <w:rPr>
                <w:rFonts w:ascii="Arial" w:cs="Arial" w:eastAsia="Arial" w:hAnsi="Arial"/>
                <w:sz w:val="20"/>
                <w:szCs w:val="20"/>
                <w:color w:val="231F20"/>
              </w:rPr>
              <w:t>58,132,478</w:t>
            </w:r>
          </w:p>
        </w:tc>
      </w:tr>
    </w:tbl>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20"/>
          <w:szCs w:val="20"/>
          <w:color w:val="231F20"/>
        </w:rPr>
        <w:t>At December 30, 2023, no shares of our preferred stock were outstanding. Our Board of Directors has the authority, without action by the Company’s stockholders, to designate and issue our preferred stock in one or more series and to designate the rights, preferences, limitations and privileges of each series of preferred stock, which may be greater than the rights of the Company’s common stock.</w:t>
      </w:r>
    </w:p>
    <w:p>
      <w:pPr>
        <w:spacing w:after="0" w:line="127"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231F20"/>
        </w:rPr>
        <w:t>In 2023, we repurchased 2.5 million shares of outstanding common stock under the Company’s share repurchase program for $150.0 million. As of December 30, 2023, the Company’s total remaining share repurchase authorization under the program was approximately $434.6 million. The share repurchase program does not obligate the Company to repurchase any specific dollar amount or number of shares and may be suspended or discontinued at any time.</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71</w:t>
      </w:r>
    </w:p>
    <w:p>
      <w:pPr>
        <w:sectPr>
          <w:pgSz w:w="12240" w:h="15840" w:orient="portrait"/>
          <w:cols w:equalWidth="0" w:num="1">
            <w:col w:w="9460"/>
          </w:cols>
          <w:pgMar w:left="1380" w:top="1346" w:right="1400" w:bottom="95" w:gutter="0" w:footer="0" w:header="0"/>
          <w:type w:val="continuous"/>
        </w:sectPr>
      </w:pPr>
    </w:p>
    <w:bookmarkStart w:id="79" w:name="page80"/>
    <w:bookmarkEnd w:id="79"/>
    <w:p>
      <w:pPr>
        <w:ind w:left="520" w:hanging="514"/>
        <w:spacing w:after="0"/>
        <w:tabs>
          <w:tab w:leader="none" w:pos="520" w:val="left"/>
        </w:tabs>
        <w:numPr>
          <w:ilvl w:val="0"/>
          <w:numId w:val="36"/>
        </w:numPr>
        <w:rPr>
          <w:rFonts w:ascii="Arial" w:cs="Arial" w:eastAsia="Arial" w:hAnsi="Arial"/>
          <w:sz w:val="20"/>
          <w:szCs w:val="20"/>
          <w:b w:val="1"/>
          <w:bCs w:val="1"/>
          <w:color w:val="231F20"/>
        </w:rPr>
      </w:pPr>
      <w:r>
        <w:rPr>
          <w:rFonts w:ascii="Arial" w:cs="Arial" w:eastAsia="Arial" w:hAnsi="Arial"/>
          <w:sz w:val="20"/>
          <w:szCs w:val="20"/>
          <w:b w:val="1"/>
          <w:bCs w:val="1"/>
          <w:color w:val="231F20"/>
        </w:rPr>
        <w:t>Accumulated Other Comprehensive Income (Loss)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The reclassifications out of accumulated other comprehensive income (loss) for the years ended</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231F20"/>
        </w:rPr>
        <w:t>December 30, 2023 and December 31, 2022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wp:posOffset>
                </wp:positionH>
                <wp:positionV relativeFrom="paragraph">
                  <wp:posOffset>133350</wp:posOffset>
                </wp:positionV>
                <wp:extent cx="59975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757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5pt,10.5pt" to="473.1pt,10.5pt" o:allowincell="f" strokecolor="#231F20" strokeweight="0.506pt"/>
            </w:pict>
          </mc:Fallback>
        </mc:AlternateConten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231F20"/>
        </w:rPr>
        <w:t>(In millions)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3720" w:type="dxa"/>
            <w:vAlign w:val="bottom"/>
            <w:tcBorders>
              <w:top w:val="single" w:sz="8" w:color="231F20"/>
            </w:tcBorders>
          </w:tcPr>
          <w:p>
            <w:pPr>
              <w:spacing w:after="0" w:line="150" w:lineRule="exact"/>
              <w:rPr>
                <w:sz w:val="20"/>
                <w:szCs w:val="20"/>
                <w:color w:val="auto"/>
              </w:rPr>
            </w:pPr>
            <w:r>
              <w:rPr>
                <w:rFonts w:ascii="Arial" w:cs="Arial" w:eastAsia="Arial" w:hAnsi="Arial"/>
                <w:sz w:val="15"/>
                <w:szCs w:val="15"/>
                <w:color w:val="231F20"/>
              </w:rPr>
              <w:t>Details about Accumulated Other</w:t>
            </w:r>
          </w:p>
        </w:tc>
        <w:tc>
          <w:tcPr>
            <w:tcW w:w="460" w:type="dxa"/>
            <w:vAlign w:val="bottom"/>
            <w:tcBorders>
              <w:top w:val="single" w:sz="8" w:color="231F20"/>
            </w:tcBorders>
          </w:tcPr>
          <w:p>
            <w:pPr>
              <w:spacing w:after="0"/>
              <w:rPr>
                <w:sz w:val="13"/>
                <w:szCs w:val="13"/>
                <w:color w:val="auto"/>
              </w:rPr>
            </w:pPr>
          </w:p>
        </w:tc>
        <w:tc>
          <w:tcPr>
            <w:tcW w:w="820" w:type="dxa"/>
            <w:vAlign w:val="bottom"/>
            <w:tcBorders>
              <w:top w:val="single" w:sz="8" w:color="231F20"/>
            </w:tcBorders>
          </w:tcPr>
          <w:p>
            <w:pPr>
              <w:spacing w:after="0"/>
              <w:rPr>
                <w:sz w:val="13"/>
                <w:szCs w:val="13"/>
                <w:color w:val="auto"/>
              </w:rPr>
            </w:pPr>
          </w:p>
        </w:tc>
        <w:tc>
          <w:tcPr>
            <w:tcW w:w="280" w:type="dxa"/>
            <w:vAlign w:val="bottom"/>
            <w:tcBorders>
              <w:top w:val="single" w:sz="8" w:color="231F20"/>
            </w:tcBorders>
          </w:tcPr>
          <w:p>
            <w:pPr>
              <w:spacing w:after="0"/>
              <w:rPr>
                <w:sz w:val="13"/>
                <w:szCs w:val="13"/>
                <w:color w:val="auto"/>
              </w:rPr>
            </w:pPr>
          </w:p>
        </w:tc>
        <w:tc>
          <w:tcPr>
            <w:tcW w:w="4160" w:type="dxa"/>
            <w:vAlign w:val="bottom"/>
            <w:tcBorders>
              <w:top w:val="single" w:sz="8" w:color="231F20"/>
            </w:tcBorders>
            <w:gridSpan w:val="2"/>
          </w:tcPr>
          <w:p>
            <w:pPr>
              <w:jc w:val="center"/>
              <w:ind w:right="1399"/>
              <w:spacing w:after="0" w:line="150" w:lineRule="exact"/>
              <w:rPr>
                <w:sz w:val="20"/>
                <w:szCs w:val="20"/>
                <w:color w:val="auto"/>
              </w:rPr>
            </w:pPr>
            <w:r>
              <w:rPr>
                <w:rFonts w:ascii="Arial" w:cs="Arial" w:eastAsia="Arial" w:hAnsi="Arial"/>
                <w:sz w:val="15"/>
                <w:szCs w:val="15"/>
                <w:color w:val="231F20"/>
              </w:rPr>
              <w:t>Affected Line Item in the</w:t>
            </w:r>
          </w:p>
        </w:tc>
      </w:tr>
      <w:tr>
        <w:trPr>
          <w:trHeight w:val="189"/>
        </w:trPr>
        <w:tc>
          <w:tcPr>
            <w:tcW w:w="3720" w:type="dxa"/>
            <w:vAlign w:val="bottom"/>
            <w:tcBorders>
              <w:bottom w:val="single" w:sz="8" w:color="231F20"/>
            </w:tcBorders>
          </w:tcPr>
          <w:p>
            <w:pPr>
              <w:spacing w:after="0"/>
              <w:rPr>
                <w:sz w:val="20"/>
                <w:szCs w:val="20"/>
                <w:color w:val="auto"/>
              </w:rPr>
            </w:pPr>
            <w:r>
              <w:rPr>
                <w:rFonts w:ascii="Arial" w:cs="Arial" w:eastAsia="Arial" w:hAnsi="Arial"/>
                <w:sz w:val="15"/>
                <w:szCs w:val="15"/>
                <w:color w:val="231F20"/>
              </w:rPr>
              <w:t>Comprehensive Income (Loss) Components</w:t>
            </w:r>
          </w:p>
        </w:tc>
        <w:tc>
          <w:tcPr>
            <w:tcW w:w="460" w:type="dxa"/>
            <w:vAlign w:val="bottom"/>
            <w:tcBorders>
              <w:bottom w:val="single" w:sz="8" w:color="231F20"/>
            </w:tcBorders>
          </w:tcPr>
          <w:p>
            <w:pPr>
              <w:spacing w:after="0"/>
              <w:rPr>
                <w:sz w:val="16"/>
                <w:szCs w:val="16"/>
                <w:color w:val="auto"/>
              </w:rPr>
            </w:pPr>
          </w:p>
        </w:tc>
        <w:tc>
          <w:tcPr>
            <w:tcW w:w="820" w:type="dxa"/>
            <w:vAlign w:val="bottom"/>
            <w:tcBorders>
              <w:bottom w:val="single" w:sz="8" w:color="231F20"/>
            </w:tcBorders>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4160" w:type="dxa"/>
            <w:vAlign w:val="bottom"/>
            <w:tcBorders>
              <w:bottom w:val="single" w:sz="8" w:color="231F20"/>
            </w:tcBorders>
            <w:gridSpan w:val="2"/>
          </w:tcPr>
          <w:p>
            <w:pPr>
              <w:jc w:val="center"/>
              <w:ind w:right="1399"/>
              <w:spacing w:after="0"/>
              <w:rPr>
                <w:sz w:val="20"/>
                <w:szCs w:val="20"/>
                <w:color w:val="auto"/>
              </w:rPr>
            </w:pPr>
            <w:r>
              <w:rPr>
                <w:rFonts w:ascii="Arial" w:cs="Arial" w:eastAsia="Arial" w:hAnsi="Arial"/>
                <w:sz w:val="15"/>
                <w:szCs w:val="15"/>
                <w:color w:val="231F20"/>
              </w:rPr>
              <w:t>Consolidated Statements of Income</w:t>
            </w:r>
          </w:p>
        </w:tc>
      </w:tr>
      <w:tr>
        <w:trPr>
          <w:trHeight w:val="165"/>
        </w:trPr>
        <w:tc>
          <w:tcPr>
            <w:tcW w:w="3720" w:type="dxa"/>
            <w:vAlign w:val="bottom"/>
            <w:tcBorders>
              <w:bottom w:val="single" w:sz="8" w:color="231F20"/>
            </w:tcBorders>
          </w:tcPr>
          <w:p>
            <w:pPr>
              <w:spacing w:after="0"/>
              <w:rPr>
                <w:sz w:val="14"/>
                <w:szCs w:val="14"/>
                <w:color w:val="auto"/>
              </w:rPr>
            </w:pPr>
          </w:p>
        </w:tc>
        <w:tc>
          <w:tcPr>
            <w:tcW w:w="460" w:type="dxa"/>
            <w:vAlign w:val="bottom"/>
            <w:tcBorders>
              <w:bottom w:val="single" w:sz="8" w:color="231F20"/>
            </w:tcBorders>
          </w:tcPr>
          <w:p>
            <w:pPr>
              <w:spacing w:after="0"/>
              <w:rPr>
                <w:sz w:val="14"/>
                <w:szCs w:val="14"/>
                <w:color w:val="auto"/>
              </w:rPr>
            </w:pPr>
          </w:p>
        </w:tc>
        <w:tc>
          <w:tcPr>
            <w:tcW w:w="820" w:type="dxa"/>
            <w:vAlign w:val="bottom"/>
            <w:tcBorders>
              <w:bottom w:val="single" w:sz="8" w:color="231F20"/>
            </w:tcBorders>
          </w:tcPr>
          <w:p>
            <w:pPr>
              <w:jc w:val="right"/>
              <w:ind w:right="41"/>
              <w:spacing w:after="0" w:line="165" w:lineRule="exact"/>
              <w:rPr>
                <w:sz w:val="20"/>
                <w:szCs w:val="20"/>
                <w:color w:val="auto"/>
              </w:rPr>
            </w:pPr>
            <w:r>
              <w:rPr>
                <w:rFonts w:ascii="Arial" w:cs="Arial" w:eastAsia="Arial" w:hAnsi="Arial"/>
                <w:sz w:val="15"/>
                <w:szCs w:val="15"/>
                <w:i w:val="1"/>
                <w:iCs w:val="1"/>
                <w:color w:val="231F20"/>
              </w:rPr>
              <w:t>2023</w:t>
            </w:r>
          </w:p>
        </w:tc>
        <w:tc>
          <w:tcPr>
            <w:tcW w:w="280" w:type="dxa"/>
            <w:vAlign w:val="bottom"/>
            <w:tcBorders>
              <w:bottom w:val="single" w:sz="8" w:color="231F20"/>
            </w:tcBorders>
          </w:tcPr>
          <w:p>
            <w:pPr>
              <w:spacing w:after="0"/>
              <w:rPr>
                <w:sz w:val="14"/>
                <w:szCs w:val="14"/>
                <w:color w:val="auto"/>
              </w:rPr>
            </w:pPr>
          </w:p>
        </w:tc>
        <w:tc>
          <w:tcPr>
            <w:tcW w:w="1220" w:type="dxa"/>
            <w:vAlign w:val="bottom"/>
            <w:tcBorders>
              <w:bottom w:val="single" w:sz="8" w:color="231F20"/>
            </w:tcBorders>
          </w:tcPr>
          <w:p>
            <w:pPr>
              <w:jc w:val="right"/>
              <w:ind w:right="25"/>
              <w:spacing w:after="0" w:line="165" w:lineRule="exact"/>
              <w:rPr>
                <w:sz w:val="20"/>
                <w:szCs w:val="20"/>
                <w:color w:val="auto"/>
              </w:rPr>
            </w:pPr>
            <w:r>
              <w:rPr>
                <w:rFonts w:ascii="Arial" w:cs="Arial" w:eastAsia="Arial" w:hAnsi="Arial"/>
                <w:sz w:val="15"/>
                <w:szCs w:val="15"/>
                <w:color w:val="231F20"/>
              </w:rPr>
              <w:t>2022</w:t>
            </w:r>
          </w:p>
        </w:tc>
        <w:tc>
          <w:tcPr>
            <w:tcW w:w="2940" w:type="dxa"/>
            <w:vAlign w:val="bottom"/>
            <w:tcBorders>
              <w:bottom w:val="single" w:sz="8" w:color="231F20"/>
            </w:tcBorders>
          </w:tcPr>
          <w:p>
            <w:pPr>
              <w:spacing w:after="0"/>
              <w:rPr>
                <w:sz w:val="14"/>
                <w:szCs w:val="14"/>
                <w:color w:val="auto"/>
              </w:rPr>
            </w:pPr>
          </w:p>
        </w:tc>
      </w:tr>
      <w:tr>
        <w:trPr>
          <w:trHeight w:val="202"/>
        </w:trPr>
        <w:tc>
          <w:tcPr>
            <w:tcW w:w="3720" w:type="dxa"/>
            <w:vAlign w:val="bottom"/>
          </w:tcPr>
          <w:p>
            <w:pPr>
              <w:spacing w:after="0" w:line="203" w:lineRule="exact"/>
              <w:rPr>
                <w:sz w:val="20"/>
                <w:szCs w:val="20"/>
                <w:color w:val="auto"/>
              </w:rPr>
            </w:pPr>
            <w:r>
              <w:rPr>
                <w:rFonts w:ascii="Arial" w:cs="Arial" w:eastAsia="Arial" w:hAnsi="Arial"/>
                <w:sz w:val="20"/>
                <w:szCs w:val="20"/>
                <w:color w:val="231F20"/>
              </w:rPr>
              <w:t>Gains (losses) on cash flow hedges</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33"/>
        </w:trPr>
        <w:tc>
          <w:tcPr>
            <w:tcW w:w="3720" w:type="dxa"/>
            <w:vAlign w:val="bottom"/>
          </w:tcPr>
          <w:p>
            <w:pPr>
              <w:jc w:val="right"/>
              <w:spacing w:after="0"/>
              <w:rPr>
                <w:sz w:val="20"/>
                <w:szCs w:val="20"/>
                <w:color w:val="auto"/>
              </w:rPr>
            </w:pPr>
            <w:r>
              <w:rPr>
                <w:rFonts w:ascii="Arial" w:cs="Arial" w:eastAsia="Arial" w:hAnsi="Arial"/>
                <w:sz w:val="20"/>
                <w:szCs w:val="20"/>
                <w:color w:val="231F20"/>
              </w:rPr>
              <w:t xml:space="preserve">Foreign exchange contracts </w:t>
            </w:r>
            <w:r>
              <w:rPr>
                <w:rFonts w:ascii="Times New Roman" w:cs="Times New Roman" w:eastAsia="Times New Roman" w:hAnsi="Times New Roman"/>
                <w:sz w:val="20"/>
                <w:szCs w:val="20"/>
                <w:color w:val="231F20"/>
              </w:rPr>
              <w:t>.................</w:t>
            </w:r>
          </w:p>
        </w:tc>
        <w:tc>
          <w:tcPr>
            <w:tcW w:w="460" w:type="dxa"/>
            <w:vAlign w:val="bottom"/>
          </w:tcPr>
          <w:p>
            <w:pPr>
              <w:jc w:val="right"/>
              <w:ind w:right="199"/>
              <w:spacing w:after="0"/>
              <w:rPr>
                <w:sz w:val="20"/>
                <w:szCs w:val="20"/>
                <w:color w:val="auto"/>
              </w:rPr>
            </w:pPr>
            <w:r>
              <w:rPr>
                <w:rFonts w:ascii="Arial" w:cs="Arial" w:eastAsia="Arial" w:hAnsi="Arial"/>
                <w:sz w:val="20"/>
                <w:szCs w:val="20"/>
                <w:color w:val="231F20"/>
              </w:rPr>
              <w:t>$</w:t>
            </w:r>
          </w:p>
        </w:tc>
        <w:tc>
          <w:tcPr>
            <w:tcW w:w="820" w:type="dxa"/>
            <w:vAlign w:val="bottom"/>
          </w:tcPr>
          <w:p>
            <w:pPr>
              <w:jc w:val="right"/>
              <w:ind w:right="41"/>
              <w:spacing w:after="0"/>
              <w:rPr>
                <w:sz w:val="20"/>
                <w:szCs w:val="20"/>
                <w:color w:val="auto"/>
              </w:rPr>
            </w:pPr>
            <w:r>
              <w:rPr>
                <w:rFonts w:ascii="Arial" w:cs="Arial" w:eastAsia="Arial" w:hAnsi="Arial"/>
                <w:sz w:val="20"/>
                <w:szCs w:val="20"/>
                <w:color w:val="231F20"/>
              </w:rPr>
              <w:t>5.2</w:t>
            </w:r>
          </w:p>
        </w:tc>
        <w:tc>
          <w:tcPr>
            <w:tcW w:w="280" w:type="dxa"/>
            <w:vAlign w:val="bottom"/>
          </w:tcPr>
          <w:p>
            <w:pPr>
              <w:jc w:val="right"/>
              <w:ind w:right="19"/>
              <w:spacing w:after="0"/>
              <w:rPr>
                <w:sz w:val="20"/>
                <w:szCs w:val="20"/>
                <w:color w:val="auto"/>
              </w:rPr>
            </w:pPr>
            <w:r>
              <w:rPr>
                <w:rFonts w:ascii="Arial" w:cs="Arial" w:eastAsia="Arial" w:hAnsi="Arial"/>
                <w:sz w:val="20"/>
                <w:szCs w:val="20"/>
                <w:color w:val="231F20"/>
              </w:rPr>
              <w:t>$</w:t>
            </w:r>
          </w:p>
        </w:tc>
        <w:tc>
          <w:tcPr>
            <w:tcW w:w="1220" w:type="dxa"/>
            <w:vAlign w:val="bottom"/>
          </w:tcPr>
          <w:p>
            <w:pPr>
              <w:jc w:val="right"/>
              <w:ind w:right="25"/>
              <w:spacing w:after="0"/>
              <w:rPr>
                <w:sz w:val="20"/>
                <w:szCs w:val="20"/>
                <w:color w:val="auto"/>
              </w:rPr>
            </w:pPr>
            <w:r>
              <w:rPr>
                <w:rFonts w:ascii="Arial" w:cs="Arial" w:eastAsia="Arial" w:hAnsi="Arial"/>
                <w:sz w:val="20"/>
                <w:szCs w:val="20"/>
                <w:color w:val="231F20"/>
              </w:rPr>
              <w:t>4.8</w:t>
            </w:r>
          </w:p>
        </w:tc>
        <w:tc>
          <w:tcPr>
            <w:tcW w:w="2940" w:type="dxa"/>
            <w:vAlign w:val="bottom"/>
          </w:tcPr>
          <w:p>
            <w:pPr>
              <w:ind w:left="60"/>
              <w:spacing w:after="0"/>
              <w:rPr>
                <w:sz w:val="20"/>
                <w:szCs w:val="20"/>
                <w:color w:val="auto"/>
              </w:rPr>
            </w:pPr>
            <w:r>
              <w:rPr>
                <w:rFonts w:ascii="Arial" w:cs="Arial" w:eastAsia="Arial" w:hAnsi="Arial"/>
                <w:sz w:val="20"/>
                <w:szCs w:val="20"/>
                <w:color w:val="231F20"/>
              </w:rPr>
              <w:t>Cost of products sold</w:t>
            </w:r>
          </w:p>
        </w:tc>
      </w:tr>
      <w:tr>
        <w:trPr>
          <w:trHeight w:val="233"/>
        </w:trPr>
        <w:tc>
          <w:tcPr>
            <w:tcW w:w="3720" w:type="dxa"/>
            <w:vAlign w:val="bottom"/>
          </w:tcPr>
          <w:p>
            <w:pPr>
              <w:jc w:val="right"/>
              <w:spacing w:after="0"/>
              <w:rPr>
                <w:sz w:val="20"/>
                <w:szCs w:val="20"/>
                <w:color w:val="auto"/>
              </w:rPr>
            </w:pPr>
            <w:r>
              <w:rPr>
                <w:rFonts w:ascii="Arial" w:cs="Arial" w:eastAsia="Arial" w:hAnsi="Arial"/>
                <w:sz w:val="20"/>
                <w:szCs w:val="20"/>
                <w:color w:val="231F20"/>
              </w:rPr>
              <w:t xml:space="preserve">Interest rate contracts </w:t>
            </w:r>
            <w:r>
              <w:rPr>
                <w:rFonts w:ascii="Times New Roman" w:cs="Times New Roman" w:eastAsia="Times New Roman" w:hAnsi="Times New Roman"/>
                <w:sz w:val="20"/>
                <w:szCs w:val="20"/>
                <w:color w:val="231F20"/>
              </w:rPr>
              <w:t>............................</w:t>
            </w:r>
          </w:p>
        </w:tc>
        <w:tc>
          <w:tcPr>
            <w:tcW w:w="46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20"/>
                <w:szCs w:val="20"/>
                <w:color w:val="231F20"/>
              </w:rPr>
              <w:t>9.0</w:t>
            </w:r>
          </w:p>
        </w:tc>
        <w:tc>
          <w:tcPr>
            <w:tcW w:w="280" w:type="dxa"/>
            <w:vAlign w:val="bottom"/>
          </w:tcPr>
          <w:p>
            <w:pPr>
              <w:spacing w:after="0"/>
              <w:rPr>
                <w:sz w:val="20"/>
                <w:szCs w:val="20"/>
                <w:color w:val="auto"/>
              </w:rPr>
            </w:pPr>
          </w:p>
        </w:tc>
        <w:tc>
          <w:tcPr>
            <w:tcW w:w="1220" w:type="dxa"/>
            <w:vAlign w:val="bottom"/>
          </w:tcPr>
          <w:p>
            <w:pPr>
              <w:jc w:val="right"/>
              <w:ind w:right="25"/>
              <w:spacing w:after="0"/>
              <w:rPr>
                <w:sz w:val="20"/>
                <w:szCs w:val="20"/>
                <w:color w:val="auto"/>
              </w:rPr>
            </w:pPr>
            <w:r>
              <w:rPr>
                <w:rFonts w:ascii="Arial" w:cs="Arial" w:eastAsia="Arial" w:hAnsi="Arial"/>
                <w:sz w:val="20"/>
                <w:szCs w:val="20"/>
                <w:color w:val="231F20"/>
              </w:rPr>
              <w:t>3.6</w:t>
            </w:r>
          </w:p>
        </w:tc>
        <w:tc>
          <w:tcPr>
            <w:tcW w:w="2940" w:type="dxa"/>
            <w:vAlign w:val="bottom"/>
          </w:tcPr>
          <w:p>
            <w:pPr>
              <w:ind w:left="60"/>
              <w:spacing w:after="0"/>
              <w:rPr>
                <w:sz w:val="20"/>
                <w:szCs w:val="20"/>
                <w:color w:val="auto"/>
              </w:rPr>
            </w:pPr>
            <w:r>
              <w:rPr>
                <w:rFonts w:ascii="Arial" w:cs="Arial" w:eastAsia="Arial" w:hAnsi="Arial"/>
                <w:sz w:val="20"/>
                <w:szCs w:val="20"/>
                <w:color w:val="231F20"/>
              </w:rPr>
              <w:t>Interest expense</w:t>
            </w:r>
          </w:p>
        </w:tc>
      </w:tr>
      <w:tr>
        <w:trPr>
          <w:trHeight w:val="253"/>
        </w:trPr>
        <w:tc>
          <w:tcPr>
            <w:tcW w:w="37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Commodity contracts </w:t>
            </w:r>
            <w:r>
              <w:rPr>
                <w:rFonts w:ascii="Times New Roman" w:cs="Times New Roman" w:eastAsia="Times New Roman" w:hAnsi="Times New Roman"/>
                <w:sz w:val="20"/>
                <w:szCs w:val="20"/>
                <w:color w:val="231F20"/>
              </w:rPr>
              <w:t>.............................</w:t>
            </w:r>
          </w:p>
        </w:tc>
        <w:tc>
          <w:tcPr>
            <w:tcW w:w="46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(0.2)</w:t>
            </w:r>
          </w:p>
        </w:tc>
        <w:tc>
          <w:tcPr>
            <w:tcW w:w="280" w:type="dxa"/>
            <w:vAlign w:val="bottom"/>
            <w:tcBorders>
              <w:bottom w:val="single" w:sz="8" w:color="231F20"/>
            </w:tcBorders>
          </w:tcPr>
          <w:p>
            <w:pPr>
              <w:spacing w:after="0"/>
              <w:rPr>
                <w:sz w:val="22"/>
                <w:szCs w:val="22"/>
                <w:color w:val="auto"/>
              </w:rPr>
            </w:pPr>
          </w:p>
        </w:tc>
        <w:tc>
          <w:tcPr>
            <w:tcW w:w="12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(7.3)</w:t>
            </w:r>
          </w:p>
        </w:tc>
        <w:tc>
          <w:tcPr>
            <w:tcW w:w="2940" w:type="dxa"/>
            <w:vAlign w:val="bottom"/>
            <w:tcBorders>
              <w:bottom w:val="single" w:sz="8" w:color="231F20"/>
            </w:tcBorders>
          </w:tcPr>
          <w:p>
            <w:pPr>
              <w:ind w:left="60"/>
              <w:spacing w:after="0"/>
              <w:rPr>
                <w:sz w:val="20"/>
                <w:szCs w:val="20"/>
                <w:color w:val="auto"/>
              </w:rPr>
            </w:pPr>
            <w:r>
              <w:rPr>
                <w:rFonts w:ascii="Arial" w:cs="Arial" w:eastAsia="Arial" w:hAnsi="Arial"/>
                <w:sz w:val="20"/>
                <w:szCs w:val="20"/>
                <w:color w:val="231F20"/>
              </w:rPr>
              <w:t>Cost of products sold</w:t>
            </w:r>
          </w:p>
        </w:tc>
      </w:tr>
      <w:tr>
        <w:trPr>
          <w:trHeight w:val="203"/>
        </w:trPr>
        <w:tc>
          <w:tcPr>
            <w:tcW w:w="3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41"/>
              <w:spacing w:after="0" w:line="204" w:lineRule="exact"/>
              <w:rPr>
                <w:sz w:val="20"/>
                <w:szCs w:val="20"/>
                <w:color w:val="auto"/>
              </w:rPr>
            </w:pPr>
            <w:r>
              <w:rPr>
                <w:rFonts w:ascii="Arial" w:cs="Arial" w:eastAsia="Arial" w:hAnsi="Arial"/>
                <w:sz w:val="20"/>
                <w:szCs w:val="20"/>
                <w:color w:val="231F20"/>
              </w:rPr>
              <w:t>14.0</w:t>
            </w:r>
          </w:p>
        </w:tc>
        <w:tc>
          <w:tcPr>
            <w:tcW w:w="280" w:type="dxa"/>
            <w:vAlign w:val="bottom"/>
          </w:tcPr>
          <w:p>
            <w:pPr>
              <w:spacing w:after="0"/>
              <w:rPr>
                <w:sz w:val="17"/>
                <w:szCs w:val="17"/>
                <w:color w:val="auto"/>
              </w:rPr>
            </w:pPr>
          </w:p>
        </w:tc>
        <w:tc>
          <w:tcPr>
            <w:tcW w:w="1220" w:type="dxa"/>
            <w:vAlign w:val="bottom"/>
          </w:tcPr>
          <w:p>
            <w:pPr>
              <w:jc w:val="right"/>
              <w:ind w:right="25"/>
              <w:spacing w:after="0" w:line="204" w:lineRule="exact"/>
              <w:rPr>
                <w:sz w:val="20"/>
                <w:szCs w:val="20"/>
                <w:color w:val="auto"/>
              </w:rPr>
            </w:pPr>
            <w:r>
              <w:rPr>
                <w:rFonts w:ascii="Arial" w:cs="Arial" w:eastAsia="Arial" w:hAnsi="Arial"/>
                <w:sz w:val="20"/>
                <w:szCs w:val="20"/>
                <w:color w:val="231F20"/>
              </w:rPr>
              <w:t>1.1</w:t>
            </w:r>
          </w:p>
        </w:tc>
        <w:tc>
          <w:tcPr>
            <w:tcW w:w="2940" w:type="dxa"/>
            <w:vAlign w:val="bottom"/>
          </w:tcPr>
          <w:p>
            <w:pPr>
              <w:ind w:left="60"/>
              <w:spacing w:after="0" w:line="204" w:lineRule="exact"/>
              <w:rPr>
                <w:sz w:val="20"/>
                <w:szCs w:val="20"/>
                <w:color w:val="auto"/>
              </w:rPr>
            </w:pPr>
            <w:r>
              <w:rPr>
                <w:rFonts w:ascii="Arial" w:cs="Arial" w:eastAsia="Arial" w:hAnsi="Arial"/>
                <w:sz w:val="20"/>
                <w:szCs w:val="20"/>
                <w:color w:val="231F20"/>
              </w:rPr>
              <w:t>Total before tax</w:t>
            </w:r>
          </w:p>
        </w:tc>
      </w:tr>
      <w:tr>
        <w:trPr>
          <w:trHeight w:val="252"/>
        </w:trPr>
        <w:tc>
          <w:tcPr>
            <w:tcW w:w="3720" w:type="dxa"/>
            <w:vAlign w:val="bottom"/>
            <w:tcBorders>
              <w:bottom w:val="single" w:sz="8" w:color="231F20"/>
            </w:tcBorders>
          </w:tcPr>
          <w:p>
            <w:pPr>
              <w:spacing w:after="0"/>
              <w:rPr>
                <w:sz w:val="21"/>
                <w:szCs w:val="21"/>
                <w:color w:val="auto"/>
              </w:rPr>
            </w:pPr>
          </w:p>
        </w:tc>
        <w:tc>
          <w:tcPr>
            <w:tcW w:w="460" w:type="dxa"/>
            <w:vAlign w:val="bottom"/>
            <w:tcBorders>
              <w:bottom w:val="single" w:sz="8" w:color="231F20"/>
            </w:tcBorders>
          </w:tcPr>
          <w:p>
            <w:pPr>
              <w:spacing w:after="0"/>
              <w:rPr>
                <w:sz w:val="21"/>
                <w:szCs w:val="21"/>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(2.8)</w:t>
            </w:r>
          </w:p>
        </w:tc>
        <w:tc>
          <w:tcPr>
            <w:tcW w:w="280" w:type="dxa"/>
            <w:vAlign w:val="bottom"/>
            <w:tcBorders>
              <w:bottom w:val="single" w:sz="8" w:color="231F20"/>
            </w:tcBorders>
          </w:tcPr>
          <w:p>
            <w:pPr>
              <w:spacing w:after="0"/>
              <w:rPr>
                <w:sz w:val="21"/>
                <w:szCs w:val="21"/>
                <w:color w:val="auto"/>
              </w:rPr>
            </w:pPr>
          </w:p>
        </w:tc>
        <w:tc>
          <w:tcPr>
            <w:tcW w:w="1220" w:type="dxa"/>
            <w:vAlign w:val="bottom"/>
            <w:tcBorders>
              <w:bottom w:val="single" w:sz="8" w:color="231F20"/>
            </w:tcBorders>
          </w:tcPr>
          <w:p>
            <w:pPr>
              <w:jc w:val="right"/>
              <w:ind w:right="25"/>
              <w:spacing w:after="0"/>
              <w:rPr>
                <w:sz w:val="20"/>
                <w:szCs w:val="20"/>
                <w:color w:val="auto"/>
              </w:rPr>
            </w:pPr>
            <w:r>
              <w:rPr>
                <w:rFonts w:ascii="Arial" w:cs="Arial" w:eastAsia="Arial" w:hAnsi="Arial"/>
                <w:sz w:val="20"/>
                <w:szCs w:val="20"/>
                <w:color w:val="231F20"/>
              </w:rPr>
              <w:t>0.6</w:t>
            </w:r>
          </w:p>
        </w:tc>
        <w:tc>
          <w:tcPr>
            <w:tcW w:w="2940" w:type="dxa"/>
            <w:vAlign w:val="bottom"/>
            <w:tcBorders>
              <w:bottom w:val="single" w:sz="8" w:color="231F20"/>
            </w:tcBorders>
          </w:tcPr>
          <w:p>
            <w:pPr>
              <w:ind w:left="60"/>
              <w:spacing w:after="0"/>
              <w:rPr>
                <w:sz w:val="20"/>
                <w:szCs w:val="20"/>
                <w:color w:val="auto"/>
              </w:rPr>
            </w:pPr>
            <w:r>
              <w:rPr>
                <w:rFonts w:ascii="Arial" w:cs="Arial" w:eastAsia="Arial" w:hAnsi="Arial"/>
                <w:sz w:val="20"/>
                <w:szCs w:val="20"/>
                <w:color w:val="231F20"/>
              </w:rPr>
              <w:t>Tax expense</w:t>
            </w:r>
          </w:p>
        </w:tc>
      </w:tr>
      <w:tr>
        <w:trPr>
          <w:trHeight w:val="223"/>
        </w:trPr>
        <w:tc>
          <w:tcPr>
            <w:tcW w:w="3720" w:type="dxa"/>
            <w:vAlign w:val="bottom"/>
            <w:tcBorders>
              <w:bottom w:val="single" w:sz="8" w:color="231F20"/>
            </w:tcBorders>
          </w:tcPr>
          <w:p>
            <w:pPr>
              <w:spacing w:after="0"/>
              <w:rPr>
                <w:sz w:val="19"/>
                <w:szCs w:val="19"/>
                <w:color w:val="auto"/>
              </w:rPr>
            </w:pPr>
          </w:p>
        </w:tc>
        <w:tc>
          <w:tcPr>
            <w:tcW w:w="460" w:type="dxa"/>
            <w:vAlign w:val="bottom"/>
            <w:tcBorders>
              <w:bottom w:val="single" w:sz="8" w:color="231F20"/>
            </w:tcBorders>
          </w:tcPr>
          <w:p>
            <w:pPr>
              <w:jc w:val="right"/>
              <w:ind w:right="199"/>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11.2</w:t>
            </w:r>
          </w:p>
        </w:tc>
        <w:tc>
          <w:tcPr>
            <w:tcW w:w="280" w:type="dxa"/>
            <w:vAlign w:val="bottom"/>
            <w:tcBorders>
              <w:bottom w:val="single" w:sz="8" w:color="231F20"/>
            </w:tcBorders>
          </w:tcPr>
          <w:p>
            <w:pPr>
              <w:jc w:val="right"/>
              <w:ind w:right="19"/>
              <w:spacing w:after="0" w:line="223" w:lineRule="exact"/>
              <w:rPr>
                <w:sz w:val="20"/>
                <w:szCs w:val="20"/>
                <w:color w:val="auto"/>
              </w:rPr>
            </w:pPr>
            <w:r>
              <w:rPr>
                <w:rFonts w:ascii="Arial" w:cs="Arial" w:eastAsia="Arial" w:hAnsi="Arial"/>
                <w:sz w:val="20"/>
                <w:szCs w:val="20"/>
                <w:color w:val="231F20"/>
              </w:rPr>
              <w:t>$</w:t>
            </w:r>
          </w:p>
        </w:tc>
        <w:tc>
          <w:tcPr>
            <w:tcW w:w="1220" w:type="dxa"/>
            <w:vAlign w:val="bottom"/>
            <w:tcBorders>
              <w:bottom w:val="single" w:sz="8" w:color="231F20"/>
            </w:tcBorders>
          </w:tcPr>
          <w:p>
            <w:pPr>
              <w:jc w:val="right"/>
              <w:ind w:right="25"/>
              <w:spacing w:after="0" w:line="223" w:lineRule="exact"/>
              <w:rPr>
                <w:sz w:val="20"/>
                <w:szCs w:val="20"/>
                <w:color w:val="auto"/>
              </w:rPr>
            </w:pPr>
            <w:r>
              <w:rPr>
                <w:rFonts w:ascii="Arial" w:cs="Arial" w:eastAsia="Arial" w:hAnsi="Arial"/>
                <w:sz w:val="20"/>
                <w:szCs w:val="20"/>
                <w:color w:val="231F20"/>
              </w:rPr>
              <w:t>1.7</w:t>
            </w:r>
          </w:p>
        </w:tc>
        <w:tc>
          <w:tcPr>
            <w:tcW w:w="2940" w:type="dxa"/>
            <w:vAlign w:val="bottom"/>
            <w:tcBorders>
              <w:bottom w:val="single" w:sz="8" w:color="231F20"/>
            </w:tcBorders>
          </w:tcPr>
          <w:p>
            <w:pPr>
              <w:ind w:left="60"/>
              <w:spacing w:after="0" w:line="223" w:lineRule="exact"/>
              <w:rPr>
                <w:sz w:val="20"/>
                <w:szCs w:val="20"/>
                <w:color w:val="auto"/>
              </w:rPr>
            </w:pPr>
            <w:r>
              <w:rPr>
                <w:rFonts w:ascii="Arial" w:cs="Arial" w:eastAsia="Arial" w:hAnsi="Arial"/>
                <w:sz w:val="20"/>
                <w:szCs w:val="20"/>
                <w:color w:val="231F20"/>
              </w:rPr>
              <w:t>Net of tax</w:t>
            </w:r>
          </w:p>
        </w:tc>
      </w:tr>
      <w:tr>
        <w:trPr>
          <w:trHeight w:val="202"/>
        </w:trPr>
        <w:tc>
          <w:tcPr>
            <w:tcW w:w="3720" w:type="dxa"/>
            <w:vAlign w:val="bottom"/>
          </w:tcPr>
          <w:p>
            <w:pPr>
              <w:spacing w:after="0" w:line="203" w:lineRule="exact"/>
              <w:rPr>
                <w:sz w:val="20"/>
                <w:szCs w:val="20"/>
                <w:color w:val="auto"/>
              </w:rPr>
            </w:pPr>
            <w:r>
              <w:rPr>
                <w:rFonts w:ascii="Arial" w:cs="Arial" w:eastAsia="Arial" w:hAnsi="Arial"/>
                <w:sz w:val="20"/>
                <w:szCs w:val="20"/>
                <w:color w:val="231F20"/>
              </w:rPr>
              <w:t>Defined benefit plan items</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53"/>
        </w:trPr>
        <w:tc>
          <w:tcPr>
            <w:tcW w:w="37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Recognition of actuarial gains </w:t>
            </w:r>
            <w:r>
              <w:rPr>
                <w:rFonts w:ascii="Times New Roman" w:cs="Times New Roman" w:eastAsia="Times New Roman" w:hAnsi="Times New Roman"/>
                <w:sz w:val="20"/>
                <w:szCs w:val="20"/>
                <w:color w:val="231F20"/>
              </w:rPr>
              <w:t>..............</w:t>
            </w:r>
          </w:p>
        </w:tc>
        <w:tc>
          <w:tcPr>
            <w:tcW w:w="460" w:type="dxa"/>
            <w:vAlign w:val="bottom"/>
            <w:tcBorders>
              <w:bottom w:val="single" w:sz="8" w:color="231F20"/>
            </w:tcBorders>
          </w:tcPr>
          <w:p>
            <w:pPr>
              <w:jc w:val="right"/>
              <w:ind w:right="199"/>
              <w:spacing w:after="0"/>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tcBorders>
          </w:tcPr>
          <w:p>
            <w:pPr>
              <w:jc w:val="right"/>
              <w:ind w:right="41"/>
              <w:spacing w:after="0"/>
              <w:rPr>
                <w:sz w:val="20"/>
                <w:szCs w:val="20"/>
                <w:color w:val="auto"/>
              </w:rPr>
            </w:pPr>
            <w:r>
              <w:rPr>
                <w:rFonts w:ascii="Arial" w:cs="Arial" w:eastAsia="Arial" w:hAnsi="Arial"/>
                <w:sz w:val="20"/>
                <w:szCs w:val="20"/>
                <w:color w:val="231F20"/>
              </w:rPr>
              <w:t>0.5</w:t>
            </w:r>
          </w:p>
        </w:tc>
        <w:tc>
          <w:tcPr>
            <w:tcW w:w="280" w:type="dxa"/>
            <w:vAlign w:val="bottom"/>
            <w:tcBorders>
              <w:bottom w:val="single" w:sz="8" w:color="231F20"/>
            </w:tcBorders>
          </w:tcPr>
          <w:p>
            <w:pPr>
              <w:jc w:val="right"/>
              <w:ind w:right="19"/>
              <w:spacing w:after="0"/>
              <w:rPr>
                <w:sz w:val="20"/>
                <w:szCs w:val="20"/>
                <w:color w:val="auto"/>
              </w:rPr>
            </w:pPr>
            <w:r>
              <w:rPr>
                <w:rFonts w:ascii="Arial" w:cs="Arial" w:eastAsia="Arial" w:hAnsi="Arial"/>
                <w:sz w:val="20"/>
                <w:szCs w:val="20"/>
                <w:color w:val="231F20"/>
              </w:rPr>
              <w:t>$</w:t>
            </w:r>
          </w:p>
        </w:tc>
        <w:tc>
          <w:tcPr>
            <w:tcW w:w="1220" w:type="dxa"/>
            <w:vAlign w:val="bottom"/>
            <w:tcBorders>
              <w:bottom w:val="single" w:sz="8" w:color="231F20"/>
            </w:tcBorders>
          </w:tcPr>
          <w:p>
            <w:pPr>
              <w:jc w:val="right"/>
              <w:ind w:right="25"/>
              <w:spacing w:after="0"/>
              <w:rPr>
                <w:sz w:val="20"/>
                <w:szCs w:val="20"/>
                <w:color w:val="auto"/>
              </w:rPr>
            </w:pPr>
            <w:r>
              <w:rPr>
                <w:rFonts w:ascii="Arial" w:cs="Arial" w:eastAsia="Arial" w:hAnsi="Arial"/>
                <w:sz w:val="20"/>
                <w:szCs w:val="20"/>
                <w:color w:val="231F20"/>
              </w:rPr>
              <w:t>1.3</w:t>
            </w:r>
          </w:p>
        </w:tc>
        <w:tc>
          <w:tcPr>
            <w:tcW w:w="2940" w:type="dxa"/>
            <w:vAlign w:val="bottom"/>
            <w:tcBorders>
              <w:bottom w:val="single" w:sz="8" w:color="231F20"/>
            </w:tcBorders>
          </w:tcPr>
          <w:p>
            <w:pPr>
              <w:ind w:left="60"/>
              <w:spacing w:after="0"/>
              <w:rPr>
                <w:sz w:val="20"/>
                <w:szCs w:val="20"/>
                <w:color w:val="auto"/>
              </w:rPr>
            </w:pPr>
            <w:r>
              <w:rPr>
                <w:rFonts w:ascii="Arial" w:cs="Arial" w:eastAsia="Arial" w:hAnsi="Arial"/>
                <w:sz w:val="20"/>
                <w:szCs w:val="20"/>
                <w:color w:val="231F20"/>
              </w:rPr>
              <w:t>Other (income) expense, net</w:t>
            </w:r>
          </w:p>
        </w:tc>
      </w:tr>
      <w:tr>
        <w:trPr>
          <w:trHeight w:val="223"/>
        </w:trPr>
        <w:tc>
          <w:tcPr>
            <w:tcW w:w="3720" w:type="dxa"/>
            <w:vAlign w:val="bottom"/>
            <w:tcBorders>
              <w:bottom w:val="single" w:sz="8" w:color="231F20"/>
            </w:tcBorders>
          </w:tcPr>
          <w:p>
            <w:pPr>
              <w:spacing w:after="0"/>
              <w:rPr>
                <w:sz w:val="19"/>
                <w:szCs w:val="19"/>
                <w:color w:val="auto"/>
              </w:rPr>
            </w:pPr>
          </w:p>
        </w:tc>
        <w:tc>
          <w:tcPr>
            <w:tcW w:w="46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5.5</w:t>
            </w:r>
          </w:p>
        </w:tc>
        <w:tc>
          <w:tcPr>
            <w:tcW w:w="280" w:type="dxa"/>
            <w:vAlign w:val="bottom"/>
            <w:tcBorders>
              <w:bottom w:val="single" w:sz="8" w:color="231F20"/>
            </w:tcBorders>
          </w:tcPr>
          <w:p>
            <w:pPr>
              <w:spacing w:after="0"/>
              <w:rPr>
                <w:sz w:val="19"/>
                <w:szCs w:val="19"/>
                <w:color w:val="auto"/>
              </w:rPr>
            </w:pPr>
          </w:p>
        </w:tc>
        <w:tc>
          <w:tcPr>
            <w:tcW w:w="1220" w:type="dxa"/>
            <w:vAlign w:val="bottom"/>
            <w:tcBorders>
              <w:bottom w:val="single" w:sz="8" w:color="231F20"/>
            </w:tcBorders>
          </w:tcPr>
          <w:p>
            <w:pPr>
              <w:jc w:val="right"/>
              <w:ind w:right="25"/>
              <w:spacing w:after="0" w:line="223" w:lineRule="exact"/>
              <w:rPr>
                <w:sz w:val="20"/>
                <w:szCs w:val="20"/>
                <w:color w:val="auto"/>
              </w:rPr>
            </w:pPr>
            <w:r>
              <w:rPr>
                <w:rFonts w:ascii="Arial" w:cs="Arial" w:eastAsia="Arial" w:hAnsi="Arial"/>
                <w:sz w:val="20"/>
                <w:szCs w:val="20"/>
                <w:color w:val="231F20"/>
              </w:rPr>
              <w:t>0.4</w:t>
            </w:r>
          </w:p>
        </w:tc>
        <w:tc>
          <w:tcPr>
            <w:tcW w:w="2940" w:type="dxa"/>
            <w:vAlign w:val="bottom"/>
            <w:tcBorders>
              <w:bottom w:val="single" w:sz="8" w:color="231F20"/>
            </w:tcBorders>
          </w:tcPr>
          <w:p>
            <w:pPr>
              <w:ind w:left="60"/>
              <w:spacing w:after="0" w:line="223" w:lineRule="exact"/>
              <w:rPr>
                <w:sz w:val="20"/>
                <w:szCs w:val="20"/>
                <w:color w:val="auto"/>
              </w:rPr>
            </w:pPr>
            <w:r>
              <w:rPr>
                <w:rFonts w:ascii="Arial" w:cs="Arial" w:eastAsia="Arial" w:hAnsi="Arial"/>
                <w:sz w:val="20"/>
                <w:szCs w:val="20"/>
                <w:color w:val="231F20"/>
              </w:rPr>
              <w:t>Tax benefit</w:t>
            </w:r>
          </w:p>
        </w:tc>
      </w:tr>
      <w:tr>
        <w:trPr>
          <w:trHeight w:val="223"/>
        </w:trPr>
        <w:tc>
          <w:tcPr>
            <w:tcW w:w="3720" w:type="dxa"/>
            <w:vAlign w:val="bottom"/>
            <w:tcBorders>
              <w:bottom w:val="single" w:sz="8" w:color="231F20"/>
            </w:tcBorders>
          </w:tcPr>
          <w:p>
            <w:pPr>
              <w:spacing w:after="0"/>
              <w:rPr>
                <w:sz w:val="19"/>
                <w:szCs w:val="19"/>
                <w:color w:val="auto"/>
              </w:rPr>
            </w:pPr>
          </w:p>
        </w:tc>
        <w:tc>
          <w:tcPr>
            <w:tcW w:w="460" w:type="dxa"/>
            <w:vAlign w:val="bottom"/>
            <w:tcBorders>
              <w:bottom w:val="single" w:sz="8" w:color="231F20"/>
            </w:tcBorders>
          </w:tcPr>
          <w:p>
            <w:pPr>
              <w:jc w:val="right"/>
              <w:ind w:right="199"/>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6.0</w:t>
            </w:r>
          </w:p>
        </w:tc>
        <w:tc>
          <w:tcPr>
            <w:tcW w:w="280" w:type="dxa"/>
            <w:vAlign w:val="bottom"/>
            <w:tcBorders>
              <w:bottom w:val="single" w:sz="8" w:color="231F20"/>
            </w:tcBorders>
          </w:tcPr>
          <w:p>
            <w:pPr>
              <w:jc w:val="right"/>
              <w:ind w:right="19"/>
              <w:spacing w:after="0" w:line="223" w:lineRule="exact"/>
              <w:rPr>
                <w:sz w:val="20"/>
                <w:szCs w:val="20"/>
                <w:color w:val="auto"/>
              </w:rPr>
            </w:pPr>
            <w:r>
              <w:rPr>
                <w:rFonts w:ascii="Arial" w:cs="Arial" w:eastAsia="Arial" w:hAnsi="Arial"/>
                <w:sz w:val="20"/>
                <w:szCs w:val="20"/>
                <w:color w:val="231F20"/>
              </w:rPr>
              <w:t>$</w:t>
            </w:r>
          </w:p>
        </w:tc>
        <w:tc>
          <w:tcPr>
            <w:tcW w:w="1220" w:type="dxa"/>
            <w:vAlign w:val="bottom"/>
            <w:tcBorders>
              <w:bottom w:val="single" w:sz="8" w:color="231F20"/>
            </w:tcBorders>
          </w:tcPr>
          <w:p>
            <w:pPr>
              <w:jc w:val="right"/>
              <w:ind w:right="25"/>
              <w:spacing w:after="0" w:line="223" w:lineRule="exact"/>
              <w:rPr>
                <w:sz w:val="20"/>
                <w:szCs w:val="20"/>
                <w:color w:val="auto"/>
              </w:rPr>
            </w:pPr>
            <w:r>
              <w:rPr>
                <w:rFonts w:ascii="Arial" w:cs="Arial" w:eastAsia="Arial" w:hAnsi="Arial"/>
                <w:sz w:val="20"/>
                <w:szCs w:val="20"/>
                <w:color w:val="231F20"/>
              </w:rPr>
              <w:t>1.7</w:t>
            </w:r>
          </w:p>
        </w:tc>
        <w:tc>
          <w:tcPr>
            <w:tcW w:w="2940" w:type="dxa"/>
            <w:vAlign w:val="bottom"/>
            <w:tcBorders>
              <w:bottom w:val="single" w:sz="8" w:color="231F20"/>
            </w:tcBorders>
          </w:tcPr>
          <w:p>
            <w:pPr>
              <w:ind w:left="60"/>
              <w:spacing w:after="0" w:line="223" w:lineRule="exact"/>
              <w:rPr>
                <w:sz w:val="20"/>
                <w:szCs w:val="20"/>
                <w:color w:val="auto"/>
              </w:rPr>
            </w:pPr>
            <w:r>
              <w:rPr>
                <w:rFonts w:ascii="Arial" w:cs="Arial" w:eastAsia="Arial" w:hAnsi="Arial"/>
                <w:sz w:val="20"/>
                <w:szCs w:val="20"/>
                <w:color w:val="231F20"/>
              </w:rPr>
              <w:t>Net of tax</w:t>
            </w:r>
          </w:p>
        </w:tc>
      </w:tr>
      <w:tr>
        <w:trPr>
          <w:trHeight w:val="248"/>
        </w:trPr>
        <w:tc>
          <w:tcPr>
            <w:tcW w:w="37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Total reclassifications for the period </w:t>
            </w:r>
            <w:r>
              <w:rPr>
                <w:rFonts w:ascii="Times New Roman" w:cs="Times New Roman" w:eastAsia="Times New Roman" w:hAnsi="Times New Roman"/>
                <w:sz w:val="20"/>
                <w:szCs w:val="20"/>
                <w:color w:val="231F20"/>
              </w:rPr>
              <w:t>.........</w:t>
            </w:r>
          </w:p>
        </w:tc>
        <w:tc>
          <w:tcPr>
            <w:tcW w:w="460" w:type="dxa"/>
            <w:vAlign w:val="bottom"/>
            <w:tcBorders>
              <w:bottom w:val="single" w:sz="8" w:color="231F20"/>
            </w:tcBorders>
          </w:tcPr>
          <w:p>
            <w:pPr>
              <w:jc w:val="right"/>
              <w:ind w:right="199"/>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17.2</w:t>
            </w:r>
          </w:p>
        </w:tc>
        <w:tc>
          <w:tcPr>
            <w:tcW w:w="280" w:type="dxa"/>
            <w:vAlign w:val="bottom"/>
            <w:tcBorders>
              <w:bottom w:val="single" w:sz="8" w:color="231F20"/>
            </w:tcBorders>
          </w:tcPr>
          <w:p>
            <w:pPr>
              <w:jc w:val="right"/>
              <w:ind w:right="19"/>
              <w:spacing w:after="0" w:line="223" w:lineRule="exact"/>
              <w:rPr>
                <w:sz w:val="20"/>
                <w:szCs w:val="20"/>
                <w:color w:val="auto"/>
              </w:rPr>
            </w:pPr>
            <w:r>
              <w:rPr>
                <w:rFonts w:ascii="Arial" w:cs="Arial" w:eastAsia="Arial" w:hAnsi="Arial"/>
                <w:sz w:val="20"/>
                <w:szCs w:val="20"/>
                <w:color w:val="231F20"/>
              </w:rPr>
              <w:t>$</w:t>
            </w:r>
          </w:p>
        </w:tc>
        <w:tc>
          <w:tcPr>
            <w:tcW w:w="1220" w:type="dxa"/>
            <w:vAlign w:val="bottom"/>
            <w:tcBorders>
              <w:bottom w:val="single" w:sz="8" w:color="231F20"/>
            </w:tcBorders>
          </w:tcPr>
          <w:p>
            <w:pPr>
              <w:jc w:val="right"/>
              <w:ind w:right="25"/>
              <w:spacing w:after="0" w:line="223" w:lineRule="exact"/>
              <w:rPr>
                <w:sz w:val="20"/>
                <w:szCs w:val="20"/>
                <w:color w:val="auto"/>
              </w:rPr>
            </w:pPr>
            <w:r>
              <w:rPr>
                <w:rFonts w:ascii="Arial" w:cs="Arial" w:eastAsia="Arial" w:hAnsi="Arial"/>
                <w:sz w:val="20"/>
                <w:szCs w:val="20"/>
                <w:color w:val="231F20"/>
              </w:rPr>
              <w:t>3.4</w:t>
            </w:r>
          </w:p>
        </w:tc>
        <w:tc>
          <w:tcPr>
            <w:tcW w:w="2940" w:type="dxa"/>
            <w:vAlign w:val="bottom"/>
            <w:tcBorders>
              <w:bottom w:val="single" w:sz="8" w:color="231F20"/>
            </w:tcBorders>
          </w:tcPr>
          <w:p>
            <w:pPr>
              <w:ind w:left="60"/>
              <w:spacing w:after="0" w:line="223" w:lineRule="exact"/>
              <w:rPr>
                <w:sz w:val="20"/>
                <w:szCs w:val="20"/>
                <w:color w:val="auto"/>
              </w:rPr>
            </w:pPr>
            <w:r>
              <w:rPr>
                <w:rFonts w:ascii="Arial" w:cs="Arial" w:eastAsia="Arial" w:hAnsi="Arial"/>
                <w:sz w:val="20"/>
                <w:szCs w:val="20"/>
                <w:color w:val="231F20"/>
              </w:rPr>
              <w:t>Net of tax</w:t>
            </w:r>
          </w:p>
        </w:tc>
      </w:tr>
    </w:tbl>
    <w:p>
      <w:pPr>
        <w:spacing w:after="0" w:line="201" w:lineRule="exact"/>
        <w:rPr>
          <w:sz w:val="20"/>
          <w:szCs w:val="20"/>
          <w:color w:val="auto"/>
        </w:rPr>
      </w:pPr>
    </w:p>
    <w:p>
      <w:pPr>
        <w:ind w:left="320" w:right="360" w:hanging="314"/>
        <w:spacing w:after="0" w:line="279" w:lineRule="auto"/>
        <w:tabs>
          <w:tab w:leader="none" w:pos="320" w:val="left"/>
        </w:tabs>
        <w:numPr>
          <w:ilvl w:val="0"/>
          <w:numId w:val="37"/>
        </w:numPr>
        <w:rPr>
          <w:rFonts w:ascii="Arial" w:cs="Arial" w:eastAsia="Arial" w:hAnsi="Arial"/>
          <w:sz w:val="10"/>
          <w:szCs w:val="10"/>
          <w:i w:val="1"/>
          <w:iCs w:val="1"/>
          <w:color w:val="231F20"/>
        </w:rPr>
      </w:pPr>
      <w:r>
        <w:rPr>
          <w:rFonts w:ascii="Arial" w:cs="Arial" w:eastAsia="Arial" w:hAnsi="Arial"/>
          <w:sz w:val="16"/>
          <w:szCs w:val="16"/>
          <w:i w:val="1"/>
          <w:iCs w:val="1"/>
          <w:color w:val="231F20"/>
        </w:rPr>
        <w:t>These accumulated other comprehensive (loss) income components are included in the computation of net periodic benefit cost. Refer to Note 15, “Defined Benefit Plans,” for additional information.</w:t>
      </w:r>
    </w:p>
    <w:p>
      <w:pPr>
        <w:sectPr>
          <w:pgSz w:w="12240" w:h="15840" w:orient="portrait"/>
          <w:cols w:equalWidth="0" w:num="1">
            <w:col w:w="9460"/>
          </w:cols>
          <w:pgMar w:left="1380" w:top="1342"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72</w:t>
      </w:r>
    </w:p>
    <w:p>
      <w:pPr>
        <w:sectPr>
          <w:pgSz w:w="12240" w:h="15840" w:orient="portrait"/>
          <w:cols w:equalWidth="0" w:num="1">
            <w:col w:w="9460"/>
          </w:cols>
          <w:pgMar w:left="1380" w:top="1342" w:right="1400" w:bottom="95" w:gutter="0" w:footer="0" w:header="0"/>
          <w:type w:val="continuous"/>
        </w:sectPr>
      </w:pPr>
    </w:p>
    <w:bookmarkStart w:id="80" w:name="page81"/>
    <w:bookmarkEnd w:id="80"/>
    <w:p>
      <w:pPr>
        <w:ind w:right="200"/>
        <w:spacing w:after="0" w:line="250" w:lineRule="auto"/>
        <w:rPr>
          <w:sz w:val="20"/>
          <w:szCs w:val="20"/>
          <w:color w:val="auto"/>
        </w:rPr>
      </w:pPr>
      <w:r>
        <w:rPr>
          <w:rFonts w:ascii="Arial" w:cs="Arial" w:eastAsia="Arial" w:hAnsi="Arial"/>
          <w:sz w:val="20"/>
          <w:szCs w:val="20"/>
          <w:color w:val="231F20"/>
        </w:rPr>
        <w:t>The amounts in the table above reflect continuing operations, and exclude amounts related to discontinued operations of $4.5 million in 2022. Total accumulated other comprehensive income (loss) consists of net income and other changes in business equity from transactions and other events from sources other than stockholders. It includes currency translation gains and losses, unrealized gains and losses from derivative instruments designated as cash flow hedges, and defined benefit plan adjustments. The after-tax components of and changes in accumulated other comprehensive (loss) income were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540" w:type="dxa"/>
            <w:vAlign w:val="bottom"/>
            <w:tcBorders>
              <w:top w:val="single" w:sz="8" w:color="231F20"/>
            </w:tcBorders>
          </w:tcPr>
          <w:p>
            <w:pPr>
              <w:spacing w:after="0"/>
              <w:rPr>
                <w:sz w:val="14"/>
                <w:szCs w:val="14"/>
                <w:color w:val="auto"/>
              </w:rPr>
            </w:pPr>
          </w:p>
        </w:tc>
        <w:tc>
          <w:tcPr>
            <w:tcW w:w="200" w:type="dxa"/>
            <w:vAlign w:val="bottom"/>
            <w:tcBorders>
              <w:top w:val="single" w:sz="8" w:color="231F20"/>
            </w:tcBorders>
          </w:tcPr>
          <w:p>
            <w:pPr>
              <w:spacing w:after="0"/>
              <w:rPr>
                <w:sz w:val="14"/>
                <w:szCs w:val="14"/>
                <w:color w:val="auto"/>
              </w:rPr>
            </w:pPr>
          </w:p>
        </w:tc>
        <w:tc>
          <w:tcPr>
            <w:tcW w:w="1000" w:type="dxa"/>
            <w:vAlign w:val="bottom"/>
            <w:tcBorders>
              <w:top w:val="single" w:sz="8" w:color="231F20"/>
            </w:tcBorders>
          </w:tcPr>
          <w:p>
            <w:pPr>
              <w:spacing w:after="0"/>
              <w:rPr>
                <w:sz w:val="14"/>
                <w:szCs w:val="14"/>
                <w:color w:val="auto"/>
              </w:rPr>
            </w:pPr>
          </w:p>
        </w:tc>
        <w:tc>
          <w:tcPr>
            <w:tcW w:w="220" w:type="dxa"/>
            <w:vAlign w:val="bottom"/>
            <w:tcBorders>
              <w:top w:val="single" w:sz="8" w:color="231F20"/>
            </w:tcBorders>
          </w:tcPr>
          <w:p>
            <w:pPr>
              <w:spacing w:after="0"/>
              <w:rPr>
                <w:sz w:val="14"/>
                <w:szCs w:val="14"/>
                <w:color w:val="auto"/>
              </w:rPr>
            </w:pPr>
          </w:p>
        </w:tc>
        <w:tc>
          <w:tcPr>
            <w:tcW w:w="980" w:type="dxa"/>
            <w:vAlign w:val="bottom"/>
            <w:tcBorders>
              <w:top w:val="single" w:sz="8" w:color="231F20"/>
            </w:tcBorders>
          </w:tcPr>
          <w:p>
            <w:pPr>
              <w:spacing w:after="0"/>
              <w:rPr>
                <w:sz w:val="14"/>
                <w:szCs w:val="14"/>
                <w:color w:val="auto"/>
              </w:rPr>
            </w:pPr>
          </w:p>
        </w:tc>
        <w:tc>
          <w:tcPr>
            <w:tcW w:w="200" w:type="dxa"/>
            <w:vAlign w:val="bottom"/>
            <w:tcBorders>
              <w:top w:val="single" w:sz="8" w:color="231F20"/>
            </w:tcBorders>
          </w:tcPr>
          <w:p>
            <w:pPr>
              <w:spacing w:after="0"/>
              <w:rPr>
                <w:sz w:val="14"/>
                <w:szCs w:val="14"/>
                <w:color w:val="auto"/>
              </w:rPr>
            </w:pPr>
          </w:p>
        </w:tc>
        <w:tc>
          <w:tcPr>
            <w:tcW w:w="1020" w:type="dxa"/>
            <w:vAlign w:val="bottom"/>
            <w:tcBorders>
              <w:top w:val="single" w:sz="8" w:color="231F20"/>
            </w:tcBorders>
          </w:tcPr>
          <w:p>
            <w:pPr>
              <w:spacing w:after="0"/>
              <w:rPr>
                <w:sz w:val="14"/>
                <w:szCs w:val="14"/>
                <w:color w:val="auto"/>
              </w:rPr>
            </w:pPr>
          </w:p>
        </w:tc>
        <w:tc>
          <w:tcPr>
            <w:tcW w:w="120" w:type="dxa"/>
            <w:vAlign w:val="bottom"/>
            <w:tcBorders>
              <w:top w:val="single" w:sz="8" w:color="231F20"/>
            </w:tcBorders>
          </w:tcPr>
          <w:p>
            <w:pPr>
              <w:spacing w:after="0"/>
              <w:rPr>
                <w:sz w:val="14"/>
                <w:szCs w:val="14"/>
                <w:color w:val="auto"/>
              </w:rPr>
            </w:pPr>
          </w:p>
        </w:tc>
        <w:tc>
          <w:tcPr>
            <w:tcW w:w="1160" w:type="dxa"/>
            <w:vAlign w:val="bottom"/>
            <w:tcBorders>
              <w:top w:val="single" w:sz="8" w:color="231F20"/>
            </w:tcBorders>
          </w:tcPr>
          <w:p>
            <w:pPr>
              <w:jc w:val="right"/>
              <w:spacing w:after="0" w:line="169" w:lineRule="exact"/>
              <w:rPr>
                <w:sz w:val="20"/>
                <w:szCs w:val="20"/>
                <w:color w:val="auto"/>
              </w:rPr>
            </w:pPr>
            <w:r>
              <w:rPr>
                <w:rFonts w:ascii="Arial" w:cs="Arial" w:eastAsia="Arial" w:hAnsi="Arial"/>
                <w:sz w:val="15"/>
                <w:szCs w:val="15"/>
                <w:color w:val="231F20"/>
              </w:rPr>
              <w:t>Accumulated</w:t>
            </w:r>
          </w:p>
        </w:tc>
      </w:tr>
      <w:tr>
        <w:trPr>
          <w:trHeight w:val="174"/>
        </w:trPr>
        <w:tc>
          <w:tcPr>
            <w:tcW w:w="4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231F20"/>
              </w:rPr>
              <w:t>Foreign</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231F20"/>
              </w:rPr>
              <w:t>Derivative</w:t>
            </w:r>
          </w:p>
        </w:tc>
        <w:tc>
          <w:tcPr>
            <w:tcW w:w="1220" w:type="dxa"/>
            <w:vAlign w:val="bottom"/>
            <w:gridSpan w:val="2"/>
          </w:tcPr>
          <w:p>
            <w:pPr>
              <w:jc w:val="right"/>
              <w:spacing w:after="0"/>
              <w:rPr>
                <w:sz w:val="20"/>
                <w:szCs w:val="20"/>
                <w:color w:val="auto"/>
              </w:rPr>
            </w:pPr>
            <w:r>
              <w:rPr>
                <w:rFonts w:ascii="Arial" w:cs="Arial" w:eastAsia="Arial" w:hAnsi="Arial"/>
                <w:sz w:val="15"/>
                <w:szCs w:val="15"/>
                <w:color w:val="231F20"/>
              </w:rPr>
              <w:t>Defined Benefit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231F20"/>
              </w:rPr>
              <w:t>Other</w:t>
            </w:r>
          </w:p>
        </w:tc>
      </w:tr>
      <w:tr>
        <w:trPr>
          <w:trHeight w:val="157"/>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Arial" w:cs="Arial" w:eastAsia="Arial" w:hAnsi="Arial"/>
                <w:sz w:val="15"/>
                <w:szCs w:val="15"/>
                <w:color w:val="231F20"/>
              </w:rPr>
              <w:t>Currency</w:t>
            </w:r>
          </w:p>
        </w:tc>
        <w:tc>
          <w:tcPr>
            <w:tcW w:w="22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5"/>
                <w:szCs w:val="15"/>
                <w:color w:val="231F20"/>
              </w:rPr>
              <w:t>Hedging</w:t>
            </w:r>
          </w:p>
        </w:tc>
        <w:tc>
          <w:tcPr>
            <w:tcW w:w="20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5"/>
                <w:szCs w:val="15"/>
                <w:color w:val="231F20"/>
              </w:rPr>
              <w:t>Plan</w:t>
            </w:r>
          </w:p>
        </w:tc>
        <w:tc>
          <w:tcPr>
            <w:tcW w:w="120" w:type="dxa"/>
            <w:vAlign w:val="bottom"/>
          </w:tcPr>
          <w:p>
            <w:pPr>
              <w:spacing w:after="0"/>
              <w:rPr>
                <w:sz w:val="13"/>
                <w:szCs w:val="13"/>
                <w:color w:val="auto"/>
              </w:rPr>
            </w:pPr>
          </w:p>
        </w:tc>
        <w:tc>
          <w:tcPr>
            <w:tcW w:w="1160" w:type="dxa"/>
            <w:vAlign w:val="bottom"/>
          </w:tcPr>
          <w:p>
            <w:pPr>
              <w:jc w:val="right"/>
              <w:spacing w:after="0" w:line="157" w:lineRule="exact"/>
              <w:rPr>
                <w:sz w:val="20"/>
                <w:szCs w:val="20"/>
                <w:color w:val="auto"/>
              </w:rPr>
            </w:pPr>
            <w:r>
              <w:rPr>
                <w:rFonts w:ascii="Arial" w:cs="Arial" w:eastAsia="Arial" w:hAnsi="Arial"/>
                <w:sz w:val="15"/>
                <w:szCs w:val="15"/>
                <w:color w:val="231F20"/>
              </w:rPr>
              <w:t>Comprehensive</w:t>
            </w:r>
          </w:p>
        </w:tc>
      </w:tr>
      <w:tr>
        <w:trPr>
          <w:trHeight w:val="207"/>
        </w:trPr>
        <w:tc>
          <w:tcPr>
            <w:tcW w:w="4540" w:type="dxa"/>
            <w:vAlign w:val="bottom"/>
            <w:tcBorders>
              <w:bottom w:val="single" w:sz="8" w:color="231F20"/>
            </w:tcBorders>
          </w:tcPr>
          <w:p>
            <w:pPr>
              <w:spacing w:after="0" w:line="206"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Adjustments</w:t>
            </w:r>
          </w:p>
        </w:tc>
        <w:tc>
          <w:tcPr>
            <w:tcW w:w="2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Gain (Loss)</w:t>
            </w:r>
          </w:p>
        </w:tc>
        <w:tc>
          <w:tcPr>
            <w:tcW w:w="20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Adjustments</w:t>
            </w:r>
          </w:p>
        </w:tc>
        <w:tc>
          <w:tcPr>
            <w:tcW w:w="12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(Loss) Income</w:t>
            </w:r>
          </w:p>
        </w:tc>
      </w:tr>
      <w:tr>
        <w:trPr>
          <w:trHeight w:val="223"/>
        </w:trPr>
        <w:tc>
          <w:tcPr>
            <w:tcW w:w="4540" w:type="dxa"/>
            <w:vAlign w:val="bottom"/>
            <w:tcBorders>
              <w:bottom w:val="single" w:sz="8" w:color="231F20"/>
            </w:tcBorders>
          </w:tcPr>
          <w:p>
            <w:pPr>
              <w:spacing w:after="0" w:line="223" w:lineRule="exact"/>
              <w:rPr>
                <w:sz w:val="20"/>
                <w:szCs w:val="20"/>
                <w:color w:val="auto"/>
              </w:rPr>
            </w:pPr>
            <w:r>
              <w:rPr>
                <w:rFonts w:ascii="Arial" w:cs="Arial" w:eastAsia="Arial" w:hAnsi="Arial"/>
                <w:sz w:val="20"/>
                <w:szCs w:val="20"/>
                <w:color w:val="231F20"/>
              </w:rPr>
              <w:t xml:space="preserve">Balance at December 31, 2020 </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71"/>
              </w:rPr>
              <w:t>$</w:t>
            </w:r>
          </w:p>
        </w:tc>
        <w:tc>
          <w:tcPr>
            <w:tcW w:w="10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7.2</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4.2</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89"/>
              </w:rPr>
              <w:t>$</w:t>
            </w:r>
          </w:p>
        </w:tc>
        <w:tc>
          <w:tcPr>
            <w:tcW w:w="10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(66.5)</w:t>
            </w:r>
          </w:p>
        </w:tc>
        <w:tc>
          <w:tcPr>
            <w:tcW w:w="1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89"/>
              </w:rPr>
              <w:t>$</w:t>
            </w:r>
          </w:p>
        </w:tc>
        <w:tc>
          <w:tcPr>
            <w:tcW w:w="11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(55.1)</w:t>
            </w:r>
          </w:p>
        </w:tc>
      </w:tr>
      <w:tr>
        <w:trPr>
          <w:trHeight w:val="202"/>
        </w:trPr>
        <w:tc>
          <w:tcPr>
            <w:tcW w:w="4540" w:type="dxa"/>
            <w:vAlign w:val="bottom"/>
          </w:tcPr>
          <w:p>
            <w:pPr>
              <w:jc w:val="right"/>
              <w:ind w:right="380"/>
              <w:spacing w:after="0" w:line="203" w:lineRule="exact"/>
              <w:rPr>
                <w:sz w:val="20"/>
                <w:szCs w:val="20"/>
                <w:color w:val="auto"/>
              </w:rPr>
            </w:pPr>
            <w:r>
              <w:rPr>
                <w:rFonts w:ascii="Arial" w:cs="Arial" w:eastAsia="Arial" w:hAnsi="Arial"/>
                <w:sz w:val="20"/>
                <w:szCs w:val="20"/>
                <w:color w:val="231F20"/>
              </w:rPr>
              <w:t>Amounts classified into accumulated other</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3"/>
        </w:trPr>
        <w:tc>
          <w:tcPr>
            <w:tcW w:w="4540" w:type="dxa"/>
            <w:vAlign w:val="bottom"/>
          </w:tcPr>
          <w:p>
            <w:pPr>
              <w:jc w:val="right"/>
              <w:spacing w:after="0"/>
              <w:rPr>
                <w:sz w:val="20"/>
                <w:szCs w:val="20"/>
                <w:color w:val="auto"/>
              </w:rPr>
            </w:pPr>
            <w:r>
              <w:rPr>
                <w:rFonts w:ascii="Arial" w:cs="Arial" w:eastAsia="Arial" w:hAnsi="Arial"/>
                <w:sz w:val="20"/>
                <w:szCs w:val="20"/>
                <w:color w:val="231F20"/>
              </w:rPr>
              <w:t xml:space="preserve">comprehensive (loss) income </w:t>
            </w: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(3.9)</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1.1</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35.1</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32.3</w:t>
            </w:r>
          </w:p>
        </w:tc>
      </w:tr>
      <w:tr>
        <w:trPr>
          <w:trHeight w:val="253"/>
        </w:trPr>
        <w:tc>
          <w:tcPr>
            <w:tcW w:w="45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Amounts reclassified into earnings</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(2.4)</w:t>
            </w:r>
          </w:p>
        </w:tc>
        <w:tc>
          <w:tcPr>
            <w:tcW w:w="20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0.6</w:t>
            </w: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(1.8)</w:t>
            </w:r>
          </w:p>
        </w:tc>
      </w:tr>
      <w:tr>
        <w:trPr>
          <w:trHeight w:val="202"/>
        </w:trPr>
        <w:tc>
          <w:tcPr>
            <w:tcW w:w="4540" w:type="dxa"/>
            <w:vAlign w:val="bottom"/>
          </w:tcPr>
          <w:p>
            <w:pPr>
              <w:spacing w:after="0" w:line="203" w:lineRule="exact"/>
              <w:rPr>
                <w:sz w:val="20"/>
                <w:szCs w:val="20"/>
                <w:color w:val="auto"/>
              </w:rPr>
            </w:pPr>
            <w:r>
              <w:rPr>
                <w:rFonts w:ascii="Arial" w:cs="Arial" w:eastAsia="Arial" w:hAnsi="Arial"/>
                <w:sz w:val="20"/>
                <w:szCs w:val="20"/>
                <w:color w:val="231F20"/>
              </w:rPr>
              <w:t>Net current period other comprehensive (loss)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3"/>
        </w:trPr>
        <w:tc>
          <w:tcPr>
            <w:tcW w:w="45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income </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(3.9)</w:t>
            </w: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(1.3)</w:t>
            </w:r>
          </w:p>
        </w:tc>
        <w:tc>
          <w:tcPr>
            <w:tcW w:w="20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35.7</w:t>
            </w: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30.5</w:t>
            </w:r>
          </w:p>
        </w:tc>
      </w:tr>
      <w:tr>
        <w:trPr>
          <w:trHeight w:val="223"/>
        </w:trPr>
        <w:tc>
          <w:tcPr>
            <w:tcW w:w="45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Balance at December 31, 2021 </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71"/>
              </w:rPr>
              <w:t>$</w:t>
            </w:r>
          </w:p>
        </w:tc>
        <w:tc>
          <w:tcPr>
            <w:tcW w:w="10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3.3</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2.9</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89"/>
              </w:rPr>
              <w:t>$</w:t>
            </w:r>
          </w:p>
        </w:tc>
        <w:tc>
          <w:tcPr>
            <w:tcW w:w="10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(30.8)</w:t>
            </w:r>
          </w:p>
        </w:tc>
        <w:tc>
          <w:tcPr>
            <w:tcW w:w="1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89"/>
              </w:rPr>
              <w:t>$</w:t>
            </w:r>
          </w:p>
        </w:tc>
        <w:tc>
          <w:tcPr>
            <w:tcW w:w="11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(24.6)</w:t>
            </w:r>
          </w:p>
        </w:tc>
      </w:tr>
      <w:tr>
        <w:trPr>
          <w:trHeight w:val="202"/>
        </w:trPr>
        <w:tc>
          <w:tcPr>
            <w:tcW w:w="4540" w:type="dxa"/>
            <w:vAlign w:val="bottom"/>
          </w:tcPr>
          <w:p>
            <w:pPr>
              <w:jc w:val="right"/>
              <w:ind w:right="380"/>
              <w:spacing w:after="0" w:line="203" w:lineRule="exact"/>
              <w:rPr>
                <w:sz w:val="20"/>
                <w:szCs w:val="20"/>
                <w:color w:val="auto"/>
              </w:rPr>
            </w:pPr>
            <w:r>
              <w:rPr>
                <w:rFonts w:ascii="Arial" w:cs="Arial" w:eastAsia="Arial" w:hAnsi="Arial"/>
                <w:sz w:val="20"/>
                <w:szCs w:val="20"/>
                <w:color w:val="231F20"/>
              </w:rPr>
              <w:t>Amounts classified into accumulated other</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3"/>
        </w:trPr>
        <w:tc>
          <w:tcPr>
            <w:tcW w:w="4540" w:type="dxa"/>
            <w:vAlign w:val="bottom"/>
          </w:tcPr>
          <w:p>
            <w:pPr>
              <w:jc w:val="right"/>
              <w:spacing w:after="0"/>
              <w:rPr>
                <w:sz w:val="20"/>
                <w:szCs w:val="20"/>
                <w:color w:val="auto"/>
              </w:rPr>
            </w:pPr>
            <w:r>
              <w:rPr>
                <w:rFonts w:ascii="Arial" w:cs="Arial" w:eastAsia="Arial" w:hAnsi="Arial"/>
                <w:sz w:val="20"/>
                <w:szCs w:val="20"/>
                <w:color w:val="231F20"/>
              </w:rPr>
              <w:t xml:space="preserve">comprehensive (loss) income </w:t>
            </w: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(23.4)</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99.6</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(14.6)</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61.6</w:t>
            </w:r>
          </w:p>
        </w:tc>
      </w:tr>
      <w:tr>
        <w:trPr>
          <w:trHeight w:val="253"/>
        </w:trPr>
        <w:tc>
          <w:tcPr>
            <w:tcW w:w="45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Amounts reclassified into earnings</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(6.2)</w:t>
            </w:r>
          </w:p>
        </w:tc>
        <w:tc>
          <w:tcPr>
            <w:tcW w:w="20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(1.7)</w:t>
            </w: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(7.9)</w:t>
            </w:r>
          </w:p>
        </w:tc>
      </w:tr>
      <w:tr>
        <w:trPr>
          <w:trHeight w:val="202"/>
        </w:trPr>
        <w:tc>
          <w:tcPr>
            <w:tcW w:w="4540" w:type="dxa"/>
            <w:vAlign w:val="bottom"/>
          </w:tcPr>
          <w:p>
            <w:pPr>
              <w:spacing w:after="0" w:line="203" w:lineRule="exact"/>
              <w:rPr>
                <w:sz w:val="20"/>
                <w:szCs w:val="20"/>
                <w:color w:val="auto"/>
              </w:rPr>
            </w:pPr>
            <w:r>
              <w:rPr>
                <w:rFonts w:ascii="Arial" w:cs="Arial" w:eastAsia="Arial" w:hAnsi="Arial"/>
                <w:sz w:val="20"/>
                <w:szCs w:val="20"/>
                <w:color w:val="231F20"/>
              </w:rPr>
              <w:t>Net current period other comprehensive (loss)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3"/>
        </w:trPr>
        <w:tc>
          <w:tcPr>
            <w:tcW w:w="4540" w:type="dxa"/>
            <w:vAlign w:val="bottom"/>
          </w:tcPr>
          <w:p>
            <w:pPr>
              <w:jc w:val="right"/>
              <w:spacing w:after="0"/>
              <w:rPr>
                <w:sz w:val="20"/>
                <w:szCs w:val="20"/>
                <w:color w:val="auto"/>
              </w:rPr>
            </w:pPr>
            <w:r>
              <w:rPr>
                <w:rFonts w:ascii="Arial" w:cs="Arial" w:eastAsia="Arial" w:hAnsi="Arial"/>
                <w:sz w:val="20"/>
                <w:szCs w:val="20"/>
                <w:color w:val="231F20"/>
              </w:rPr>
              <w:t xml:space="preserve">income </w:t>
            </w: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(23.4)</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93.4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(16.3)</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53.7</w:t>
            </w:r>
          </w:p>
        </w:tc>
      </w:tr>
      <w:tr>
        <w:trPr>
          <w:trHeight w:val="253"/>
        </w:trPr>
        <w:tc>
          <w:tcPr>
            <w:tcW w:w="45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Distribution of Masterbrand</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8.0</w:t>
            </w: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(2.8)</w:t>
            </w:r>
          </w:p>
        </w:tc>
        <w:tc>
          <w:tcPr>
            <w:tcW w:w="20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3.1</w:t>
            </w: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8.3</w:t>
            </w:r>
          </w:p>
        </w:tc>
      </w:tr>
      <w:tr>
        <w:trPr>
          <w:trHeight w:val="223"/>
        </w:trPr>
        <w:tc>
          <w:tcPr>
            <w:tcW w:w="45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Balance at December 31, 2022 </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71"/>
              </w:rPr>
              <w:t>$</w:t>
            </w:r>
          </w:p>
        </w:tc>
        <w:tc>
          <w:tcPr>
            <w:tcW w:w="10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(12.1)</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93.5</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89"/>
              </w:rPr>
              <w:t>$</w:t>
            </w:r>
          </w:p>
        </w:tc>
        <w:tc>
          <w:tcPr>
            <w:tcW w:w="10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(44.0)</w:t>
            </w:r>
          </w:p>
        </w:tc>
        <w:tc>
          <w:tcPr>
            <w:tcW w:w="1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89"/>
              </w:rPr>
              <w:t>$</w:t>
            </w:r>
          </w:p>
        </w:tc>
        <w:tc>
          <w:tcPr>
            <w:tcW w:w="11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37.4</w:t>
            </w:r>
          </w:p>
        </w:tc>
      </w:tr>
      <w:tr>
        <w:trPr>
          <w:trHeight w:val="202"/>
        </w:trPr>
        <w:tc>
          <w:tcPr>
            <w:tcW w:w="4540" w:type="dxa"/>
            <w:vAlign w:val="bottom"/>
          </w:tcPr>
          <w:p>
            <w:pPr>
              <w:jc w:val="right"/>
              <w:ind w:right="380"/>
              <w:spacing w:after="0" w:line="203" w:lineRule="exact"/>
              <w:rPr>
                <w:sz w:val="20"/>
                <w:szCs w:val="20"/>
                <w:color w:val="auto"/>
              </w:rPr>
            </w:pPr>
            <w:r>
              <w:rPr>
                <w:rFonts w:ascii="Arial" w:cs="Arial" w:eastAsia="Arial" w:hAnsi="Arial"/>
                <w:sz w:val="20"/>
                <w:szCs w:val="20"/>
                <w:color w:val="231F20"/>
              </w:rPr>
              <w:t>Amounts classified into accumulated other</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3"/>
        </w:trPr>
        <w:tc>
          <w:tcPr>
            <w:tcW w:w="4540" w:type="dxa"/>
            <w:vAlign w:val="bottom"/>
          </w:tcPr>
          <w:p>
            <w:pPr>
              <w:jc w:val="right"/>
              <w:spacing w:after="0"/>
              <w:rPr>
                <w:sz w:val="20"/>
                <w:szCs w:val="20"/>
                <w:color w:val="auto"/>
              </w:rPr>
            </w:pPr>
            <w:r>
              <w:rPr>
                <w:rFonts w:ascii="Arial" w:cs="Arial" w:eastAsia="Arial" w:hAnsi="Arial"/>
                <w:sz w:val="20"/>
                <w:szCs w:val="20"/>
                <w:color w:val="231F20"/>
              </w:rPr>
              <w:t xml:space="preserve">comprehensive (loss) income </w:t>
            </w: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17.4</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3.7</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15.8</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36.9</w:t>
            </w:r>
          </w:p>
        </w:tc>
      </w:tr>
      <w:tr>
        <w:trPr>
          <w:trHeight w:val="233"/>
        </w:trPr>
        <w:tc>
          <w:tcPr>
            <w:tcW w:w="4540" w:type="dxa"/>
            <w:vAlign w:val="bottom"/>
          </w:tcPr>
          <w:p>
            <w:pPr>
              <w:jc w:val="right"/>
              <w:spacing w:after="0"/>
              <w:rPr>
                <w:sz w:val="20"/>
                <w:szCs w:val="20"/>
                <w:color w:val="auto"/>
              </w:rPr>
            </w:pPr>
            <w:r>
              <w:rPr>
                <w:rFonts w:ascii="Arial" w:cs="Arial" w:eastAsia="Arial" w:hAnsi="Arial"/>
                <w:sz w:val="20"/>
                <w:szCs w:val="20"/>
                <w:color w:val="231F20"/>
              </w:rPr>
              <w:t>Other</w:t>
            </w:r>
            <w:r>
              <w:rPr>
                <w:rFonts w:ascii="Times New Roman" w:cs="Times New Roman" w:eastAsia="Times New Roman" w:hAnsi="Times New Roman"/>
                <w:sz w:val="20"/>
                <w:szCs w:val="20"/>
                <w:color w:val="231F20"/>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231F20"/>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231F20"/>
              </w:rPr>
              <w:t>6.2</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231F20"/>
              </w:rPr>
              <w:t>6.2</w:t>
            </w:r>
          </w:p>
        </w:tc>
      </w:tr>
      <w:tr>
        <w:trPr>
          <w:trHeight w:val="253"/>
        </w:trPr>
        <w:tc>
          <w:tcPr>
            <w:tcW w:w="45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Amounts reclassified into earnings</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(11.2)</w:t>
            </w:r>
          </w:p>
        </w:tc>
        <w:tc>
          <w:tcPr>
            <w:tcW w:w="20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(6.0)</w:t>
            </w: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(17.2)</w:t>
            </w:r>
          </w:p>
        </w:tc>
      </w:tr>
      <w:tr>
        <w:trPr>
          <w:trHeight w:val="202"/>
        </w:trPr>
        <w:tc>
          <w:tcPr>
            <w:tcW w:w="4540" w:type="dxa"/>
            <w:vAlign w:val="bottom"/>
          </w:tcPr>
          <w:p>
            <w:pPr>
              <w:spacing w:after="0" w:line="203" w:lineRule="exact"/>
              <w:rPr>
                <w:sz w:val="20"/>
                <w:szCs w:val="20"/>
                <w:color w:val="auto"/>
              </w:rPr>
            </w:pPr>
            <w:r>
              <w:rPr>
                <w:rFonts w:ascii="Arial" w:cs="Arial" w:eastAsia="Arial" w:hAnsi="Arial"/>
                <w:sz w:val="20"/>
                <w:szCs w:val="20"/>
                <w:color w:val="231F20"/>
              </w:rPr>
              <w:t>Net current period other comprehensive (loss)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3"/>
        </w:trPr>
        <w:tc>
          <w:tcPr>
            <w:tcW w:w="45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income </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spacing w:after="0"/>
              <w:rPr>
                <w:sz w:val="22"/>
                <w:szCs w:val="22"/>
                <w:color w:val="auto"/>
              </w:rPr>
            </w:pP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17.4</w:t>
            </w:r>
          </w:p>
        </w:tc>
        <w:tc>
          <w:tcPr>
            <w:tcW w:w="2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(7.5)</w:t>
            </w:r>
          </w:p>
        </w:tc>
        <w:tc>
          <w:tcPr>
            <w:tcW w:w="20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16.0</w:t>
            </w:r>
          </w:p>
        </w:tc>
        <w:tc>
          <w:tcPr>
            <w:tcW w:w="12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25.9</w:t>
            </w:r>
          </w:p>
        </w:tc>
      </w:tr>
      <w:tr>
        <w:trPr>
          <w:trHeight w:val="223"/>
        </w:trPr>
        <w:tc>
          <w:tcPr>
            <w:tcW w:w="45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Balance at December 30, 2023 </w:t>
            </w:r>
            <w:r>
              <w:rPr>
                <w:rFonts w:ascii="Times New Roman" w:cs="Times New Roman" w:eastAsia="Times New Roman" w:hAnsi="Times New Roman"/>
                <w:sz w:val="20"/>
                <w:szCs w:val="20"/>
                <w:color w:val="231F20"/>
              </w:rPr>
              <w:t>..................................</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71"/>
              </w:rPr>
              <w:t>$</w:t>
            </w:r>
          </w:p>
        </w:tc>
        <w:tc>
          <w:tcPr>
            <w:tcW w:w="10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5.3</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86.0</w:t>
            </w:r>
          </w:p>
        </w:tc>
        <w:tc>
          <w:tcPr>
            <w:tcW w:w="2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89"/>
              </w:rPr>
              <w:t>$</w:t>
            </w:r>
          </w:p>
        </w:tc>
        <w:tc>
          <w:tcPr>
            <w:tcW w:w="10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(28.0)</w:t>
            </w:r>
          </w:p>
        </w:tc>
        <w:tc>
          <w:tcPr>
            <w:tcW w:w="1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89"/>
              </w:rPr>
              <w:t>$</w:t>
            </w:r>
          </w:p>
        </w:tc>
        <w:tc>
          <w:tcPr>
            <w:tcW w:w="11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63.3</w:t>
            </w:r>
          </w:p>
        </w:tc>
      </w:tr>
    </w:tbl>
    <w:p>
      <w:pPr>
        <w:spacing w:after="0" w:line="186" w:lineRule="exact"/>
        <w:rPr>
          <w:sz w:val="20"/>
          <w:szCs w:val="20"/>
          <w:color w:val="auto"/>
        </w:rPr>
      </w:pPr>
    </w:p>
    <w:p>
      <w:pPr>
        <w:ind w:left="520" w:hanging="514"/>
        <w:spacing w:after="0"/>
        <w:tabs>
          <w:tab w:leader="none" w:pos="520" w:val="left"/>
        </w:tabs>
        <w:numPr>
          <w:ilvl w:val="0"/>
          <w:numId w:val="38"/>
        </w:numPr>
        <w:rPr>
          <w:rFonts w:ascii="Arial" w:cs="Arial" w:eastAsia="Arial" w:hAnsi="Arial"/>
          <w:sz w:val="20"/>
          <w:szCs w:val="20"/>
          <w:b w:val="1"/>
          <w:bCs w:val="1"/>
          <w:color w:val="231F20"/>
        </w:rPr>
      </w:pPr>
      <w:r>
        <w:rPr>
          <w:rFonts w:ascii="Arial" w:cs="Arial" w:eastAsia="Arial" w:hAnsi="Arial"/>
          <w:sz w:val="20"/>
          <w:szCs w:val="20"/>
          <w:b w:val="1"/>
          <w:bCs w:val="1"/>
          <w:color w:val="231F20"/>
        </w:rPr>
        <w:t>Stock-Based Compensation</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231F20"/>
        </w:rPr>
        <w:t>As of December 30, 2023, we had awards outstanding under the Fortune Brands Home &amp; Security, Inc. 2022 Long-Term Incentive Plan (the "2022 Plan") and the Fortune Brands Home &amp; Security, Inc. 2013 Long-Term Incentive Plan (the “2013 Plan”) (collectively, the "Plans"). In 2022, stockholders approved the 2022 Plan, which provides for the granting of stock options, performance share awards ("PSAs"), restricted stock units ("RSUs") and other equity-based awards to employees, directors and consultants. No new stock-based awards can be made under the 2013 Plan, but there are outstanding unvested RSUs, unvested PSUs and stock options that continue to be exercisable. In addition, shares of common stock that were granted and subsequently expired, terminated, cancelled or forfeited, or were used to satisfy the required withholding taxes with respect to awards under the Plans, may be recycled back into the total numbers of shares available for issuance under the 2022 Plan. Upon the exercise or payment of stock-based awards, shares of common stock are issued from authorized common shares. As of December 30, 2023, approximately 4.2 million shares of common stock remained authorized for issuance under the 2022 Plan.</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73</w:t>
      </w:r>
    </w:p>
    <w:p>
      <w:pPr>
        <w:sectPr>
          <w:pgSz w:w="12240" w:h="15840" w:orient="portrait"/>
          <w:cols w:equalWidth="0" w:num="1">
            <w:col w:w="9460"/>
          </w:cols>
          <w:pgMar w:left="1380" w:top="1346" w:right="1400" w:bottom="95"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color w:val="231F20"/>
        </w:rPr>
        <w:t>Stock-based compensation expense was as follows:</w:t>
      </w:r>
    </w:p>
    <w:p>
      <w:pPr>
        <w:spacing w:after="0" w:line="211" w:lineRule="exact"/>
        <w:rPr>
          <w:sz w:val="20"/>
          <w:szCs w:val="20"/>
          <w:color w:val="auto"/>
        </w:rPr>
      </w:pPr>
    </w:p>
    <w:tbl>
      <w:tblPr>
        <w:tblLayout w:type="fixed"/>
        <w:tblInd w:w="960" w:type="dxa"/>
        <w:tblCellMar>
          <w:top w:w="0" w:type="dxa"/>
          <w:left w:w="0" w:type="dxa"/>
          <w:bottom w:w="0" w:type="dxa"/>
          <w:right w:w="0" w:type="dxa"/>
        </w:tblCellMar>
      </w:tblPr>
      <w:tr>
        <w:trPr>
          <w:trHeight w:val="185"/>
        </w:trPr>
        <w:tc>
          <w:tcPr>
            <w:tcW w:w="4380" w:type="dxa"/>
            <w:vAlign w:val="bottom"/>
            <w:tcBorders>
              <w:top w:val="single" w:sz="8" w:color="231F20"/>
              <w:bottom w:val="single" w:sz="8" w:color="231F20"/>
            </w:tcBorders>
          </w:tcPr>
          <w:p>
            <w:pPr>
              <w:jc w:val="right"/>
              <w:spacing w:after="0" w:line="184"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320" w:type="dxa"/>
            <w:vAlign w:val="bottom"/>
            <w:tcBorders>
              <w:top w:val="single" w:sz="8" w:color="231F20"/>
              <w:bottom w:val="single" w:sz="8" w:color="231F20"/>
            </w:tcBorders>
          </w:tcPr>
          <w:p>
            <w:pPr>
              <w:spacing w:after="0"/>
              <w:rPr>
                <w:sz w:val="16"/>
                <w:szCs w:val="16"/>
                <w:color w:val="auto"/>
              </w:rPr>
            </w:pPr>
          </w:p>
        </w:tc>
        <w:tc>
          <w:tcPr>
            <w:tcW w:w="740" w:type="dxa"/>
            <w:vAlign w:val="bottom"/>
            <w:tcBorders>
              <w:top w:val="single" w:sz="8" w:color="231F20"/>
              <w:bottom w:val="single" w:sz="8" w:color="231F20"/>
              <w:right w:val="single" w:sz="8" w:color="231F20"/>
            </w:tcBorders>
          </w:tcPr>
          <w:p>
            <w:pPr>
              <w:jc w:val="right"/>
              <w:ind w:right="62"/>
              <w:spacing w:after="0"/>
              <w:rPr>
                <w:sz w:val="20"/>
                <w:szCs w:val="20"/>
                <w:color w:val="auto"/>
              </w:rPr>
            </w:pPr>
            <w:r>
              <w:rPr>
                <w:rFonts w:ascii="Arial" w:cs="Arial" w:eastAsia="Arial" w:hAnsi="Arial"/>
                <w:sz w:val="15"/>
                <w:szCs w:val="15"/>
                <w:i w:val="1"/>
                <w:iCs w:val="1"/>
                <w:color w:val="231F20"/>
              </w:rPr>
              <w:t>2023</w:t>
            </w:r>
          </w:p>
        </w:tc>
        <w:tc>
          <w:tcPr>
            <w:tcW w:w="340" w:type="dxa"/>
            <w:vAlign w:val="bottom"/>
            <w:tcBorders>
              <w:top w:val="single" w:sz="8" w:color="231F20"/>
              <w:bottom w:val="single" w:sz="8" w:color="231F20"/>
            </w:tcBorders>
          </w:tcPr>
          <w:p>
            <w:pPr>
              <w:spacing w:after="0"/>
              <w:rPr>
                <w:sz w:val="16"/>
                <w:szCs w:val="16"/>
                <w:color w:val="auto"/>
              </w:rPr>
            </w:pPr>
          </w:p>
        </w:tc>
        <w:tc>
          <w:tcPr>
            <w:tcW w:w="740" w:type="dxa"/>
            <w:vAlign w:val="bottom"/>
            <w:tcBorders>
              <w:top w:val="single" w:sz="8" w:color="231F20"/>
              <w:bottom w:val="single" w:sz="8" w:color="231F20"/>
              <w:right w:val="single" w:sz="8" w:color="231F20"/>
            </w:tcBorders>
          </w:tcPr>
          <w:p>
            <w:pPr>
              <w:jc w:val="right"/>
              <w:ind w:right="82"/>
              <w:spacing w:after="0"/>
              <w:rPr>
                <w:sz w:val="20"/>
                <w:szCs w:val="20"/>
                <w:color w:val="auto"/>
              </w:rPr>
            </w:pPr>
            <w:r>
              <w:rPr>
                <w:rFonts w:ascii="Arial" w:cs="Arial" w:eastAsia="Arial" w:hAnsi="Arial"/>
                <w:sz w:val="15"/>
                <w:szCs w:val="15"/>
                <w:color w:val="231F20"/>
              </w:rPr>
              <w:t>2022</w:t>
            </w:r>
          </w:p>
        </w:tc>
        <w:tc>
          <w:tcPr>
            <w:tcW w:w="360" w:type="dxa"/>
            <w:vAlign w:val="bottom"/>
            <w:tcBorders>
              <w:top w:val="single" w:sz="8" w:color="231F20"/>
              <w:bottom w:val="single" w:sz="8" w:color="231F20"/>
            </w:tcBorders>
          </w:tcPr>
          <w:p>
            <w:pPr>
              <w:spacing w:after="0"/>
              <w:rPr>
                <w:sz w:val="16"/>
                <w:szCs w:val="16"/>
                <w:color w:val="auto"/>
              </w:rPr>
            </w:pPr>
          </w:p>
        </w:tc>
        <w:tc>
          <w:tcPr>
            <w:tcW w:w="68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5"/>
                <w:szCs w:val="15"/>
                <w:color w:val="231F20"/>
              </w:rPr>
              <w:t>2021</w:t>
            </w:r>
          </w:p>
        </w:tc>
      </w:tr>
      <w:tr>
        <w:trPr>
          <w:trHeight w:val="202"/>
        </w:trPr>
        <w:tc>
          <w:tcPr>
            <w:tcW w:w="4380" w:type="dxa"/>
            <w:vAlign w:val="bottom"/>
          </w:tcPr>
          <w:p>
            <w:pPr>
              <w:jc w:val="right"/>
              <w:spacing w:after="0" w:line="202" w:lineRule="exact"/>
              <w:rPr>
                <w:sz w:val="20"/>
                <w:szCs w:val="20"/>
                <w:color w:val="auto"/>
              </w:rPr>
            </w:pPr>
            <w:r>
              <w:rPr>
                <w:rFonts w:ascii="Arial" w:cs="Arial" w:eastAsia="Arial" w:hAnsi="Arial"/>
                <w:sz w:val="20"/>
                <w:szCs w:val="20"/>
                <w:color w:val="231F20"/>
              </w:rPr>
              <w:t xml:space="preserve">Restricted stock units </w:t>
            </w:r>
            <w:r>
              <w:rPr>
                <w:rFonts w:ascii="Times New Roman" w:cs="Times New Roman" w:eastAsia="Times New Roman" w:hAnsi="Times New Roman"/>
                <w:sz w:val="20"/>
                <w:szCs w:val="20"/>
                <w:color w:val="231F20"/>
              </w:rPr>
              <w:t>...............................................</w:t>
            </w:r>
          </w:p>
        </w:tc>
        <w:tc>
          <w:tcPr>
            <w:tcW w:w="320" w:type="dxa"/>
            <w:vAlign w:val="bottom"/>
          </w:tcPr>
          <w:p>
            <w:pPr>
              <w:jc w:val="right"/>
              <w:ind w:right="59"/>
              <w:spacing w:after="0" w:line="203" w:lineRule="exact"/>
              <w:rPr>
                <w:sz w:val="20"/>
                <w:szCs w:val="20"/>
                <w:color w:val="auto"/>
              </w:rPr>
            </w:pPr>
            <w:r>
              <w:rPr>
                <w:rFonts w:ascii="Arial" w:cs="Arial" w:eastAsia="Arial" w:hAnsi="Arial"/>
                <w:sz w:val="20"/>
                <w:szCs w:val="20"/>
                <w:color w:val="231F20"/>
              </w:rPr>
              <w:t>$</w:t>
            </w:r>
          </w:p>
        </w:tc>
        <w:tc>
          <w:tcPr>
            <w:tcW w:w="740" w:type="dxa"/>
            <w:vAlign w:val="bottom"/>
            <w:tcBorders>
              <w:right w:val="single" w:sz="8" w:color="231F20"/>
            </w:tcBorders>
          </w:tcPr>
          <w:p>
            <w:pPr>
              <w:jc w:val="right"/>
              <w:ind w:right="62"/>
              <w:spacing w:after="0" w:line="203" w:lineRule="exact"/>
              <w:rPr>
                <w:sz w:val="20"/>
                <w:szCs w:val="20"/>
                <w:color w:val="auto"/>
              </w:rPr>
            </w:pPr>
            <w:r>
              <w:rPr>
                <w:rFonts w:ascii="Arial" w:cs="Arial" w:eastAsia="Arial" w:hAnsi="Arial"/>
                <w:sz w:val="20"/>
                <w:szCs w:val="20"/>
                <w:color w:val="231F20"/>
              </w:rPr>
              <w:t>22.1</w:t>
            </w:r>
          </w:p>
        </w:tc>
        <w:tc>
          <w:tcPr>
            <w:tcW w:w="340" w:type="dxa"/>
            <w:vAlign w:val="bottom"/>
          </w:tcPr>
          <w:p>
            <w:pPr>
              <w:jc w:val="right"/>
              <w:ind w:right="79"/>
              <w:spacing w:after="0" w:line="203" w:lineRule="exact"/>
              <w:rPr>
                <w:sz w:val="20"/>
                <w:szCs w:val="20"/>
                <w:color w:val="auto"/>
              </w:rPr>
            </w:pPr>
            <w:r>
              <w:rPr>
                <w:rFonts w:ascii="Arial" w:cs="Arial" w:eastAsia="Arial" w:hAnsi="Arial"/>
                <w:sz w:val="20"/>
                <w:szCs w:val="20"/>
                <w:color w:val="231F20"/>
              </w:rPr>
              <w:t>$</w:t>
            </w:r>
          </w:p>
        </w:tc>
        <w:tc>
          <w:tcPr>
            <w:tcW w:w="740" w:type="dxa"/>
            <w:vAlign w:val="bottom"/>
            <w:tcBorders>
              <w:right w:val="single" w:sz="8" w:color="231F20"/>
            </w:tcBorders>
          </w:tcPr>
          <w:p>
            <w:pPr>
              <w:jc w:val="right"/>
              <w:ind w:right="82"/>
              <w:spacing w:after="0" w:line="203" w:lineRule="exact"/>
              <w:rPr>
                <w:sz w:val="20"/>
                <w:szCs w:val="20"/>
                <w:color w:val="auto"/>
              </w:rPr>
            </w:pPr>
            <w:r>
              <w:rPr>
                <w:rFonts w:ascii="Arial" w:cs="Arial" w:eastAsia="Arial" w:hAnsi="Arial"/>
                <w:sz w:val="20"/>
                <w:szCs w:val="20"/>
                <w:color w:val="231F20"/>
              </w:rPr>
              <w:t>16.6</w:t>
            </w:r>
          </w:p>
        </w:tc>
        <w:tc>
          <w:tcPr>
            <w:tcW w:w="360" w:type="dxa"/>
            <w:vAlign w:val="bottom"/>
          </w:tcPr>
          <w:p>
            <w:pPr>
              <w:jc w:val="right"/>
              <w:ind w:right="99"/>
              <w:spacing w:after="0" w:line="203" w:lineRule="exact"/>
              <w:rPr>
                <w:sz w:val="20"/>
                <w:szCs w:val="20"/>
                <w:color w:val="auto"/>
              </w:rPr>
            </w:pPr>
            <w:r>
              <w:rPr>
                <w:rFonts w:ascii="Arial" w:cs="Arial" w:eastAsia="Arial" w:hAnsi="Arial"/>
                <w:sz w:val="20"/>
                <w:szCs w:val="20"/>
                <w:color w:val="231F20"/>
              </w:rPr>
              <w:t>$</w:t>
            </w:r>
          </w:p>
        </w:tc>
        <w:tc>
          <w:tcPr>
            <w:tcW w:w="680" w:type="dxa"/>
            <w:vAlign w:val="bottom"/>
          </w:tcPr>
          <w:p>
            <w:pPr>
              <w:jc w:val="right"/>
              <w:spacing w:after="0" w:line="203" w:lineRule="exact"/>
              <w:rPr>
                <w:sz w:val="20"/>
                <w:szCs w:val="20"/>
                <w:color w:val="auto"/>
              </w:rPr>
            </w:pPr>
            <w:r>
              <w:rPr>
                <w:rFonts w:ascii="Arial" w:cs="Arial" w:eastAsia="Arial" w:hAnsi="Arial"/>
                <w:sz w:val="20"/>
                <w:szCs w:val="20"/>
                <w:color w:val="231F20"/>
              </w:rPr>
              <w:t>17.8</w:t>
            </w:r>
          </w:p>
        </w:tc>
      </w:tr>
      <w:tr>
        <w:trPr>
          <w:trHeight w:val="233"/>
        </w:trPr>
        <w:tc>
          <w:tcPr>
            <w:tcW w:w="4380" w:type="dxa"/>
            <w:vAlign w:val="bottom"/>
          </w:tcPr>
          <w:p>
            <w:pPr>
              <w:jc w:val="right"/>
              <w:spacing w:after="0"/>
              <w:rPr>
                <w:sz w:val="20"/>
                <w:szCs w:val="20"/>
                <w:color w:val="auto"/>
              </w:rPr>
            </w:pPr>
            <w:r>
              <w:rPr>
                <w:rFonts w:ascii="Arial" w:cs="Arial" w:eastAsia="Arial" w:hAnsi="Arial"/>
                <w:sz w:val="20"/>
                <w:szCs w:val="20"/>
                <w:color w:val="231F20"/>
              </w:rPr>
              <w:t xml:space="preserve">Stock option awards </w:t>
            </w:r>
            <w:r>
              <w:rPr>
                <w:rFonts w:ascii="Times New Roman" w:cs="Times New Roman" w:eastAsia="Times New Roman" w:hAnsi="Times New Roman"/>
                <w:sz w:val="20"/>
                <w:szCs w:val="20"/>
                <w:color w:val="231F20"/>
              </w:rPr>
              <w:t>.................................................</w:t>
            </w:r>
          </w:p>
        </w:tc>
        <w:tc>
          <w:tcPr>
            <w:tcW w:w="320" w:type="dxa"/>
            <w:vAlign w:val="bottom"/>
          </w:tcPr>
          <w:p>
            <w:pPr>
              <w:spacing w:after="0"/>
              <w:rPr>
                <w:sz w:val="20"/>
                <w:szCs w:val="20"/>
                <w:color w:val="auto"/>
              </w:rPr>
            </w:pPr>
          </w:p>
        </w:tc>
        <w:tc>
          <w:tcPr>
            <w:tcW w:w="740" w:type="dxa"/>
            <w:vAlign w:val="bottom"/>
            <w:tcBorders>
              <w:right w:val="single" w:sz="8" w:color="231F20"/>
            </w:tcBorders>
          </w:tcPr>
          <w:p>
            <w:pPr>
              <w:jc w:val="right"/>
              <w:ind w:right="62"/>
              <w:spacing w:after="0"/>
              <w:rPr>
                <w:sz w:val="20"/>
                <w:szCs w:val="20"/>
                <w:color w:val="auto"/>
              </w:rPr>
            </w:pPr>
            <w:r>
              <w:rPr>
                <w:rFonts w:ascii="Arial" w:cs="Arial" w:eastAsia="Arial" w:hAnsi="Arial"/>
                <w:sz w:val="20"/>
                <w:szCs w:val="20"/>
                <w:color w:val="231F20"/>
              </w:rPr>
              <w:t>5.3</w:t>
            </w:r>
          </w:p>
        </w:tc>
        <w:tc>
          <w:tcPr>
            <w:tcW w:w="340" w:type="dxa"/>
            <w:vAlign w:val="bottom"/>
          </w:tcPr>
          <w:p>
            <w:pPr>
              <w:spacing w:after="0"/>
              <w:rPr>
                <w:sz w:val="20"/>
                <w:szCs w:val="20"/>
                <w:color w:val="auto"/>
              </w:rPr>
            </w:pPr>
          </w:p>
        </w:tc>
        <w:tc>
          <w:tcPr>
            <w:tcW w:w="740" w:type="dxa"/>
            <w:vAlign w:val="bottom"/>
            <w:tcBorders>
              <w:right w:val="single" w:sz="8" w:color="231F20"/>
            </w:tcBorders>
          </w:tcPr>
          <w:p>
            <w:pPr>
              <w:jc w:val="right"/>
              <w:ind w:right="82"/>
              <w:spacing w:after="0"/>
              <w:rPr>
                <w:sz w:val="20"/>
                <w:szCs w:val="20"/>
                <w:color w:val="auto"/>
              </w:rPr>
            </w:pPr>
            <w:r>
              <w:rPr>
                <w:rFonts w:ascii="Arial" w:cs="Arial" w:eastAsia="Arial" w:hAnsi="Arial"/>
                <w:sz w:val="20"/>
                <w:szCs w:val="20"/>
                <w:color w:val="231F20"/>
              </w:rPr>
              <w:t>6.6</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31F20"/>
              </w:rPr>
              <w:t>5.3</w:t>
            </w:r>
          </w:p>
        </w:tc>
      </w:tr>
      <w:tr>
        <w:trPr>
          <w:trHeight w:val="233"/>
        </w:trPr>
        <w:tc>
          <w:tcPr>
            <w:tcW w:w="4380" w:type="dxa"/>
            <w:vAlign w:val="bottom"/>
          </w:tcPr>
          <w:p>
            <w:pPr>
              <w:jc w:val="right"/>
              <w:spacing w:after="0"/>
              <w:rPr>
                <w:sz w:val="20"/>
                <w:szCs w:val="20"/>
                <w:color w:val="auto"/>
              </w:rPr>
            </w:pPr>
            <w:r>
              <w:rPr>
                <w:rFonts w:ascii="Arial" w:cs="Arial" w:eastAsia="Arial" w:hAnsi="Arial"/>
                <w:sz w:val="20"/>
                <w:szCs w:val="20"/>
                <w:color w:val="231F20"/>
              </w:rPr>
              <w:t xml:space="preserve">Performance awards </w:t>
            </w:r>
            <w:r>
              <w:rPr>
                <w:rFonts w:ascii="Times New Roman" w:cs="Times New Roman" w:eastAsia="Times New Roman" w:hAnsi="Times New Roman"/>
                <w:sz w:val="20"/>
                <w:szCs w:val="20"/>
                <w:color w:val="231F20"/>
              </w:rPr>
              <w:t>................................................</w:t>
            </w:r>
          </w:p>
        </w:tc>
        <w:tc>
          <w:tcPr>
            <w:tcW w:w="320" w:type="dxa"/>
            <w:vAlign w:val="bottom"/>
          </w:tcPr>
          <w:p>
            <w:pPr>
              <w:spacing w:after="0"/>
              <w:rPr>
                <w:sz w:val="20"/>
                <w:szCs w:val="20"/>
                <w:color w:val="auto"/>
              </w:rPr>
            </w:pPr>
          </w:p>
        </w:tc>
        <w:tc>
          <w:tcPr>
            <w:tcW w:w="740" w:type="dxa"/>
            <w:vAlign w:val="bottom"/>
            <w:tcBorders>
              <w:right w:val="single" w:sz="8" w:color="231F20"/>
            </w:tcBorders>
          </w:tcPr>
          <w:p>
            <w:pPr>
              <w:jc w:val="right"/>
              <w:ind w:right="62"/>
              <w:spacing w:after="0"/>
              <w:rPr>
                <w:sz w:val="20"/>
                <w:szCs w:val="20"/>
                <w:color w:val="auto"/>
              </w:rPr>
            </w:pPr>
            <w:r>
              <w:rPr>
                <w:rFonts w:ascii="Arial" w:cs="Arial" w:eastAsia="Arial" w:hAnsi="Arial"/>
                <w:sz w:val="20"/>
                <w:szCs w:val="20"/>
                <w:color w:val="231F20"/>
              </w:rPr>
              <w:t>6.1</w:t>
            </w:r>
          </w:p>
        </w:tc>
        <w:tc>
          <w:tcPr>
            <w:tcW w:w="340" w:type="dxa"/>
            <w:vAlign w:val="bottom"/>
          </w:tcPr>
          <w:p>
            <w:pPr>
              <w:spacing w:after="0"/>
              <w:rPr>
                <w:sz w:val="20"/>
                <w:szCs w:val="20"/>
                <w:color w:val="auto"/>
              </w:rPr>
            </w:pPr>
          </w:p>
        </w:tc>
        <w:tc>
          <w:tcPr>
            <w:tcW w:w="740" w:type="dxa"/>
            <w:vAlign w:val="bottom"/>
            <w:tcBorders>
              <w:right w:val="single" w:sz="8" w:color="231F20"/>
            </w:tcBorders>
          </w:tcPr>
          <w:p>
            <w:pPr>
              <w:jc w:val="right"/>
              <w:ind w:right="82"/>
              <w:spacing w:after="0"/>
              <w:rPr>
                <w:sz w:val="20"/>
                <w:szCs w:val="20"/>
                <w:color w:val="auto"/>
              </w:rPr>
            </w:pPr>
            <w:r>
              <w:rPr>
                <w:rFonts w:ascii="Arial" w:cs="Arial" w:eastAsia="Arial" w:hAnsi="Arial"/>
                <w:sz w:val="20"/>
                <w:szCs w:val="20"/>
                <w:color w:val="231F20"/>
              </w:rPr>
              <w:t>15.6</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231F20"/>
              </w:rPr>
              <w:t>20.7</w:t>
            </w:r>
          </w:p>
        </w:tc>
      </w:tr>
      <w:tr>
        <w:trPr>
          <w:trHeight w:val="253"/>
        </w:trPr>
        <w:tc>
          <w:tcPr>
            <w:tcW w:w="43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Director awards </w:t>
            </w:r>
            <w:r>
              <w:rPr>
                <w:rFonts w:ascii="Times New Roman" w:cs="Times New Roman" w:eastAsia="Times New Roman" w:hAnsi="Times New Roman"/>
                <w:sz w:val="20"/>
                <w:szCs w:val="20"/>
                <w:color w:val="231F20"/>
              </w:rPr>
              <w:t>.........................................................</w:t>
            </w:r>
          </w:p>
        </w:tc>
        <w:tc>
          <w:tcPr>
            <w:tcW w:w="320" w:type="dxa"/>
            <w:vAlign w:val="bottom"/>
            <w:tcBorders>
              <w:bottom w:val="single" w:sz="8" w:color="231F20"/>
            </w:tcBorders>
          </w:tcPr>
          <w:p>
            <w:pPr>
              <w:spacing w:after="0"/>
              <w:rPr>
                <w:sz w:val="22"/>
                <w:szCs w:val="22"/>
                <w:color w:val="auto"/>
              </w:rPr>
            </w:pPr>
          </w:p>
        </w:tc>
        <w:tc>
          <w:tcPr>
            <w:tcW w:w="740" w:type="dxa"/>
            <w:vAlign w:val="bottom"/>
            <w:tcBorders>
              <w:bottom w:val="single" w:sz="8" w:color="231F20"/>
              <w:right w:val="single" w:sz="8" w:color="231F20"/>
            </w:tcBorders>
          </w:tcPr>
          <w:p>
            <w:pPr>
              <w:jc w:val="right"/>
              <w:ind w:right="62"/>
              <w:spacing w:after="0"/>
              <w:rPr>
                <w:sz w:val="20"/>
                <w:szCs w:val="20"/>
                <w:color w:val="auto"/>
              </w:rPr>
            </w:pPr>
            <w:r>
              <w:rPr>
                <w:rFonts w:ascii="Arial" w:cs="Arial" w:eastAsia="Arial" w:hAnsi="Arial"/>
                <w:sz w:val="20"/>
                <w:szCs w:val="20"/>
                <w:color w:val="231F20"/>
              </w:rPr>
              <w:t>1.7</w:t>
            </w:r>
          </w:p>
        </w:tc>
        <w:tc>
          <w:tcPr>
            <w:tcW w:w="340" w:type="dxa"/>
            <w:vAlign w:val="bottom"/>
            <w:tcBorders>
              <w:bottom w:val="single" w:sz="8" w:color="231F20"/>
            </w:tcBorders>
          </w:tcPr>
          <w:p>
            <w:pPr>
              <w:spacing w:after="0"/>
              <w:rPr>
                <w:sz w:val="22"/>
                <w:szCs w:val="22"/>
                <w:color w:val="auto"/>
              </w:rPr>
            </w:pPr>
          </w:p>
        </w:tc>
        <w:tc>
          <w:tcPr>
            <w:tcW w:w="740" w:type="dxa"/>
            <w:vAlign w:val="bottom"/>
            <w:tcBorders>
              <w:bottom w:val="single" w:sz="8" w:color="231F20"/>
              <w:right w:val="single" w:sz="8" w:color="231F20"/>
            </w:tcBorders>
          </w:tcPr>
          <w:p>
            <w:pPr>
              <w:jc w:val="right"/>
              <w:ind w:right="82"/>
              <w:spacing w:after="0"/>
              <w:rPr>
                <w:sz w:val="20"/>
                <w:szCs w:val="20"/>
                <w:color w:val="auto"/>
              </w:rPr>
            </w:pPr>
            <w:r>
              <w:rPr>
                <w:rFonts w:ascii="Arial" w:cs="Arial" w:eastAsia="Arial" w:hAnsi="Arial"/>
                <w:sz w:val="20"/>
                <w:szCs w:val="20"/>
                <w:color w:val="231F20"/>
              </w:rPr>
              <w:t>1.3</w:t>
            </w:r>
          </w:p>
        </w:tc>
        <w:tc>
          <w:tcPr>
            <w:tcW w:w="360" w:type="dxa"/>
            <w:vAlign w:val="bottom"/>
            <w:tcBorders>
              <w:bottom w:val="single" w:sz="8" w:color="231F20"/>
            </w:tcBorders>
          </w:tcPr>
          <w:p>
            <w:pPr>
              <w:spacing w:after="0"/>
              <w:rPr>
                <w:sz w:val="22"/>
                <w:szCs w:val="22"/>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1.3</w:t>
            </w:r>
          </w:p>
        </w:tc>
      </w:tr>
      <w:tr>
        <w:trPr>
          <w:trHeight w:val="202"/>
        </w:trPr>
        <w:tc>
          <w:tcPr>
            <w:tcW w:w="4380" w:type="dxa"/>
            <w:vAlign w:val="bottom"/>
          </w:tcPr>
          <w:p>
            <w:pPr>
              <w:jc w:val="right"/>
              <w:spacing w:after="0" w:line="202" w:lineRule="exact"/>
              <w:rPr>
                <w:sz w:val="20"/>
                <w:szCs w:val="20"/>
                <w:color w:val="auto"/>
              </w:rPr>
            </w:pPr>
            <w:r>
              <w:rPr>
                <w:rFonts w:ascii="Arial" w:cs="Arial" w:eastAsia="Arial" w:hAnsi="Arial"/>
                <w:sz w:val="20"/>
                <w:szCs w:val="20"/>
                <w:color w:val="231F20"/>
              </w:rPr>
              <w:t>Total pre-tax expense</w:t>
            </w:r>
            <w:r>
              <w:rPr>
                <w:rFonts w:ascii="Times New Roman" w:cs="Times New Roman" w:eastAsia="Times New Roman" w:hAnsi="Times New Roman"/>
                <w:sz w:val="20"/>
                <w:szCs w:val="20"/>
                <w:color w:val="231F20"/>
              </w:rPr>
              <w:t>.........................................</w:t>
            </w:r>
          </w:p>
        </w:tc>
        <w:tc>
          <w:tcPr>
            <w:tcW w:w="320" w:type="dxa"/>
            <w:vAlign w:val="bottom"/>
          </w:tcPr>
          <w:p>
            <w:pPr>
              <w:spacing w:after="0"/>
              <w:rPr>
                <w:sz w:val="17"/>
                <w:szCs w:val="17"/>
                <w:color w:val="auto"/>
              </w:rPr>
            </w:pPr>
          </w:p>
        </w:tc>
        <w:tc>
          <w:tcPr>
            <w:tcW w:w="740" w:type="dxa"/>
            <w:vAlign w:val="bottom"/>
            <w:tcBorders>
              <w:right w:val="single" w:sz="8" w:color="231F20"/>
            </w:tcBorders>
          </w:tcPr>
          <w:p>
            <w:pPr>
              <w:jc w:val="right"/>
              <w:ind w:right="62"/>
              <w:spacing w:after="0" w:line="203" w:lineRule="exact"/>
              <w:rPr>
                <w:sz w:val="20"/>
                <w:szCs w:val="20"/>
                <w:color w:val="auto"/>
              </w:rPr>
            </w:pPr>
            <w:r>
              <w:rPr>
                <w:rFonts w:ascii="Arial" w:cs="Arial" w:eastAsia="Arial" w:hAnsi="Arial"/>
                <w:sz w:val="20"/>
                <w:szCs w:val="20"/>
                <w:color w:val="231F20"/>
              </w:rPr>
              <w:t>35.2</w:t>
            </w:r>
          </w:p>
        </w:tc>
        <w:tc>
          <w:tcPr>
            <w:tcW w:w="340" w:type="dxa"/>
            <w:vAlign w:val="bottom"/>
          </w:tcPr>
          <w:p>
            <w:pPr>
              <w:spacing w:after="0"/>
              <w:rPr>
                <w:sz w:val="17"/>
                <w:szCs w:val="17"/>
                <w:color w:val="auto"/>
              </w:rPr>
            </w:pPr>
          </w:p>
        </w:tc>
        <w:tc>
          <w:tcPr>
            <w:tcW w:w="740" w:type="dxa"/>
            <w:vAlign w:val="bottom"/>
            <w:tcBorders>
              <w:right w:val="single" w:sz="8" w:color="231F20"/>
            </w:tcBorders>
          </w:tcPr>
          <w:p>
            <w:pPr>
              <w:jc w:val="right"/>
              <w:ind w:right="82"/>
              <w:spacing w:after="0" w:line="203" w:lineRule="exact"/>
              <w:rPr>
                <w:sz w:val="20"/>
                <w:szCs w:val="20"/>
                <w:color w:val="auto"/>
              </w:rPr>
            </w:pPr>
            <w:r>
              <w:rPr>
                <w:rFonts w:ascii="Arial" w:cs="Arial" w:eastAsia="Arial" w:hAnsi="Arial"/>
                <w:sz w:val="20"/>
                <w:szCs w:val="20"/>
                <w:color w:val="231F20"/>
              </w:rPr>
              <w:t>40.1</w:t>
            </w:r>
          </w:p>
        </w:tc>
        <w:tc>
          <w:tcPr>
            <w:tcW w:w="3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20"/>
                <w:szCs w:val="20"/>
                <w:color w:val="231F20"/>
              </w:rPr>
              <w:t>45.1</w:t>
            </w:r>
          </w:p>
        </w:tc>
      </w:tr>
      <w:tr>
        <w:trPr>
          <w:trHeight w:val="253"/>
        </w:trPr>
        <w:tc>
          <w:tcPr>
            <w:tcW w:w="43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Tax benefit </w:t>
            </w:r>
            <w:r>
              <w:rPr>
                <w:rFonts w:ascii="Times New Roman" w:cs="Times New Roman" w:eastAsia="Times New Roman" w:hAnsi="Times New Roman"/>
                <w:sz w:val="20"/>
                <w:szCs w:val="20"/>
                <w:color w:val="231F20"/>
              </w:rPr>
              <w:t>.................................................................</w:t>
            </w:r>
          </w:p>
        </w:tc>
        <w:tc>
          <w:tcPr>
            <w:tcW w:w="320" w:type="dxa"/>
            <w:vAlign w:val="bottom"/>
            <w:tcBorders>
              <w:bottom w:val="single" w:sz="8" w:color="231F20"/>
            </w:tcBorders>
          </w:tcPr>
          <w:p>
            <w:pPr>
              <w:spacing w:after="0"/>
              <w:rPr>
                <w:sz w:val="22"/>
                <w:szCs w:val="22"/>
                <w:color w:val="auto"/>
              </w:rPr>
            </w:pPr>
          </w:p>
        </w:tc>
        <w:tc>
          <w:tcPr>
            <w:tcW w:w="740" w:type="dxa"/>
            <w:vAlign w:val="bottom"/>
            <w:tcBorders>
              <w:bottom w:val="single" w:sz="8" w:color="231F20"/>
              <w:right w:val="single" w:sz="8" w:color="231F20"/>
            </w:tcBorders>
          </w:tcPr>
          <w:p>
            <w:pPr>
              <w:jc w:val="right"/>
              <w:ind w:right="62"/>
              <w:spacing w:after="0"/>
              <w:rPr>
                <w:sz w:val="20"/>
                <w:szCs w:val="20"/>
                <w:color w:val="auto"/>
              </w:rPr>
            </w:pPr>
            <w:r>
              <w:rPr>
                <w:rFonts w:ascii="Arial" w:cs="Arial" w:eastAsia="Arial" w:hAnsi="Arial"/>
                <w:sz w:val="20"/>
                <w:szCs w:val="20"/>
                <w:color w:val="231F20"/>
              </w:rPr>
              <w:t>7.9</w:t>
            </w:r>
          </w:p>
        </w:tc>
        <w:tc>
          <w:tcPr>
            <w:tcW w:w="340" w:type="dxa"/>
            <w:vAlign w:val="bottom"/>
            <w:tcBorders>
              <w:bottom w:val="single" w:sz="8" w:color="231F20"/>
            </w:tcBorders>
          </w:tcPr>
          <w:p>
            <w:pPr>
              <w:spacing w:after="0"/>
              <w:rPr>
                <w:sz w:val="22"/>
                <w:szCs w:val="22"/>
                <w:color w:val="auto"/>
              </w:rPr>
            </w:pPr>
          </w:p>
        </w:tc>
        <w:tc>
          <w:tcPr>
            <w:tcW w:w="740" w:type="dxa"/>
            <w:vAlign w:val="bottom"/>
            <w:tcBorders>
              <w:bottom w:val="single" w:sz="8" w:color="231F20"/>
              <w:right w:val="single" w:sz="8" w:color="231F20"/>
            </w:tcBorders>
          </w:tcPr>
          <w:p>
            <w:pPr>
              <w:jc w:val="right"/>
              <w:ind w:right="82"/>
              <w:spacing w:after="0"/>
              <w:rPr>
                <w:sz w:val="20"/>
                <w:szCs w:val="20"/>
                <w:color w:val="auto"/>
              </w:rPr>
            </w:pPr>
            <w:r>
              <w:rPr>
                <w:rFonts w:ascii="Arial" w:cs="Arial" w:eastAsia="Arial" w:hAnsi="Arial"/>
                <w:sz w:val="20"/>
                <w:szCs w:val="20"/>
                <w:color w:val="231F20"/>
              </w:rPr>
              <w:t>9.2</w:t>
            </w:r>
          </w:p>
        </w:tc>
        <w:tc>
          <w:tcPr>
            <w:tcW w:w="360" w:type="dxa"/>
            <w:vAlign w:val="bottom"/>
            <w:tcBorders>
              <w:bottom w:val="single" w:sz="8" w:color="231F20"/>
            </w:tcBorders>
          </w:tcPr>
          <w:p>
            <w:pPr>
              <w:spacing w:after="0"/>
              <w:rPr>
                <w:sz w:val="22"/>
                <w:szCs w:val="22"/>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7.9</w:t>
            </w:r>
          </w:p>
        </w:tc>
      </w:tr>
      <w:tr>
        <w:trPr>
          <w:trHeight w:val="248"/>
        </w:trPr>
        <w:tc>
          <w:tcPr>
            <w:tcW w:w="43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Total after tax expense</w:t>
            </w:r>
            <w:r>
              <w:rPr>
                <w:rFonts w:ascii="Times New Roman" w:cs="Times New Roman" w:eastAsia="Times New Roman" w:hAnsi="Times New Roman"/>
                <w:sz w:val="20"/>
                <w:szCs w:val="20"/>
                <w:color w:val="231F20"/>
              </w:rPr>
              <w:t>.......................................</w:t>
            </w:r>
          </w:p>
        </w:tc>
        <w:tc>
          <w:tcPr>
            <w:tcW w:w="320" w:type="dxa"/>
            <w:vAlign w:val="bottom"/>
            <w:tcBorders>
              <w:bottom w:val="single" w:sz="8" w:color="231F20"/>
            </w:tcBorders>
          </w:tcPr>
          <w:p>
            <w:pPr>
              <w:jc w:val="right"/>
              <w:ind w:right="59"/>
              <w:spacing w:after="0" w:line="223" w:lineRule="exact"/>
              <w:rPr>
                <w:sz w:val="20"/>
                <w:szCs w:val="20"/>
                <w:color w:val="auto"/>
              </w:rPr>
            </w:pPr>
            <w:r>
              <w:rPr>
                <w:rFonts w:ascii="Arial" w:cs="Arial" w:eastAsia="Arial" w:hAnsi="Arial"/>
                <w:sz w:val="20"/>
                <w:szCs w:val="20"/>
                <w:color w:val="231F20"/>
              </w:rPr>
              <w:t>$</w:t>
            </w:r>
          </w:p>
        </w:tc>
        <w:tc>
          <w:tcPr>
            <w:tcW w:w="740" w:type="dxa"/>
            <w:vAlign w:val="bottom"/>
            <w:tcBorders>
              <w:bottom w:val="single" w:sz="8" w:color="231F20"/>
              <w:right w:val="single" w:sz="8" w:color="231F20"/>
            </w:tcBorders>
          </w:tcPr>
          <w:p>
            <w:pPr>
              <w:jc w:val="right"/>
              <w:ind w:right="62"/>
              <w:spacing w:after="0" w:line="223" w:lineRule="exact"/>
              <w:rPr>
                <w:sz w:val="20"/>
                <w:szCs w:val="20"/>
                <w:color w:val="auto"/>
              </w:rPr>
            </w:pPr>
            <w:r>
              <w:rPr>
                <w:rFonts w:ascii="Arial" w:cs="Arial" w:eastAsia="Arial" w:hAnsi="Arial"/>
                <w:sz w:val="20"/>
                <w:szCs w:val="20"/>
                <w:color w:val="231F20"/>
              </w:rPr>
              <w:t>27.3</w:t>
            </w:r>
          </w:p>
        </w:tc>
        <w:tc>
          <w:tcPr>
            <w:tcW w:w="340" w:type="dxa"/>
            <w:vAlign w:val="bottom"/>
            <w:tcBorders>
              <w:bottom w:val="single" w:sz="8" w:color="231F20"/>
            </w:tcBorders>
          </w:tcPr>
          <w:p>
            <w:pPr>
              <w:jc w:val="right"/>
              <w:ind w:right="79"/>
              <w:spacing w:after="0" w:line="223" w:lineRule="exact"/>
              <w:rPr>
                <w:sz w:val="20"/>
                <w:szCs w:val="20"/>
                <w:color w:val="auto"/>
              </w:rPr>
            </w:pPr>
            <w:r>
              <w:rPr>
                <w:rFonts w:ascii="Arial" w:cs="Arial" w:eastAsia="Arial" w:hAnsi="Arial"/>
                <w:sz w:val="20"/>
                <w:szCs w:val="20"/>
                <w:color w:val="231F20"/>
              </w:rPr>
              <w:t>$</w:t>
            </w:r>
          </w:p>
        </w:tc>
        <w:tc>
          <w:tcPr>
            <w:tcW w:w="740" w:type="dxa"/>
            <w:vAlign w:val="bottom"/>
            <w:tcBorders>
              <w:bottom w:val="single" w:sz="8" w:color="231F20"/>
              <w:right w:val="single" w:sz="8" w:color="231F20"/>
            </w:tcBorders>
          </w:tcPr>
          <w:p>
            <w:pPr>
              <w:jc w:val="right"/>
              <w:ind w:right="82"/>
              <w:spacing w:after="0" w:line="223" w:lineRule="exact"/>
              <w:rPr>
                <w:sz w:val="20"/>
                <w:szCs w:val="20"/>
                <w:color w:val="auto"/>
              </w:rPr>
            </w:pPr>
            <w:r>
              <w:rPr>
                <w:rFonts w:ascii="Arial" w:cs="Arial" w:eastAsia="Arial" w:hAnsi="Arial"/>
                <w:sz w:val="20"/>
                <w:szCs w:val="20"/>
                <w:color w:val="231F20"/>
              </w:rPr>
              <w:t>30.9</w:t>
            </w:r>
          </w:p>
        </w:tc>
        <w:tc>
          <w:tcPr>
            <w:tcW w:w="360" w:type="dxa"/>
            <w:vAlign w:val="bottom"/>
            <w:tcBorders>
              <w:bottom w:val="single" w:sz="8" w:color="231F20"/>
            </w:tcBorders>
          </w:tcPr>
          <w:p>
            <w:pPr>
              <w:jc w:val="right"/>
              <w:ind w:right="99"/>
              <w:spacing w:after="0" w:line="223" w:lineRule="exact"/>
              <w:rPr>
                <w:sz w:val="20"/>
                <w:szCs w:val="20"/>
                <w:color w:val="auto"/>
              </w:rPr>
            </w:pPr>
            <w:r>
              <w:rPr>
                <w:rFonts w:ascii="Arial" w:cs="Arial" w:eastAsia="Arial" w:hAnsi="Arial"/>
                <w:sz w:val="20"/>
                <w:szCs w:val="20"/>
                <w:color w:val="231F20"/>
              </w:rPr>
              <w:t>$</w:t>
            </w:r>
          </w:p>
        </w:tc>
        <w:tc>
          <w:tcPr>
            <w:tcW w:w="6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37.2</w:t>
            </w:r>
          </w:p>
        </w:tc>
      </w:tr>
    </w:tbl>
    <w:p>
      <w:pPr>
        <w:spacing w:after="0" w:line="190" w:lineRule="exact"/>
        <w:rPr>
          <w:sz w:val="20"/>
          <w:szCs w:val="20"/>
          <w:color w:val="auto"/>
        </w:rPr>
      </w:pPr>
    </w:p>
    <w:p>
      <w:pPr>
        <w:ind w:right="240"/>
        <w:spacing w:after="0" w:line="265" w:lineRule="auto"/>
        <w:rPr>
          <w:sz w:val="20"/>
          <w:szCs w:val="20"/>
          <w:color w:val="auto"/>
        </w:rPr>
      </w:pPr>
      <w:r>
        <w:rPr>
          <w:rFonts w:ascii="Arial" w:cs="Arial" w:eastAsia="Arial" w:hAnsi="Arial"/>
          <w:sz w:val="20"/>
          <w:szCs w:val="20"/>
          <w:color w:val="231F20"/>
        </w:rPr>
        <w:t>Included in compensation costs are cash-settled RSUs of $1.3 million, $0.3 million and $3.3 million that are classified as a liability as of December 30, 2023, December 31, 2022 and December 31, 2021, respectively. Compensation costs that were capitalized in inventory were not material.</w:t>
      </w:r>
    </w:p>
    <w:p>
      <w:pPr>
        <w:spacing w:after="0" w:line="169"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231F20"/>
        </w:rPr>
        <w:t>In connection with the Separation, outstanding equity awards granted to Company service providers were adjusted to preserve the intrinsic value of the awards held immediately before and after the Separation, with unvested annual PSAs converting into time-based RSUs (“Adjusted RSUs”). All outstanding equity awards granted to MasterBrand service providers were converted into replacement awards of MasterBrand equity under the same methodology and ceased to represent equity awards with respect to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Restricted Stock Units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0"/>
          <w:szCs w:val="20"/>
          <w:color w:val="231F20"/>
        </w:rPr>
        <w:t>RSUs have been granted to officers and certain employees of the Company and represent the right to receive shares of Company common stock subject to continued employment through each vesting date. RSUs generally vest ratably over a three-year period, with the exception of the RSUs that were converted from PSAs, which vest at the end of the original three-year performance cycles. In addition, certain employees can elect to defer receipt of a portion of their RSU awards upon vesting. Compensation cost is recognized over the service period. We calculate the fair value of each RSU granted by using the average of the high and low share prices on the date of grant.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231F20"/>
        </w:rPr>
        <w:t>A summary of activity with respect to RSUs outstanding under the Plans for the year ended</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231F20"/>
        </w:rPr>
        <w:t>December 30, 2023 was as follows:</w:t>
      </w:r>
    </w:p>
    <w:p>
      <w:pPr>
        <w:spacing w:after="0" w:line="185"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5180" w:type="dxa"/>
            <w:vAlign w:val="bottom"/>
            <w:tcBorders>
              <w:top w:val="single" w:sz="8" w:color="231F20"/>
            </w:tcBorders>
          </w:tcPr>
          <w:p>
            <w:pPr>
              <w:spacing w:after="0"/>
              <w:rPr>
                <w:sz w:val="14"/>
                <w:szCs w:val="14"/>
                <w:color w:val="auto"/>
              </w:rPr>
            </w:pPr>
          </w:p>
        </w:tc>
        <w:tc>
          <w:tcPr>
            <w:tcW w:w="1160" w:type="dxa"/>
            <w:vAlign w:val="bottom"/>
            <w:tcBorders>
              <w:top w:val="single" w:sz="8" w:color="231F20"/>
            </w:tcBorders>
            <w:vMerge w:val="restart"/>
          </w:tcPr>
          <w:p>
            <w:pPr>
              <w:jc w:val="right"/>
              <w:ind w:right="48"/>
              <w:spacing w:after="0"/>
              <w:rPr>
                <w:sz w:val="20"/>
                <w:szCs w:val="20"/>
                <w:color w:val="auto"/>
              </w:rPr>
            </w:pPr>
            <w:r>
              <w:rPr>
                <w:rFonts w:ascii="Arial" w:cs="Arial" w:eastAsia="Arial" w:hAnsi="Arial"/>
                <w:sz w:val="15"/>
                <w:szCs w:val="15"/>
                <w:color w:val="231F20"/>
              </w:rPr>
              <w:t>Number of</w:t>
            </w:r>
          </w:p>
        </w:tc>
        <w:tc>
          <w:tcPr>
            <w:tcW w:w="280" w:type="dxa"/>
            <w:vAlign w:val="bottom"/>
            <w:tcBorders>
              <w:top w:val="single" w:sz="8" w:color="231F20"/>
            </w:tcBorders>
          </w:tcPr>
          <w:p>
            <w:pPr>
              <w:spacing w:after="0"/>
              <w:rPr>
                <w:sz w:val="14"/>
                <w:szCs w:val="14"/>
                <w:color w:val="auto"/>
              </w:rPr>
            </w:pPr>
          </w:p>
        </w:tc>
        <w:tc>
          <w:tcPr>
            <w:tcW w:w="940" w:type="dxa"/>
            <w:vAlign w:val="bottom"/>
            <w:tcBorders>
              <w:top w:val="single" w:sz="8" w:color="231F20"/>
            </w:tcBorders>
          </w:tcPr>
          <w:p>
            <w:pPr>
              <w:jc w:val="right"/>
              <w:spacing w:after="0" w:line="170" w:lineRule="exact"/>
              <w:rPr>
                <w:sz w:val="20"/>
                <w:szCs w:val="20"/>
                <w:color w:val="auto"/>
              </w:rPr>
            </w:pPr>
            <w:r>
              <w:rPr>
                <w:rFonts w:ascii="Arial" w:cs="Arial" w:eastAsia="Arial" w:hAnsi="Arial"/>
                <w:sz w:val="15"/>
                <w:szCs w:val="15"/>
                <w:color w:val="231F20"/>
              </w:rPr>
              <w:t>Weighted-</w:t>
            </w:r>
          </w:p>
        </w:tc>
        <w:tc>
          <w:tcPr>
            <w:tcW w:w="0" w:type="dxa"/>
            <w:vAlign w:val="bottom"/>
          </w:tcPr>
          <w:p>
            <w:pPr>
              <w:spacing w:after="0"/>
              <w:rPr>
                <w:sz w:val="1"/>
                <w:szCs w:val="1"/>
                <w:color w:val="auto"/>
              </w:rPr>
            </w:pPr>
          </w:p>
        </w:tc>
      </w:tr>
      <w:tr>
        <w:trPr>
          <w:trHeight w:val="174"/>
        </w:trPr>
        <w:tc>
          <w:tcPr>
            <w:tcW w:w="5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231F20"/>
              </w:rPr>
              <w:t>Average</w:t>
            </w:r>
          </w:p>
        </w:tc>
        <w:tc>
          <w:tcPr>
            <w:tcW w:w="0" w:type="dxa"/>
            <w:vAlign w:val="bottom"/>
          </w:tcPr>
          <w:p>
            <w:pPr>
              <w:spacing w:after="0"/>
              <w:rPr>
                <w:sz w:val="1"/>
                <w:szCs w:val="1"/>
                <w:color w:val="auto"/>
              </w:rPr>
            </w:pPr>
          </w:p>
        </w:tc>
      </w:tr>
      <w:tr>
        <w:trPr>
          <w:trHeight w:val="174"/>
        </w:trPr>
        <w:tc>
          <w:tcPr>
            <w:tcW w:w="51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5"/>
                <w:szCs w:val="15"/>
                <w:color w:val="231F20"/>
              </w:rPr>
              <w:t>Restricted</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231F20"/>
              </w:rPr>
              <w:t>Grant-Date</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231F20"/>
            </w:tcBorders>
          </w:tcPr>
          <w:p>
            <w:pPr>
              <w:spacing w:after="0"/>
              <w:rPr>
                <w:sz w:val="16"/>
                <w:szCs w:val="16"/>
                <w:color w:val="auto"/>
              </w:rPr>
            </w:pPr>
          </w:p>
        </w:tc>
        <w:tc>
          <w:tcPr>
            <w:tcW w:w="1160" w:type="dxa"/>
            <w:vAlign w:val="bottom"/>
            <w:tcBorders>
              <w:bottom w:val="single" w:sz="8" w:color="231F20"/>
            </w:tcBorders>
          </w:tcPr>
          <w:p>
            <w:pPr>
              <w:jc w:val="right"/>
              <w:ind w:right="48"/>
              <w:spacing w:after="0"/>
              <w:rPr>
                <w:sz w:val="20"/>
                <w:szCs w:val="20"/>
                <w:color w:val="auto"/>
              </w:rPr>
            </w:pPr>
            <w:r>
              <w:rPr>
                <w:rFonts w:ascii="Arial" w:cs="Arial" w:eastAsia="Arial" w:hAnsi="Arial"/>
                <w:sz w:val="15"/>
                <w:szCs w:val="15"/>
                <w:color w:val="231F20"/>
              </w:rPr>
              <w:t>Stock Units</w:t>
            </w:r>
          </w:p>
        </w:tc>
        <w:tc>
          <w:tcPr>
            <w:tcW w:w="28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Fair Value</w:t>
            </w:r>
          </w:p>
        </w:tc>
        <w:tc>
          <w:tcPr>
            <w:tcW w:w="0" w:type="dxa"/>
            <w:vAlign w:val="bottom"/>
          </w:tcPr>
          <w:p>
            <w:pPr>
              <w:spacing w:after="0"/>
              <w:rPr>
                <w:sz w:val="1"/>
                <w:szCs w:val="1"/>
                <w:color w:val="auto"/>
              </w:rPr>
            </w:pPr>
          </w:p>
        </w:tc>
      </w:tr>
      <w:tr>
        <w:trPr>
          <w:trHeight w:val="202"/>
        </w:trPr>
        <w:tc>
          <w:tcPr>
            <w:tcW w:w="5180" w:type="dxa"/>
            <w:vAlign w:val="bottom"/>
          </w:tcPr>
          <w:p>
            <w:pPr>
              <w:jc w:val="right"/>
              <w:ind w:right="19"/>
              <w:spacing w:after="0" w:line="202" w:lineRule="exact"/>
              <w:rPr>
                <w:sz w:val="20"/>
                <w:szCs w:val="20"/>
                <w:color w:val="auto"/>
              </w:rPr>
            </w:pPr>
            <w:r>
              <w:rPr>
                <w:rFonts w:ascii="Arial" w:cs="Arial" w:eastAsia="Arial" w:hAnsi="Arial"/>
                <w:sz w:val="20"/>
                <w:szCs w:val="20"/>
                <w:color w:val="231F20"/>
              </w:rPr>
              <w:t xml:space="preserve">Non-vested at December 31, 2022 </w:t>
            </w:r>
            <w:r>
              <w:rPr>
                <w:rFonts w:ascii="Times New Roman" w:cs="Times New Roman" w:eastAsia="Times New Roman" w:hAnsi="Times New Roman"/>
                <w:sz w:val="20"/>
                <w:szCs w:val="20"/>
                <w:color w:val="231F20"/>
              </w:rPr>
              <w:t>......................................</w:t>
            </w:r>
          </w:p>
        </w:tc>
        <w:tc>
          <w:tcPr>
            <w:tcW w:w="1160" w:type="dxa"/>
            <w:vAlign w:val="bottom"/>
          </w:tcPr>
          <w:p>
            <w:pPr>
              <w:jc w:val="right"/>
              <w:ind w:right="48"/>
              <w:spacing w:after="0" w:line="203" w:lineRule="exact"/>
              <w:rPr>
                <w:sz w:val="20"/>
                <w:szCs w:val="20"/>
                <w:color w:val="auto"/>
              </w:rPr>
            </w:pPr>
            <w:r>
              <w:rPr>
                <w:rFonts w:ascii="Arial" w:cs="Arial" w:eastAsia="Arial" w:hAnsi="Arial"/>
                <w:sz w:val="20"/>
                <w:szCs w:val="20"/>
                <w:color w:val="231F20"/>
              </w:rPr>
              <w:t>1,178,326</w:t>
            </w:r>
          </w:p>
        </w:tc>
        <w:tc>
          <w:tcPr>
            <w:tcW w:w="28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940" w:type="dxa"/>
            <w:vAlign w:val="bottom"/>
          </w:tcPr>
          <w:p>
            <w:pPr>
              <w:jc w:val="right"/>
              <w:spacing w:after="0" w:line="203" w:lineRule="exact"/>
              <w:rPr>
                <w:sz w:val="20"/>
                <w:szCs w:val="20"/>
                <w:color w:val="auto"/>
              </w:rPr>
            </w:pPr>
            <w:r>
              <w:rPr>
                <w:rFonts w:ascii="Arial" w:cs="Arial" w:eastAsia="Arial" w:hAnsi="Arial"/>
                <w:sz w:val="20"/>
                <w:szCs w:val="20"/>
                <w:color w:val="231F20"/>
              </w:rPr>
              <w:t>69.65</w:t>
            </w:r>
          </w:p>
        </w:tc>
        <w:tc>
          <w:tcPr>
            <w:tcW w:w="0" w:type="dxa"/>
            <w:vAlign w:val="bottom"/>
          </w:tcPr>
          <w:p>
            <w:pPr>
              <w:spacing w:after="0"/>
              <w:rPr>
                <w:sz w:val="1"/>
                <w:szCs w:val="1"/>
                <w:color w:val="auto"/>
              </w:rPr>
            </w:pPr>
          </w:p>
        </w:tc>
      </w:tr>
      <w:tr>
        <w:trPr>
          <w:trHeight w:val="233"/>
        </w:trPr>
        <w:tc>
          <w:tcPr>
            <w:tcW w:w="5180" w:type="dxa"/>
            <w:vAlign w:val="bottom"/>
          </w:tcPr>
          <w:p>
            <w:pPr>
              <w:jc w:val="right"/>
              <w:ind w:right="39"/>
              <w:spacing w:after="0"/>
              <w:rPr>
                <w:sz w:val="20"/>
                <w:szCs w:val="20"/>
                <w:color w:val="auto"/>
              </w:rPr>
            </w:pPr>
            <w:r>
              <w:rPr>
                <w:rFonts w:ascii="Arial" w:cs="Arial" w:eastAsia="Arial" w:hAnsi="Arial"/>
                <w:sz w:val="20"/>
                <w:szCs w:val="20"/>
                <w:color w:val="231F20"/>
              </w:rPr>
              <w:t xml:space="preserve">Granted </w:t>
            </w:r>
            <w:r>
              <w:rPr>
                <w:rFonts w:ascii="Times New Roman" w:cs="Times New Roman" w:eastAsia="Times New Roman" w:hAnsi="Times New Roman"/>
                <w:sz w:val="20"/>
                <w:szCs w:val="20"/>
                <w:color w:val="231F20"/>
              </w:rPr>
              <w:t>...............................................................................</w:t>
            </w:r>
          </w:p>
        </w:tc>
        <w:tc>
          <w:tcPr>
            <w:tcW w:w="1160" w:type="dxa"/>
            <w:vAlign w:val="bottom"/>
          </w:tcPr>
          <w:p>
            <w:pPr>
              <w:jc w:val="right"/>
              <w:ind w:right="48"/>
              <w:spacing w:after="0"/>
              <w:rPr>
                <w:sz w:val="20"/>
                <w:szCs w:val="20"/>
                <w:color w:val="auto"/>
              </w:rPr>
            </w:pPr>
            <w:r>
              <w:rPr>
                <w:rFonts w:ascii="Arial" w:cs="Arial" w:eastAsia="Arial" w:hAnsi="Arial"/>
                <w:sz w:val="20"/>
                <w:szCs w:val="20"/>
                <w:color w:val="231F20"/>
              </w:rPr>
              <w:t>281,945</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62.98</w:t>
            </w:r>
          </w:p>
        </w:tc>
        <w:tc>
          <w:tcPr>
            <w:tcW w:w="0" w:type="dxa"/>
            <w:vAlign w:val="bottom"/>
          </w:tcPr>
          <w:p>
            <w:pPr>
              <w:spacing w:after="0"/>
              <w:rPr>
                <w:sz w:val="1"/>
                <w:szCs w:val="1"/>
                <w:color w:val="auto"/>
              </w:rPr>
            </w:pPr>
          </w:p>
        </w:tc>
      </w:tr>
      <w:tr>
        <w:trPr>
          <w:trHeight w:val="233"/>
        </w:trPr>
        <w:tc>
          <w:tcPr>
            <w:tcW w:w="5180" w:type="dxa"/>
            <w:vAlign w:val="bottom"/>
          </w:tcPr>
          <w:p>
            <w:pPr>
              <w:jc w:val="right"/>
              <w:ind w:right="19"/>
              <w:spacing w:after="0"/>
              <w:rPr>
                <w:sz w:val="20"/>
                <w:szCs w:val="20"/>
                <w:color w:val="auto"/>
              </w:rPr>
            </w:pPr>
            <w:r>
              <w:rPr>
                <w:rFonts w:ascii="Arial" w:cs="Arial" w:eastAsia="Arial" w:hAnsi="Arial"/>
                <w:sz w:val="20"/>
                <w:szCs w:val="20"/>
                <w:color w:val="231F20"/>
              </w:rPr>
              <w:t xml:space="preserve">Vested </w:t>
            </w:r>
            <w:r>
              <w:rPr>
                <w:rFonts w:ascii="Times New Roman" w:cs="Times New Roman" w:eastAsia="Times New Roman" w:hAnsi="Times New Roman"/>
                <w:sz w:val="20"/>
                <w:szCs w:val="20"/>
                <w:color w:val="231F20"/>
              </w:rPr>
              <w:t>.................................................................................</w:t>
            </w:r>
          </w:p>
        </w:tc>
        <w:tc>
          <w:tcPr>
            <w:tcW w:w="1160" w:type="dxa"/>
            <w:vAlign w:val="bottom"/>
          </w:tcPr>
          <w:p>
            <w:pPr>
              <w:jc w:val="right"/>
              <w:spacing w:after="0"/>
              <w:rPr>
                <w:sz w:val="20"/>
                <w:szCs w:val="20"/>
                <w:color w:val="auto"/>
              </w:rPr>
            </w:pPr>
            <w:r>
              <w:rPr>
                <w:rFonts w:ascii="Arial" w:cs="Arial" w:eastAsia="Arial" w:hAnsi="Arial"/>
                <w:sz w:val="20"/>
                <w:szCs w:val="20"/>
                <w:color w:val="231F20"/>
              </w:rPr>
              <w:t>(558,999)</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940" w:type="dxa"/>
            <w:vAlign w:val="bottom"/>
          </w:tcPr>
          <w:p>
            <w:pPr>
              <w:jc w:val="right"/>
              <w:spacing w:after="0"/>
              <w:rPr>
                <w:sz w:val="20"/>
                <w:szCs w:val="20"/>
                <w:color w:val="auto"/>
              </w:rPr>
            </w:pPr>
            <w:r>
              <w:rPr>
                <w:rFonts w:ascii="Arial" w:cs="Arial" w:eastAsia="Arial" w:hAnsi="Arial"/>
                <w:sz w:val="20"/>
                <w:szCs w:val="20"/>
                <w:color w:val="231F20"/>
              </w:rPr>
              <w:t>64.32</w:t>
            </w:r>
          </w:p>
        </w:tc>
        <w:tc>
          <w:tcPr>
            <w:tcW w:w="0" w:type="dxa"/>
            <w:vAlign w:val="bottom"/>
          </w:tcPr>
          <w:p>
            <w:pPr>
              <w:spacing w:after="0"/>
              <w:rPr>
                <w:sz w:val="1"/>
                <w:szCs w:val="1"/>
                <w:color w:val="auto"/>
              </w:rPr>
            </w:pPr>
          </w:p>
        </w:tc>
      </w:tr>
      <w:tr>
        <w:trPr>
          <w:trHeight w:val="253"/>
        </w:trPr>
        <w:tc>
          <w:tcPr>
            <w:tcW w:w="5180" w:type="dxa"/>
            <w:vAlign w:val="bottom"/>
            <w:tcBorders>
              <w:bottom w:val="single" w:sz="8" w:color="231F20"/>
            </w:tcBorders>
          </w:tcPr>
          <w:p>
            <w:pPr>
              <w:jc w:val="right"/>
              <w:ind w:right="19"/>
              <w:spacing w:after="0"/>
              <w:rPr>
                <w:sz w:val="20"/>
                <w:szCs w:val="20"/>
                <w:color w:val="auto"/>
              </w:rPr>
            </w:pPr>
            <w:r>
              <w:rPr>
                <w:rFonts w:ascii="Arial" w:cs="Arial" w:eastAsia="Arial" w:hAnsi="Arial"/>
                <w:sz w:val="20"/>
                <w:szCs w:val="20"/>
                <w:color w:val="231F20"/>
              </w:rPr>
              <w:t>Forfeited</w:t>
            </w: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(53,343)</w:t>
            </w:r>
          </w:p>
        </w:tc>
        <w:tc>
          <w:tcPr>
            <w:tcW w:w="2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70.06</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231F20"/>
            </w:tcBorders>
          </w:tcPr>
          <w:p>
            <w:pPr>
              <w:jc w:val="right"/>
              <w:ind w:right="19"/>
              <w:spacing w:after="0" w:line="223" w:lineRule="exact"/>
              <w:rPr>
                <w:sz w:val="20"/>
                <w:szCs w:val="20"/>
                <w:color w:val="auto"/>
              </w:rPr>
            </w:pPr>
            <w:r>
              <w:rPr>
                <w:rFonts w:ascii="Arial" w:cs="Arial" w:eastAsia="Arial" w:hAnsi="Arial"/>
                <w:sz w:val="20"/>
                <w:szCs w:val="20"/>
                <w:color w:val="231F20"/>
              </w:rPr>
              <w:t xml:space="preserve">Non-vested at December 30, 2023 </w:t>
            </w: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ind w:right="48"/>
              <w:spacing w:after="0" w:line="223" w:lineRule="exact"/>
              <w:rPr>
                <w:sz w:val="20"/>
                <w:szCs w:val="20"/>
                <w:color w:val="auto"/>
              </w:rPr>
            </w:pPr>
            <w:r>
              <w:rPr>
                <w:rFonts w:ascii="Arial" w:cs="Arial" w:eastAsia="Arial" w:hAnsi="Arial"/>
                <w:sz w:val="20"/>
                <w:szCs w:val="20"/>
                <w:color w:val="231F20"/>
              </w:rPr>
              <w:t>847,929</w:t>
            </w:r>
          </w:p>
        </w:tc>
        <w:tc>
          <w:tcPr>
            <w:tcW w:w="2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9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70.93</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color w:val="231F20"/>
        </w:rPr>
        <w:t>The remaining unrecognized pre-tax compensation cost related to RSUs at December 30, 2023 was approximately $20.5 million, and the weighted-average period of time over which this cost will be recognized is 1.5 years. The fair value of RSUs that vested during 2023, 2022 and 2021 was $35.8 million, $16.8 million and $15.6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Stock Option Awards</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20"/>
          <w:szCs w:val="20"/>
          <w:color w:val="231F20"/>
        </w:rPr>
        <w:t>Stock options were granted to officers and certain employees of the Company and represent the right to purchase shares of Company common stock subject to continued employment through each vesting date. Stock options granted under the Plans generally vest over a three-year period and generally expire ten years from the grant date.</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74</w:t>
      </w:r>
    </w:p>
    <w:p>
      <w:pPr>
        <w:sectPr>
          <w:pgSz w:w="12240" w:h="15840" w:orient="portrait"/>
          <w:cols w:equalWidth="0" w:num="1">
            <w:col w:w="9460"/>
          </w:cols>
          <w:pgMar w:left="1380" w:top="1346" w:right="1400" w:bottom="95" w:gutter="0" w:footer="0" w:header="0"/>
          <w:type w:val="continuous"/>
        </w:sectPr>
      </w:pPr>
    </w:p>
    <w:bookmarkStart w:id="82" w:name="page83"/>
    <w:bookmarkEnd w:id="82"/>
    <w:p>
      <w:pPr>
        <w:spacing w:after="0" w:line="258" w:lineRule="auto"/>
        <w:rPr>
          <w:sz w:val="20"/>
          <w:szCs w:val="20"/>
          <w:color w:val="auto"/>
        </w:rPr>
      </w:pPr>
      <w:r>
        <w:rPr>
          <w:rFonts w:ascii="Arial" w:cs="Arial" w:eastAsia="Arial" w:hAnsi="Arial"/>
          <w:sz w:val="20"/>
          <w:szCs w:val="20"/>
          <w:color w:val="231F20"/>
        </w:rPr>
        <w:t>All stock-based compensation to employees is required to be measured at fair value and expensed over the requisite service period. We recognize compensation expense on awards on a straight-line basis over the requisite service period for the entire award.</w:t>
      </w:r>
    </w:p>
    <w:p>
      <w:pPr>
        <w:spacing w:after="0" w:line="118" w:lineRule="exact"/>
        <w:rPr>
          <w:sz w:val="20"/>
          <w:szCs w:val="20"/>
          <w:color w:val="auto"/>
        </w:rPr>
      </w:pPr>
    </w:p>
    <w:p>
      <w:pPr>
        <w:ind w:right="40"/>
        <w:spacing w:after="0" w:line="280" w:lineRule="auto"/>
        <w:rPr>
          <w:sz w:val="20"/>
          <w:szCs w:val="20"/>
          <w:color w:val="auto"/>
        </w:rPr>
      </w:pPr>
      <w:r>
        <w:rPr>
          <w:rFonts w:ascii="Arial" w:cs="Arial" w:eastAsia="Arial" w:hAnsi="Arial"/>
          <w:sz w:val="20"/>
          <w:szCs w:val="20"/>
          <w:color w:val="231F20"/>
        </w:rPr>
        <w:t>The fair value of Fortune Brands options was estimated at the date of grant using a Black-Scholes option pricing model with the assumptions shown in the following table:</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60" w:type="dxa"/>
            <w:vAlign w:val="bottom"/>
            <w:tcBorders>
              <w:top w:val="single" w:sz="8" w:color="231F20"/>
              <w:bottom w:val="single" w:sz="8" w:color="231F20"/>
              <w:right w:val="single" w:sz="8" w:color="231F20"/>
            </w:tcBorders>
          </w:tcPr>
          <w:p>
            <w:pPr>
              <w:spacing w:after="0"/>
              <w:rPr>
                <w:sz w:val="16"/>
                <w:szCs w:val="16"/>
                <w:color w:val="auto"/>
              </w:rPr>
            </w:pPr>
          </w:p>
        </w:tc>
        <w:tc>
          <w:tcPr>
            <w:tcW w:w="1460" w:type="dxa"/>
            <w:vAlign w:val="bottom"/>
            <w:tcBorders>
              <w:top w:val="single" w:sz="8" w:color="231F20"/>
              <w:bottom w:val="single" w:sz="8" w:color="231F20"/>
              <w:right w:val="single" w:sz="8" w:color="231F20"/>
            </w:tcBorders>
          </w:tcPr>
          <w:p>
            <w:pPr>
              <w:jc w:val="right"/>
              <w:ind w:right="244"/>
              <w:spacing w:after="0"/>
              <w:rPr>
                <w:sz w:val="20"/>
                <w:szCs w:val="20"/>
                <w:color w:val="auto"/>
              </w:rPr>
            </w:pPr>
            <w:r>
              <w:rPr>
                <w:rFonts w:ascii="Arial" w:cs="Arial" w:eastAsia="Arial" w:hAnsi="Arial"/>
                <w:sz w:val="15"/>
                <w:szCs w:val="15"/>
                <w:i w:val="1"/>
                <w:iCs w:val="1"/>
                <w:color w:val="231F20"/>
              </w:rPr>
              <w:t>2023</w:t>
            </w:r>
          </w:p>
        </w:tc>
        <w:tc>
          <w:tcPr>
            <w:tcW w:w="1460" w:type="dxa"/>
            <w:vAlign w:val="bottom"/>
            <w:tcBorders>
              <w:top w:val="single" w:sz="8" w:color="231F20"/>
              <w:bottom w:val="single" w:sz="8" w:color="231F20"/>
              <w:right w:val="single" w:sz="8" w:color="231F20"/>
            </w:tcBorders>
          </w:tcPr>
          <w:p>
            <w:pPr>
              <w:jc w:val="right"/>
              <w:ind w:right="284"/>
              <w:spacing w:after="0"/>
              <w:rPr>
                <w:sz w:val="20"/>
                <w:szCs w:val="20"/>
                <w:color w:val="auto"/>
              </w:rPr>
            </w:pPr>
            <w:r>
              <w:rPr>
                <w:rFonts w:ascii="Arial" w:cs="Arial" w:eastAsia="Arial" w:hAnsi="Arial"/>
                <w:sz w:val="15"/>
                <w:szCs w:val="15"/>
                <w:color w:val="231F20"/>
              </w:rPr>
              <w:t>2022</w:t>
            </w:r>
          </w:p>
        </w:tc>
        <w:tc>
          <w:tcPr>
            <w:tcW w:w="1500" w:type="dxa"/>
            <w:vAlign w:val="bottom"/>
            <w:tcBorders>
              <w:top w:val="single" w:sz="8" w:color="231F20"/>
              <w:bottom w:val="single" w:sz="8" w:color="231F20"/>
            </w:tcBorders>
          </w:tcPr>
          <w:p>
            <w:pPr>
              <w:jc w:val="right"/>
              <w:ind w:right="124"/>
              <w:spacing w:after="0"/>
              <w:rPr>
                <w:sz w:val="20"/>
                <w:szCs w:val="20"/>
                <w:color w:val="auto"/>
              </w:rPr>
            </w:pPr>
            <w:r>
              <w:rPr>
                <w:rFonts w:ascii="Arial" w:cs="Arial" w:eastAsia="Arial" w:hAnsi="Arial"/>
                <w:sz w:val="15"/>
                <w:szCs w:val="15"/>
                <w:color w:val="231F20"/>
              </w:rPr>
              <w:t>2021</w:t>
            </w:r>
          </w:p>
        </w:tc>
      </w:tr>
      <w:tr>
        <w:trPr>
          <w:trHeight w:val="202"/>
        </w:trPr>
        <w:tc>
          <w:tcPr>
            <w:tcW w:w="20" w:type="dxa"/>
            <w:vAlign w:val="bottom"/>
          </w:tcPr>
          <w:p>
            <w:pPr>
              <w:spacing w:after="0"/>
              <w:rPr>
                <w:sz w:val="17"/>
                <w:szCs w:val="17"/>
                <w:color w:val="auto"/>
              </w:rPr>
            </w:pPr>
          </w:p>
        </w:tc>
        <w:tc>
          <w:tcPr>
            <w:tcW w:w="3760" w:type="dxa"/>
            <w:vAlign w:val="bottom"/>
            <w:tcBorders>
              <w:right w:val="single" w:sz="8" w:color="231F20"/>
            </w:tcBorders>
          </w:tcPr>
          <w:p>
            <w:pPr>
              <w:spacing w:after="0" w:line="202" w:lineRule="exact"/>
              <w:rPr>
                <w:sz w:val="20"/>
                <w:szCs w:val="20"/>
                <w:color w:val="auto"/>
              </w:rPr>
            </w:pPr>
            <w:r>
              <w:rPr>
                <w:rFonts w:ascii="Arial" w:cs="Arial" w:eastAsia="Arial" w:hAnsi="Arial"/>
                <w:sz w:val="20"/>
                <w:szCs w:val="20"/>
                <w:color w:val="231F20"/>
              </w:rPr>
              <w:t xml:space="preserve">Current expected dividend yield </w:t>
            </w:r>
            <w:r>
              <w:rPr>
                <w:rFonts w:ascii="Times New Roman" w:cs="Times New Roman" w:eastAsia="Times New Roman" w:hAnsi="Times New Roman"/>
                <w:sz w:val="20"/>
                <w:szCs w:val="20"/>
                <w:color w:val="231F20"/>
              </w:rPr>
              <w:t>................</w:t>
            </w:r>
          </w:p>
        </w:tc>
        <w:tc>
          <w:tcPr>
            <w:tcW w:w="1460" w:type="dxa"/>
            <w:vAlign w:val="bottom"/>
            <w:tcBorders>
              <w:right w:val="single" w:sz="8" w:color="231F20"/>
            </w:tcBorders>
          </w:tcPr>
          <w:p>
            <w:pPr>
              <w:jc w:val="right"/>
              <w:ind w:right="64"/>
              <w:spacing w:after="0" w:line="203" w:lineRule="exact"/>
              <w:rPr>
                <w:sz w:val="20"/>
                <w:szCs w:val="20"/>
                <w:color w:val="auto"/>
              </w:rPr>
            </w:pPr>
            <w:r>
              <w:rPr>
                <w:rFonts w:ascii="Arial" w:cs="Arial" w:eastAsia="Arial" w:hAnsi="Arial"/>
                <w:sz w:val="20"/>
                <w:szCs w:val="20"/>
                <w:color w:val="231F20"/>
              </w:rPr>
              <w:t>1.5%</w:t>
            </w:r>
          </w:p>
        </w:tc>
        <w:tc>
          <w:tcPr>
            <w:tcW w:w="1460" w:type="dxa"/>
            <w:vAlign w:val="bottom"/>
            <w:tcBorders>
              <w:right w:val="single" w:sz="8" w:color="231F20"/>
            </w:tcBorders>
          </w:tcPr>
          <w:p>
            <w:pPr>
              <w:jc w:val="right"/>
              <w:ind w:right="104"/>
              <w:spacing w:after="0" w:line="203" w:lineRule="exact"/>
              <w:rPr>
                <w:sz w:val="20"/>
                <w:szCs w:val="20"/>
                <w:color w:val="auto"/>
              </w:rPr>
            </w:pPr>
            <w:r>
              <w:rPr>
                <w:rFonts w:ascii="Arial" w:cs="Arial" w:eastAsia="Arial" w:hAnsi="Arial"/>
                <w:sz w:val="20"/>
                <w:szCs w:val="20"/>
                <w:color w:val="231F20"/>
              </w:rPr>
              <w:t>1.2%</w:t>
            </w:r>
          </w:p>
        </w:tc>
        <w:tc>
          <w:tcPr>
            <w:tcW w:w="1500" w:type="dxa"/>
            <w:vAlign w:val="bottom"/>
          </w:tcPr>
          <w:p>
            <w:pPr>
              <w:jc w:val="right"/>
              <w:spacing w:after="0" w:line="203" w:lineRule="exact"/>
              <w:rPr>
                <w:sz w:val="20"/>
                <w:szCs w:val="20"/>
                <w:color w:val="auto"/>
              </w:rPr>
            </w:pPr>
            <w:r>
              <w:rPr>
                <w:rFonts w:ascii="Arial" w:cs="Arial" w:eastAsia="Arial" w:hAnsi="Arial"/>
                <w:sz w:val="20"/>
                <w:szCs w:val="20"/>
                <w:color w:val="231F20"/>
              </w:rPr>
              <w:t>1.2%</w:t>
            </w:r>
          </w:p>
        </w:tc>
      </w:tr>
      <w:tr>
        <w:trPr>
          <w:trHeight w:val="233"/>
        </w:trPr>
        <w:tc>
          <w:tcPr>
            <w:tcW w:w="378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 xml:space="preserve">Expected volatility </w:t>
            </w:r>
            <w:r>
              <w:rPr>
                <w:rFonts w:ascii="Times New Roman" w:cs="Times New Roman" w:eastAsia="Times New Roman" w:hAnsi="Times New Roman"/>
                <w:sz w:val="20"/>
                <w:szCs w:val="20"/>
                <w:color w:val="231F20"/>
              </w:rPr>
              <w:t>........................................</w:t>
            </w:r>
          </w:p>
        </w:tc>
        <w:tc>
          <w:tcPr>
            <w:tcW w:w="1460" w:type="dxa"/>
            <w:vAlign w:val="bottom"/>
            <w:tcBorders>
              <w:right w:val="single" w:sz="8" w:color="231F20"/>
            </w:tcBorders>
          </w:tcPr>
          <w:p>
            <w:pPr>
              <w:jc w:val="right"/>
              <w:ind w:right="64"/>
              <w:spacing w:after="0"/>
              <w:rPr>
                <w:sz w:val="20"/>
                <w:szCs w:val="20"/>
                <w:color w:val="auto"/>
              </w:rPr>
            </w:pPr>
            <w:r>
              <w:rPr>
                <w:rFonts w:ascii="Arial" w:cs="Arial" w:eastAsia="Arial" w:hAnsi="Arial"/>
                <w:sz w:val="20"/>
                <w:szCs w:val="20"/>
                <w:color w:val="231F20"/>
              </w:rPr>
              <w:t>34.8%</w:t>
            </w:r>
          </w:p>
        </w:tc>
        <w:tc>
          <w:tcPr>
            <w:tcW w:w="1460" w:type="dxa"/>
            <w:vAlign w:val="bottom"/>
            <w:tcBorders>
              <w:right w:val="single" w:sz="8" w:color="231F20"/>
            </w:tcBorders>
          </w:tcPr>
          <w:p>
            <w:pPr>
              <w:jc w:val="right"/>
              <w:ind w:right="104"/>
              <w:spacing w:after="0"/>
              <w:rPr>
                <w:sz w:val="20"/>
                <w:szCs w:val="20"/>
                <w:color w:val="auto"/>
              </w:rPr>
            </w:pPr>
            <w:r>
              <w:rPr>
                <w:rFonts w:ascii="Arial" w:cs="Arial" w:eastAsia="Arial" w:hAnsi="Arial"/>
                <w:sz w:val="20"/>
                <w:szCs w:val="20"/>
                <w:color w:val="231F20"/>
              </w:rPr>
              <w:t>34.8%</w:t>
            </w:r>
          </w:p>
        </w:tc>
        <w:tc>
          <w:tcPr>
            <w:tcW w:w="1500" w:type="dxa"/>
            <w:vAlign w:val="bottom"/>
          </w:tcPr>
          <w:p>
            <w:pPr>
              <w:jc w:val="right"/>
              <w:spacing w:after="0"/>
              <w:rPr>
                <w:sz w:val="20"/>
                <w:szCs w:val="20"/>
                <w:color w:val="auto"/>
              </w:rPr>
            </w:pPr>
            <w:r>
              <w:rPr>
                <w:rFonts w:ascii="Arial" w:cs="Arial" w:eastAsia="Arial" w:hAnsi="Arial"/>
                <w:sz w:val="20"/>
                <w:szCs w:val="20"/>
                <w:color w:val="231F20"/>
              </w:rPr>
              <w:t>35.1%</w:t>
            </w:r>
          </w:p>
        </w:tc>
      </w:tr>
      <w:tr>
        <w:trPr>
          <w:trHeight w:val="233"/>
        </w:trPr>
        <w:tc>
          <w:tcPr>
            <w:tcW w:w="378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 xml:space="preserve">Risk-free interest rate </w:t>
            </w:r>
            <w:r>
              <w:rPr>
                <w:rFonts w:ascii="Times New Roman" w:cs="Times New Roman" w:eastAsia="Times New Roman" w:hAnsi="Times New Roman"/>
                <w:sz w:val="20"/>
                <w:szCs w:val="20"/>
                <w:color w:val="231F20"/>
              </w:rPr>
              <w:t>..................................</w:t>
            </w:r>
          </w:p>
        </w:tc>
        <w:tc>
          <w:tcPr>
            <w:tcW w:w="1460" w:type="dxa"/>
            <w:vAlign w:val="bottom"/>
            <w:tcBorders>
              <w:right w:val="single" w:sz="8" w:color="231F20"/>
            </w:tcBorders>
          </w:tcPr>
          <w:p>
            <w:pPr>
              <w:jc w:val="right"/>
              <w:ind w:right="64"/>
              <w:spacing w:after="0"/>
              <w:rPr>
                <w:sz w:val="20"/>
                <w:szCs w:val="20"/>
                <w:color w:val="auto"/>
              </w:rPr>
            </w:pPr>
            <w:r>
              <w:rPr>
                <w:rFonts w:ascii="Arial" w:cs="Arial" w:eastAsia="Arial" w:hAnsi="Arial"/>
                <w:sz w:val="20"/>
                <w:szCs w:val="20"/>
                <w:color w:val="231F20"/>
              </w:rPr>
              <w:t>4.2%</w:t>
            </w:r>
          </w:p>
        </w:tc>
        <w:tc>
          <w:tcPr>
            <w:tcW w:w="1460" w:type="dxa"/>
            <w:vAlign w:val="bottom"/>
            <w:tcBorders>
              <w:right w:val="single" w:sz="8" w:color="231F20"/>
            </w:tcBorders>
          </w:tcPr>
          <w:p>
            <w:pPr>
              <w:jc w:val="right"/>
              <w:ind w:right="104"/>
              <w:spacing w:after="0"/>
              <w:rPr>
                <w:sz w:val="20"/>
                <w:szCs w:val="20"/>
                <w:color w:val="auto"/>
              </w:rPr>
            </w:pPr>
            <w:r>
              <w:rPr>
                <w:rFonts w:ascii="Arial" w:cs="Arial" w:eastAsia="Arial" w:hAnsi="Arial"/>
                <w:sz w:val="20"/>
                <w:szCs w:val="20"/>
                <w:color w:val="231F20"/>
              </w:rPr>
              <w:t>2.3%</w:t>
            </w:r>
          </w:p>
        </w:tc>
        <w:tc>
          <w:tcPr>
            <w:tcW w:w="1500" w:type="dxa"/>
            <w:vAlign w:val="bottom"/>
          </w:tcPr>
          <w:p>
            <w:pPr>
              <w:jc w:val="right"/>
              <w:spacing w:after="0"/>
              <w:rPr>
                <w:sz w:val="20"/>
                <w:szCs w:val="20"/>
                <w:color w:val="auto"/>
              </w:rPr>
            </w:pPr>
            <w:r>
              <w:rPr>
                <w:rFonts w:ascii="Arial" w:cs="Arial" w:eastAsia="Arial" w:hAnsi="Arial"/>
                <w:sz w:val="20"/>
                <w:szCs w:val="20"/>
                <w:color w:val="231F20"/>
              </w:rPr>
              <w:t>0.6%</w:t>
            </w:r>
          </w:p>
        </w:tc>
      </w:tr>
      <w:tr>
        <w:trPr>
          <w:trHeight w:val="253"/>
        </w:trPr>
        <w:tc>
          <w:tcPr>
            <w:tcW w:w="378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Expected term</w:t>
            </w:r>
            <w:r>
              <w:rPr>
                <w:rFonts w:ascii="Times New Roman" w:cs="Times New Roman" w:eastAsia="Times New Roman" w:hAnsi="Times New Roman"/>
                <w:sz w:val="20"/>
                <w:szCs w:val="20"/>
                <w:color w:val="231F20"/>
              </w:rPr>
              <w:t>...............................................</w:t>
            </w:r>
          </w:p>
        </w:tc>
        <w:tc>
          <w:tcPr>
            <w:tcW w:w="1460" w:type="dxa"/>
            <w:vAlign w:val="bottom"/>
            <w:tcBorders>
              <w:right w:val="single" w:sz="8" w:color="231F20"/>
            </w:tcBorders>
          </w:tcPr>
          <w:p>
            <w:pPr>
              <w:jc w:val="right"/>
              <w:ind w:right="244"/>
              <w:spacing w:after="0"/>
              <w:rPr>
                <w:sz w:val="20"/>
                <w:szCs w:val="20"/>
                <w:color w:val="auto"/>
              </w:rPr>
            </w:pPr>
            <w:r>
              <w:rPr>
                <w:rFonts w:ascii="Arial" w:cs="Arial" w:eastAsia="Arial" w:hAnsi="Arial"/>
                <w:sz w:val="20"/>
                <w:szCs w:val="20"/>
                <w:color w:val="231F20"/>
              </w:rPr>
              <w:t>5.4 years</w:t>
            </w:r>
          </w:p>
        </w:tc>
        <w:tc>
          <w:tcPr>
            <w:tcW w:w="1460" w:type="dxa"/>
            <w:vAlign w:val="bottom"/>
            <w:tcBorders>
              <w:right w:val="single" w:sz="8" w:color="231F20"/>
            </w:tcBorders>
          </w:tcPr>
          <w:p>
            <w:pPr>
              <w:jc w:val="right"/>
              <w:ind w:right="284"/>
              <w:spacing w:after="0"/>
              <w:rPr>
                <w:sz w:val="20"/>
                <w:szCs w:val="20"/>
                <w:color w:val="auto"/>
              </w:rPr>
            </w:pPr>
            <w:r>
              <w:rPr>
                <w:rFonts w:ascii="Arial" w:cs="Arial" w:eastAsia="Arial" w:hAnsi="Arial"/>
                <w:sz w:val="20"/>
                <w:szCs w:val="20"/>
                <w:color w:val="231F20"/>
              </w:rPr>
              <w:t>5.2 years</w:t>
            </w:r>
          </w:p>
        </w:tc>
        <w:tc>
          <w:tcPr>
            <w:tcW w:w="1500" w:type="dxa"/>
            <w:vAlign w:val="bottom"/>
          </w:tcPr>
          <w:p>
            <w:pPr>
              <w:jc w:val="right"/>
              <w:ind w:right="124"/>
              <w:spacing w:after="0"/>
              <w:rPr>
                <w:sz w:val="20"/>
                <w:szCs w:val="20"/>
                <w:color w:val="auto"/>
              </w:rPr>
            </w:pPr>
            <w:r>
              <w:rPr>
                <w:rFonts w:ascii="Arial" w:cs="Arial" w:eastAsia="Arial" w:hAnsi="Arial"/>
                <w:sz w:val="20"/>
                <w:szCs w:val="20"/>
                <w:color w:val="231F20"/>
              </w:rPr>
              <w:t>5.2 years</w:t>
            </w:r>
          </w:p>
        </w:tc>
      </w:tr>
      <w:tr>
        <w:trPr>
          <w:trHeight w:val="46"/>
        </w:trPr>
        <w:tc>
          <w:tcPr>
            <w:tcW w:w="20" w:type="dxa"/>
            <w:vAlign w:val="bottom"/>
          </w:tcPr>
          <w:p>
            <w:pPr>
              <w:spacing w:after="0"/>
              <w:rPr>
                <w:sz w:val="3"/>
                <w:szCs w:val="3"/>
                <w:color w:val="auto"/>
              </w:rPr>
            </w:pPr>
          </w:p>
        </w:tc>
        <w:tc>
          <w:tcPr>
            <w:tcW w:w="3760" w:type="dxa"/>
            <w:vAlign w:val="bottom"/>
            <w:tcBorders>
              <w:right w:val="single" w:sz="8" w:color="231F20"/>
            </w:tcBorders>
            <w:shd w:val="clear" w:color="auto" w:fill="231F20"/>
          </w:tcPr>
          <w:p>
            <w:pPr>
              <w:spacing w:after="0"/>
              <w:rPr>
                <w:sz w:val="3"/>
                <w:szCs w:val="3"/>
                <w:color w:val="auto"/>
              </w:rPr>
            </w:pPr>
          </w:p>
        </w:tc>
        <w:tc>
          <w:tcPr>
            <w:tcW w:w="1460" w:type="dxa"/>
            <w:vAlign w:val="bottom"/>
            <w:tcBorders>
              <w:right w:val="single" w:sz="8" w:color="231F20"/>
            </w:tcBorders>
            <w:shd w:val="clear" w:color="auto" w:fill="231F20"/>
          </w:tcPr>
          <w:p>
            <w:pPr>
              <w:spacing w:after="0"/>
              <w:rPr>
                <w:sz w:val="3"/>
                <w:szCs w:val="3"/>
                <w:color w:val="auto"/>
              </w:rPr>
            </w:pPr>
          </w:p>
        </w:tc>
        <w:tc>
          <w:tcPr>
            <w:tcW w:w="1460" w:type="dxa"/>
            <w:vAlign w:val="bottom"/>
            <w:tcBorders>
              <w:right w:val="single" w:sz="8" w:color="231F20"/>
            </w:tcBorders>
            <w:shd w:val="clear" w:color="auto" w:fill="231F20"/>
          </w:tcPr>
          <w:p>
            <w:pPr>
              <w:spacing w:after="0"/>
              <w:rPr>
                <w:sz w:val="3"/>
                <w:szCs w:val="3"/>
                <w:color w:val="auto"/>
              </w:rPr>
            </w:pPr>
          </w:p>
        </w:tc>
        <w:tc>
          <w:tcPr>
            <w:tcW w:w="1500" w:type="dxa"/>
            <w:vAlign w:val="bottom"/>
            <w:shd w:val="clear" w:color="auto" w:fill="231F20"/>
          </w:tcPr>
          <w:p>
            <w:pPr>
              <w:spacing w:after="0"/>
              <w:rPr>
                <w:sz w:val="3"/>
                <w:szCs w:val="3"/>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231F20"/>
        </w:rPr>
        <w:t>In 2023, the determination of expected volatility is based on the volatility of Fortune Brands common stock and a blended peer group volatility for companies in similar industries, at a similar stage of life and with similar market capitalization. In 2022 and 2021, the determination of expected volatility is based on the volatility of Fortune Brands common stock. The risk-free interest rate is based on U.S. government issues with a remaining term equal to the expected life of the stock options. The expected term is the period over which our employees are expected to hold their options. The expected term was determined based on the historical employee exercise behavior and the contractual term of the options. The dividend yield is based on the Company’s estimated dividend over the expected term. The weighted-average grant date fair value of stock options granted under the Plans during the years ended December 30, 2023, December 31, 2022 and December 31, 2021 was $20.39, $24.50 and $24.55, respectively.</w:t>
      </w:r>
    </w:p>
    <w:p>
      <w:pPr>
        <w:spacing w:after="0" w:line="141" w:lineRule="exact"/>
        <w:rPr>
          <w:sz w:val="20"/>
          <w:szCs w:val="20"/>
          <w:color w:val="auto"/>
        </w:rPr>
      </w:pPr>
    </w:p>
    <w:p>
      <w:pPr>
        <w:ind w:right="260"/>
        <w:spacing w:after="0" w:line="258" w:lineRule="auto"/>
        <w:rPr>
          <w:sz w:val="20"/>
          <w:szCs w:val="20"/>
          <w:color w:val="auto"/>
        </w:rPr>
      </w:pPr>
      <w:r>
        <w:rPr>
          <w:rFonts w:ascii="Arial" w:cs="Arial" w:eastAsia="Arial" w:hAnsi="Arial"/>
          <w:sz w:val="20"/>
          <w:szCs w:val="20"/>
          <w:color w:val="231F20"/>
        </w:rPr>
        <w:t>A summary of Fortune Brands stock option activity related to Fortune Brands and former employees of Fortune Brands, Inc., the Company from which we spun off from in 2011, for the year ended December 30, 2023 was as follows:</w:t>
      </w:r>
    </w:p>
    <w:p>
      <w:pPr>
        <w:spacing w:after="0" w:line="150" w:lineRule="exact"/>
        <w:rPr>
          <w:sz w:val="20"/>
          <w:szCs w:val="20"/>
          <w:color w:val="auto"/>
        </w:rPr>
      </w:pPr>
    </w:p>
    <w:tbl>
      <w:tblPr>
        <w:tblLayout w:type="fixed"/>
        <w:tblInd w:w="1440" w:type="dxa"/>
        <w:tblCellMar>
          <w:top w:w="0" w:type="dxa"/>
          <w:left w:w="0" w:type="dxa"/>
          <w:bottom w:w="0" w:type="dxa"/>
          <w:right w:w="0" w:type="dxa"/>
        </w:tblCellMar>
      </w:tblPr>
      <w:tr>
        <w:trPr>
          <w:trHeight w:val="170"/>
        </w:trPr>
        <w:tc>
          <w:tcPr>
            <w:tcW w:w="4200" w:type="dxa"/>
            <w:vAlign w:val="bottom"/>
            <w:tcBorders>
              <w:top w:val="single" w:sz="8" w:color="231F20"/>
            </w:tcBorders>
          </w:tcPr>
          <w:p>
            <w:pPr>
              <w:spacing w:after="0"/>
              <w:rPr>
                <w:sz w:val="14"/>
                <w:szCs w:val="14"/>
                <w:color w:val="auto"/>
              </w:rPr>
            </w:pPr>
          </w:p>
        </w:tc>
        <w:tc>
          <w:tcPr>
            <w:tcW w:w="1320" w:type="dxa"/>
            <w:vAlign w:val="bottom"/>
            <w:tcBorders>
              <w:top w:val="single" w:sz="8" w:color="231F20"/>
            </w:tcBorders>
          </w:tcPr>
          <w:p>
            <w:pPr>
              <w:spacing w:after="0"/>
              <w:rPr>
                <w:sz w:val="14"/>
                <w:szCs w:val="14"/>
                <w:color w:val="auto"/>
              </w:rPr>
            </w:pPr>
          </w:p>
        </w:tc>
        <w:tc>
          <w:tcPr>
            <w:tcW w:w="240" w:type="dxa"/>
            <w:vAlign w:val="bottom"/>
            <w:tcBorders>
              <w:top w:val="single" w:sz="8" w:color="231F20"/>
            </w:tcBorders>
          </w:tcPr>
          <w:p>
            <w:pPr>
              <w:spacing w:after="0"/>
              <w:rPr>
                <w:sz w:val="14"/>
                <w:szCs w:val="14"/>
                <w:color w:val="auto"/>
              </w:rPr>
            </w:pPr>
          </w:p>
        </w:tc>
        <w:tc>
          <w:tcPr>
            <w:tcW w:w="840" w:type="dxa"/>
            <w:vAlign w:val="bottom"/>
            <w:tcBorders>
              <w:top w:val="single" w:sz="8" w:color="231F20"/>
            </w:tcBorders>
          </w:tcPr>
          <w:p>
            <w:pPr>
              <w:jc w:val="right"/>
              <w:spacing w:after="0" w:line="169" w:lineRule="exact"/>
              <w:rPr>
                <w:sz w:val="20"/>
                <w:szCs w:val="20"/>
                <w:color w:val="auto"/>
              </w:rPr>
            </w:pPr>
            <w:r>
              <w:rPr>
                <w:rFonts w:ascii="Arial" w:cs="Arial" w:eastAsia="Arial" w:hAnsi="Arial"/>
                <w:sz w:val="15"/>
                <w:szCs w:val="15"/>
                <w:color w:val="231F20"/>
              </w:rPr>
              <w:t>Weighted-</w:t>
            </w:r>
          </w:p>
        </w:tc>
      </w:tr>
      <w:tr>
        <w:trPr>
          <w:trHeight w:val="174"/>
        </w:trPr>
        <w:tc>
          <w:tcPr>
            <w:tcW w:w="4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231F20"/>
              </w:rPr>
              <w:t>Average</w:t>
            </w:r>
          </w:p>
        </w:tc>
      </w:tr>
      <w:tr>
        <w:trPr>
          <w:trHeight w:val="174"/>
        </w:trPr>
        <w:tc>
          <w:tcPr>
            <w:tcW w:w="4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231F20"/>
              </w:rPr>
              <w:t>Exercise</w:t>
            </w:r>
          </w:p>
        </w:tc>
      </w:tr>
      <w:tr>
        <w:trPr>
          <w:trHeight w:val="189"/>
        </w:trPr>
        <w:tc>
          <w:tcPr>
            <w:tcW w:w="4200" w:type="dxa"/>
            <w:vAlign w:val="bottom"/>
            <w:tcBorders>
              <w:bottom w:val="single" w:sz="8" w:color="231F20"/>
            </w:tcBorders>
          </w:tcPr>
          <w:p>
            <w:pPr>
              <w:spacing w:after="0"/>
              <w:rPr>
                <w:sz w:val="16"/>
                <w:szCs w:val="16"/>
                <w:color w:val="auto"/>
              </w:rPr>
            </w:pPr>
          </w:p>
        </w:tc>
        <w:tc>
          <w:tcPr>
            <w:tcW w:w="1320" w:type="dxa"/>
            <w:vAlign w:val="bottom"/>
            <w:tcBorders>
              <w:bottom w:val="single" w:sz="8" w:color="231F20"/>
            </w:tcBorders>
          </w:tcPr>
          <w:p>
            <w:pPr>
              <w:jc w:val="right"/>
              <w:ind w:right="23"/>
              <w:spacing w:after="0"/>
              <w:rPr>
                <w:sz w:val="20"/>
                <w:szCs w:val="20"/>
                <w:color w:val="auto"/>
              </w:rPr>
            </w:pPr>
            <w:r>
              <w:rPr>
                <w:rFonts w:ascii="Arial" w:cs="Arial" w:eastAsia="Arial" w:hAnsi="Arial"/>
                <w:sz w:val="15"/>
                <w:szCs w:val="15"/>
                <w:color w:val="231F20"/>
              </w:rPr>
              <w:t>Options</w:t>
            </w:r>
          </w:p>
        </w:tc>
        <w:tc>
          <w:tcPr>
            <w:tcW w:w="24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Price</w:t>
            </w:r>
          </w:p>
        </w:tc>
      </w:tr>
      <w:tr>
        <w:trPr>
          <w:trHeight w:val="202"/>
        </w:trPr>
        <w:tc>
          <w:tcPr>
            <w:tcW w:w="4200" w:type="dxa"/>
            <w:vAlign w:val="bottom"/>
          </w:tcPr>
          <w:p>
            <w:pPr>
              <w:jc w:val="right"/>
              <w:ind w:right="199"/>
              <w:spacing w:after="0" w:line="202" w:lineRule="exact"/>
              <w:rPr>
                <w:sz w:val="20"/>
                <w:szCs w:val="20"/>
                <w:color w:val="auto"/>
              </w:rPr>
            </w:pPr>
            <w:r>
              <w:rPr>
                <w:rFonts w:ascii="Arial" w:cs="Arial" w:eastAsia="Arial" w:hAnsi="Arial"/>
                <w:sz w:val="20"/>
                <w:szCs w:val="20"/>
                <w:color w:val="231F20"/>
              </w:rPr>
              <w:t xml:space="preserve">Outstanding at December 31, 2022 </w:t>
            </w:r>
            <w:r>
              <w:rPr>
                <w:rFonts w:ascii="Times New Roman" w:cs="Times New Roman" w:eastAsia="Times New Roman" w:hAnsi="Times New Roman"/>
                <w:sz w:val="20"/>
                <w:szCs w:val="20"/>
                <w:color w:val="231F20"/>
              </w:rPr>
              <w:t>..............</w:t>
            </w:r>
          </w:p>
        </w:tc>
        <w:tc>
          <w:tcPr>
            <w:tcW w:w="1320" w:type="dxa"/>
            <w:vAlign w:val="bottom"/>
          </w:tcPr>
          <w:p>
            <w:pPr>
              <w:jc w:val="right"/>
              <w:ind w:right="23"/>
              <w:spacing w:after="0" w:line="203" w:lineRule="exact"/>
              <w:rPr>
                <w:sz w:val="20"/>
                <w:szCs w:val="20"/>
                <w:color w:val="auto"/>
              </w:rPr>
            </w:pPr>
            <w:r>
              <w:rPr>
                <w:rFonts w:ascii="Arial" w:cs="Arial" w:eastAsia="Arial" w:hAnsi="Arial"/>
                <w:sz w:val="20"/>
                <w:szCs w:val="20"/>
                <w:color w:val="231F20"/>
              </w:rPr>
              <w:t>2,326,427</w:t>
            </w:r>
          </w:p>
        </w:tc>
        <w:tc>
          <w:tcPr>
            <w:tcW w:w="24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840" w:type="dxa"/>
            <w:vAlign w:val="bottom"/>
          </w:tcPr>
          <w:p>
            <w:pPr>
              <w:jc w:val="right"/>
              <w:spacing w:after="0" w:line="203" w:lineRule="exact"/>
              <w:rPr>
                <w:sz w:val="20"/>
                <w:szCs w:val="20"/>
                <w:color w:val="auto"/>
              </w:rPr>
            </w:pPr>
            <w:r>
              <w:rPr>
                <w:rFonts w:ascii="Arial" w:cs="Arial" w:eastAsia="Arial" w:hAnsi="Arial"/>
                <w:sz w:val="20"/>
                <w:szCs w:val="20"/>
                <w:color w:val="231F20"/>
              </w:rPr>
              <w:t>56.84</w:t>
            </w:r>
          </w:p>
        </w:tc>
      </w:tr>
      <w:tr>
        <w:trPr>
          <w:trHeight w:val="233"/>
        </w:trPr>
        <w:tc>
          <w:tcPr>
            <w:tcW w:w="4200" w:type="dxa"/>
            <w:vAlign w:val="bottom"/>
          </w:tcPr>
          <w:p>
            <w:pPr>
              <w:jc w:val="right"/>
              <w:ind w:right="199"/>
              <w:spacing w:after="0"/>
              <w:rPr>
                <w:sz w:val="20"/>
                <w:szCs w:val="20"/>
                <w:color w:val="auto"/>
              </w:rPr>
            </w:pPr>
            <w:r>
              <w:rPr>
                <w:rFonts w:ascii="Arial" w:cs="Arial" w:eastAsia="Arial" w:hAnsi="Arial"/>
                <w:sz w:val="20"/>
                <w:szCs w:val="20"/>
                <w:color w:val="231F20"/>
              </w:rPr>
              <w:t xml:space="preserve">Granted </w:t>
            </w:r>
            <w:r>
              <w:rPr>
                <w:rFonts w:ascii="Times New Roman" w:cs="Times New Roman" w:eastAsia="Times New Roman" w:hAnsi="Times New Roman"/>
                <w:sz w:val="20"/>
                <w:szCs w:val="20"/>
                <w:color w:val="231F20"/>
              </w:rPr>
              <w:t>........................................................</w:t>
            </w:r>
          </w:p>
        </w:tc>
        <w:tc>
          <w:tcPr>
            <w:tcW w:w="1320" w:type="dxa"/>
            <w:vAlign w:val="bottom"/>
          </w:tcPr>
          <w:p>
            <w:pPr>
              <w:jc w:val="right"/>
              <w:ind w:right="23"/>
              <w:spacing w:after="0"/>
              <w:rPr>
                <w:sz w:val="20"/>
                <w:szCs w:val="20"/>
                <w:color w:val="auto"/>
              </w:rPr>
            </w:pPr>
            <w:r>
              <w:rPr>
                <w:rFonts w:ascii="Arial" w:cs="Arial" w:eastAsia="Arial" w:hAnsi="Arial"/>
                <w:sz w:val="20"/>
                <w:szCs w:val="20"/>
                <w:color w:val="231F20"/>
              </w:rPr>
              <w:t>303,319</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60.79</w:t>
            </w:r>
          </w:p>
        </w:tc>
      </w:tr>
      <w:tr>
        <w:trPr>
          <w:trHeight w:val="233"/>
        </w:trPr>
        <w:tc>
          <w:tcPr>
            <w:tcW w:w="4200" w:type="dxa"/>
            <w:vAlign w:val="bottom"/>
          </w:tcPr>
          <w:p>
            <w:pPr>
              <w:jc w:val="right"/>
              <w:ind w:right="199"/>
              <w:spacing w:after="0"/>
              <w:rPr>
                <w:sz w:val="20"/>
                <w:szCs w:val="20"/>
                <w:color w:val="auto"/>
              </w:rPr>
            </w:pPr>
            <w:r>
              <w:rPr>
                <w:rFonts w:ascii="Arial" w:cs="Arial" w:eastAsia="Arial" w:hAnsi="Arial"/>
                <w:sz w:val="20"/>
                <w:szCs w:val="20"/>
                <w:color w:val="231F20"/>
              </w:rPr>
              <w:t xml:space="preserve">Exercised </w:t>
            </w:r>
            <w:r>
              <w:rPr>
                <w:rFonts w:ascii="Times New Roman" w:cs="Times New Roman" w:eastAsia="Times New Roman" w:hAnsi="Times New Roman"/>
                <w:sz w:val="20"/>
                <w:szCs w:val="20"/>
                <w:color w:val="231F20"/>
              </w:rPr>
              <w:t>.....................................................</w:t>
            </w:r>
          </w:p>
        </w:tc>
        <w:tc>
          <w:tcPr>
            <w:tcW w:w="1320" w:type="dxa"/>
            <w:vAlign w:val="bottom"/>
          </w:tcPr>
          <w:p>
            <w:pPr>
              <w:jc w:val="right"/>
              <w:spacing w:after="0"/>
              <w:rPr>
                <w:sz w:val="20"/>
                <w:szCs w:val="20"/>
                <w:color w:val="auto"/>
              </w:rPr>
            </w:pPr>
            <w:r>
              <w:rPr>
                <w:rFonts w:ascii="Arial" w:cs="Arial" w:eastAsia="Arial" w:hAnsi="Arial"/>
                <w:sz w:val="20"/>
                <w:szCs w:val="20"/>
                <w:color w:val="231F20"/>
              </w:rPr>
              <w:t>(376,785)</w:t>
            </w:r>
          </w:p>
        </w:tc>
        <w:tc>
          <w:tcPr>
            <w:tcW w:w="240" w:type="dxa"/>
            <w:vAlign w:val="bottom"/>
          </w:tcPr>
          <w:p>
            <w:pPr>
              <w:jc w:val="right"/>
              <w:spacing w:after="0"/>
              <w:rPr>
                <w:sz w:val="20"/>
                <w:szCs w:val="20"/>
                <w:color w:val="auto"/>
              </w:rPr>
            </w:pPr>
            <w:r>
              <w:rPr>
                <w:rFonts w:ascii="Arial" w:cs="Arial" w:eastAsia="Arial" w:hAnsi="Arial"/>
                <w:sz w:val="20"/>
                <w:szCs w:val="20"/>
                <w:color w:val="231F20"/>
              </w:rPr>
              <w:t>$</w:t>
            </w:r>
          </w:p>
        </w:tc>
        <w:tc>
          <w:tcPr>
            <w:tcW w:w="840" w:type="dxa"/>
            <w:vAlign w:val="bottom"/>
          </w:tcPr>
          <w:p>
            <w:pPr>
              <w:jc w:val="right"/>
              <w:spacing w:after="0"/>
              <w:rPr>
                <w:sz w:val="20"/>
                <w:szCs w:val="20"/>
                <w:color w:val="auto"/>
              </w:rPr>
            </w:pPr>
            <w:r>
              <w:rPr>
                <w:rFonts w:ascii="Arial" w:cs="Arial" w:eastAsia="Arial" w:hAnsi="Arial"/>
                <w:sz w:val="20"/>
                <w:szCs w:val="20"/>
                <w:color w:val="231F20"/>
              </w:rPr>
              <w:t>47.90</w:t>
            </w:r>
          </w:p>
        </w:tc>
      </w:tr>
      <w:tr>
        <w:trPr>
          <w:trHeight w:val="253"/>
        </w:trPr>
        <w:tc>
          <w:tcPr>
            <w:tcW w:w="4200" w:type="dxa"/>
            <w:vAlign w:val="bottom"/>
            <w:tcBorders>
              <w:bottom w:val="single" w:sz="8" w:color="231F20"/>
            </w:tcBorders>
          </w:tcPr>
          <w:p>
            <w:pPr>
              <w:jc w:val="right"/>
              <w:ind w:right="199"/>
              <w:spacing w:after="0"/>
              <w:rPr>
                <w:sz w:val="20"/>
                <w:szCs w:val="20"/>
                <w:color w:val="auto"/>
              </w:rPr>
            </w:pPr>
            <w:r>
              <w:rPr>
                <w:rFonts w:ascii="Arial" w:cs="Arial" w:eastAsia="Arial" w:hAnsi="Arial"/>
                <w:sz w:val="20"/>
                <w:szCs w:val="20"/>
                <w:color w:val="231F20"/>
              </w:rPr>
              <w:t>Expired/forfeited</w:t>
            </w:r>
            <w:r>
              <w:rPr>
                <w:rFonts w:ascii="Times New Roman" w:cs="Times New Roman" w:eastAsia="Times New Roman" w:hAnsi="Times New Roman"/>
                <w:sz w:val="20"/>
                <w:szCs w:val="20"/>
                <w:color w:val="231F20"/>
              </w:rPr>
              <w:t>..........................................</w:t>
            </w: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(48,932)</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67.23</w:t>
            </w:r>
          </w:p>
        </w:tc>
      </w:tr>
      <w:tr>
        <w:trPr>
          <w:trHeight w:val="248"/>
        </w:trPr>
        <w:tc>
          <w:tcPr>
            <w:tcW w:w="4200" w:type="dxa"/>
            <w:vAlign w:val="bottom"/>
            <w:tcBorders>
              <w:bottom w:val="single" w:sz="8" w:color="231F20"/>
            </w:tcBorders>
          </w:tcPr>
          <w:p>
            <w:pPr>
              <w:jc w:val="right"/>
              <w:ind w:right="199"/>
              <w:spacing w:after="0" w:line="223" w:lineRule="exact"/>
              <w:rPr>
                <w:sz w:val="20"/>
                <w:szCs w:val="20"/>
                <w:color w:val="auto"/>
              </w:rPr>
            </w:pPr>
            <w:r>
              <w:rPr>
                <w:rFonts w:ascii="Arial" w:cs="Arial" w:eastAsia="Arial" w:hAnsi="Arial"/>
                <w:sz w:val="20"/>
                <w:szCs w:val="20"/>
                <w:color w:val="231F20"/>
              </w:rPr>
              <w:t xml:space="preserve">Outstanding at December 30, 2023 </w:t>
            </w:r>
            <w:r>
              <w:rPr>
                <w:rFonts w:ascii="Times New Roman" w:cs="Times New Roman" w:eastAsia="Times New Roman" w:hAnsi="Times New Roman"/>
                <w:sz w:val="20"/>
                <w:szCs w:val="20"/>
                <w:color w:val="231F20"/>
              </w:rPr>
              <w:t>..............</w:t>
            </w:r>
          </w:p>
        </w:tc>
        <w:tc>
          <w:tcPr>
            <w:tcW w:w="1320" w:type="dxa"/>
            <w:vAlign w:val="bottom"/>
            <w:tcBorders>
              <w:bottom w:val="single" w:sz="8" w:color="231F20"/>
            </w:tcBorders>
          </w:tcPr>
          <w:p>
            <w:pPr>
              <w:jc w:val="right"/>
              <w:ind w:right="23"/>
              <w:spacing w:after="0" w:line="223" w:lineRule="exact"/>
              <w:rPr>
                <w:sz w:val="20"/>
                <w:szCs w:val="20"/>
                <w:color w:val="auto"/>
              </w:rPr>
            </w:pPr>
            <w:r>
              <w:rPr>
                <w:rFonts w:ascii="Arial" w:cs="Arial" w:eastAsia="Arial" w:hAnsi="Arial"/>
                <w:sz w:val="20"/>
                <w:szCs w:val="20"/>
                <w:color w:val="231F20"/>
              </w:rPr>
              <w:t>2,204,029</w:t>
            </w:r>
          </w:p>
        </w:tc>
        <w:tc>
          <w:tcPr>
            <w:tcW w:w="2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58.68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231F20"/>
        </w:rPr>
        <w:t>Options outstanding and exercisable at December 30, 2023 were as follows:</w:t>
      </w:r>
    </w:p>
    <w:p>
      <w:pPr>
        <w:spacing w:after="0" w:line="211"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2280" w:type="dxa"/>
            <w:vAlign w:val="bottom"/>
            <w:tcBorders>
              <w:top w:val="single" w:sz="8" w:color="231F20"/>
            </w:tcBorders>
          </w:tcPr>
          <w:p>
            <w:pPr>
              <w:spacing w:after="0"/>
              <w:rPr>
                <w:sz w:val="16"/>
                <w:szCs w:val="16"/>
                <w:color w:val="auto"/>
              </w:rPr>
            </w:pPr>
          </w:p>
        </w:tc>
        <w:tc>
          <w:tcPr>
            <w:tcW w:w="2760" w:type="dxa"/>
            <w:vAlign w:val="bottom"/>
            <w:tcBorders>
              <w:top w:val="single" w:sz="8" w:color="231F20"/>
              <w:bottom w:val="single" w:sz="8" w:color="231F20"/>
            </w:tcBorders>
            <w:gridSpan w:val="3"/>
          </w:tcPr>
          <w:p>
            <w:pPr>
              <w:jc w:val="right"/>
              <w:ind w:right="79"/>
              <w:spacing w:after="0" w:line="184" w:lineRule="exact"/>
              <w:rPr>
                <w:sz w:val="20"/>
                <w:szCs w:val="20"/>
                <w:color w:val="auto"/>
              </w:rPr>
            </w:pPr>
            <w:r>
              <w:rPr>
                <w:rFonts w:ascii="Arial" w:cs="Arial" w:eastAsia="Arial" w:hAnsi="Arial"/>
                <w:sz w:val="15"/>
                <w:szCs w:val="15"/>
                <w:color w:val="231F20"/>
              </w:rPr>
              <w:t xml:space="preserve">Options Outstanding </w:t>
            </w:r>
            <w:r>
              <w:rPr>
                <w:rFonts w:ascii="Arial" w:cs="Arial" w:eastAsia="Arial" w:hAnsi="Arial"/>
                <w:sz w:val="20"/>
                <w:szCs w:val="20"/>
                <w:color w:val="231F20"/>
                <w:vertAlign w:val="superscript"/>
              </w:rPr>
              <w:t>(a)</w:t>
            </w:r>
          </w:p>
        </w:tc>
        <w:tc>
          <w:tcPr>
            <w:tcW w:w="920" w:type="dxa"/>
            <w:vAlign w:val="bottom"/>
            <w:tcBorders>
              <w:top w:val="single" w:sz="8" w:color="231F20"/>
              <w:bottom w:val="single" w:sz="8" w:color="231F20"/>
            </w:tcBorders>
          </w:tcPr>
          <w:p>
            <w:pPr>
              <w:spacing w:after="0"/>
              <w:rPr>
                <w:sz w:val="16"/>
                <w:szCs w:val="16"/>
                <w:color w:val="auto"/>
              </w:rPr>
            </w:pPr>
          </w:p>
        </w:tc>
        <w:tc>
          <w:tcPr>
            <w:tcW w:w="100" w:type="dxa"/>
            <w:vAlign w:val="bottom"/>
            <w:tcBorders>
              <w:top w:val="single" w:sz="8" w:color="231F20"/>
            </w:tcBorders>
          </w:tcPr>
          <w:p>
            <w:pPr>
              <w:spacing w:after="0"/>
              <w:rPr>
                <w:sz w:val="16"/>
                <w:szCs w:val="16"/>
                <w:color w:val="auto"/>
              </w:rPr>
            </w:pPr>
          </w:p>
        </w:tc>
        <w:tc>
          <w:tcPr>
            <w:tcW w:w="2420" w:type="dxa"/>
            <w:vAlign w:val="bottom"/>
            <w:tcBorders>
              <w:top w:val="single" w:sz="8" w:color="231F20"/>
              <w:bottom w:val="single" w:sz="8" w:color="231F20"/>
            </w:tcBorders>
            <w:gridSpan w:val="3"/>
          </w:tcPr>
          <w:p>
            <w:pPr>
              <w:jc w:val="right"/>
              <w:ind w:right="415"/>
              <w:spacing w:after="0" w:line="184" w:lineRule="exact"/>
              <w:rPr>
                <w:sz w:val="20"/>
                <w:szCs w:val="20"/>
                <w:color w:val="auto"/>
              </w:rPr>
            </w:pPr>
            <w:r>
              <w:rPr>
                <w:rFonts w:ascii="Arial" w:cs="Arial" w:eastAsia="Arial" w:hAnsi="Arial"/>
                <w:sz w:val="15"/>
                <w:szCs w:val="15"/>
                <w:color w:val="231F20"/>
              </w:rPr>
              <w:t xml:space="preserve">Options Exercisable </w:t>
            </w:r>
            <w:r>
              <w:rPr>
                <w:rFonts w:ascii="Arial" w:cs="Arial" w:eastAsia="Arial" w:hAnsi="Arial"/>
                <w:sz w:val="20"/>
                <w:szCs w:val="20"/>
                <w:color w:val="231F20"/>
                <w:vertAlign w:val="superscript"/>
              </w:rPr>
              <w:t>(b)</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jc w:val="right"/>
              <w:ind w:right="16"/>
              <w:spacing w:after="0" w:line="161" w:lineRule="exact"/>
              <w:rPr>
                <w:sz w:val="20"/>
                <w:szCs w:val="20"/>
                <w:color w:val="auto"/>
              </w:rPr>
            </w:pPr>
            <w:r>
              <w:rPr>
                <w:rFonts w:ascii="Arial" w:cs="Arial" w:eastAsia="Arial" w:hAnsi="Arial"/>
                <w:sz w:val="16"/>
                <w:szCs w:val="16"/>
                <w:color w:val="231F20"/>
              </w:rPr>
              <w:t>Weighted-</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jc w:val="right"/>
              <w:ind w:right="16"/>
              <w:spacing w:after="0"/>
              <w:rPr>
                <w:sz w:val="20"/>
                <w:szCs w:val="20"/>
                <w:color w:val="auto"/>
              </w:rPr>
            </w:pPr>
            <w:r>
              <w:rPr>
                <w:rFonts w:ascii="Arial" w:cs="Arial" w:eastAsia="Arial" w:hAnsi="Arial"/>
                <w:sz w:val="16"/>
                <w:szCs w:val="16"/>
                <w:color w:val="231F20"/>
              </w:rPr>
              <w:t>Average</w:t>
            </w: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Weighted-</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Weighted-</w:t>
            </w:r>
          </w:p>
        </w:tc>
        <w:tc>
          <w:tcPr>
            <w:tcW w:w="0" w:type="dxa"/>
            <w:vAlign w:val="bottom"/>
          </w:tcPr>
          <w:p>
            <w:pPr>
              <w:spacing w:after="0"/>
              <w:rPr>
                <w:sz w:val="1"/>
                <w:szCs w:val="1"/>
                <w:color w:val="auto"/>
              </w:rPr>
            </w:pPr>
          </w:p>
        </w:tc>
      </w:tr>
      <w:tr>
        <w:trPr>
          <w:trHeight w:val="186"/>
        </w:trPr>
        <w:tc>
          <w:tcPr>
            <w:tcW w:w="2280" w:type="dxa"/>
            <w:vAlign w:val="bottom"/>
            <w:vMerge w:val="restart"/>
          </w:tcPr>
          <w:p>
            <w:pPr>
              <w:jc w:val="right"/>
              <w:spacing w:after="0"/>
              <w:rPr>
                <w:sz w:val="20"/>
                <w:szCs w:val="20"/>
                <w:color w:val="auto"/>
              </w:rPr>
            </w:pPr>
            <w:r>
              <w:rPr>
                <w:rFonts w:ascii="Arial" w:cs="Arial" w:eastAsia="Arial" w:hAnsi="Arial"/>
                <w:sz w:val="16"/>
                <w:szCs w:val="16"/>
                <w:color w:val="231F20"/>
              </w:rPr>
              <w:t>Range Of</w:t>
            </w:r>
          </w:p>
        </w:tc>
        <w:tc>
          <w:tcPr>
            <w:tcW w:w="1300" w:type="dxa"/>
            <w:vAlign w:val="bottom"/>
            <w:vMerge w:val="restart"/>
          </w:tcPr>
          <w:p>
            <w:pPr>
              <w:jc w:val="right"/>
              <w:ind w:right="135"/>
              <w:spacing w:after="0"/>
              <w:rPr>
                <w:sz w:val="20"/>
                <w:szCs w:val="20"/>
                <w:color w:val="auto"/>
              </w:rPr>
            </w:pPr>
            <w:r>
              <w:rPr>
                <w:rFonts w:ascii="Arial" w:cs="Arial" w:eastAsia="Arial" w:hAnsi="Arial"/>
                <w:sz w:val="16"/>
                <w:szCs w:val="16"/>
                <w:color w:val="231F20"/>
              </w:rPr>
              <w:t>Options</w:t>
            </w:r>
          </w:p>
        </w:tc>
        <w:tc>
          <w:tcPr>
            <w:tcW w:w="1140" w:type="dxa"/>
            <w:vAlign w:val="bottom"/>
          </w:tcPr>
          <w:p>
            <w:pPr>
              <w:jc w:val="right"/>
              <w:ind w:right="16"/>
              <w:spacing w:after="0"/>
              <w:rPr>
                <w:sz w:val="20"/>
                <w:szCs w:val="20"/>
                <w:color w:val="auto"/>
              </w:rPr>
            </w:pPr>
            <w:r>
              <w:rPr>
                <w:rFonts w:ascii="Arial" w:cs="Arial" w:eastAsia="Arial" w:hAnsi="Arial"/>
                <w:sz w:val="16"/>
                <w:szCs w:val="16"/>
                <w:color w:val="231F20"/>
              </w:rPr>
              <w:t>Remaining</w:t>
            </w: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Average</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231F20"/>
              </w:rPr>
              <w:t>Average</w:t>
            </w:r>
          </w:p>
        </w:tc>
        <w:tc>
          <w:tcPr>
            <w:tcW w:w="0" w:type="dxa"/>
            <w:vAlign w:val="bottom"/>
          </w:tcPr>
          <w:p>
            <w:pPr>
              <w:spacing w:after="0"/>
              <w:rPr>
                <w:sz w:val="1"/>
                <w:szCs w:val="1"/>
                <w:color w:val="auto"/>
              </w:rPr>
            </w:pPr>
          </w:p>
        </w:tc>
      </w:tr>
      <w:tr>
        <w:trPr>
          <w:trHeight w:val="166"/>
        </w:trPr>
        <w:tc>
          <w:tcPr>
            <w:tcW w:w="2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140" w:type="dxa"/>
            <w:vAlign w:val="bottom"/>
          </w:tcPr>
          <w:p>
            <w:pPr>
              <w:jc w:val="right"/>
              <w:ind w:right="16"/>
              <w:spacing w:after="0" w:line="167" w:lineRule="exact"/>
              <w:rPr>
                <w:sz w:val="20"/>
                <w:szCs w:val="20"/>
                <w:color w:val="auto"/>
              </w:rPr>
            </w:pPr>
            <w:r>
              <w:rPr>
                <w:rFonts w:ascii="Arial" w:cs="Arial" w:eastAsia="Arial" w:hAnsi="Arial"/>
                <w:sz w:val="16"/>
                <w:szCs w:val="16"/>
                <w:color w:val="231F20"/>
              </w:rPr>
              <w:t>Contractual</w:t>
            </w:r>
          </w:p>
        </w:tc>
        <w:tc>
          <w:tcPr>
            <w:tcW w:w="32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Arial" w:cs="Arial" w:eastAsia="Arial" w:hAnsi="Arial"/>
                <w:sz w:val="16"/>
                <w:szCs w:val="16"/>
                <w:color w:val="231F20"/>
              </w:rPr>
              <w:t>Exercise</w:t>
            </w:r>
          </w:p>
        </w:tc>
        <w:tc>
          <w:tcPr>
            <w:tcW w:w="100" w:type="dxa"/>
            <w:vAlign w:val="bottom"/>
          </w:tcPr>
          <w:p>
            <w:pPr>
              <w:spacing w:after="0"/>
              <w:rPr>
                <w:sz w:val="14"/>
                <w:szCs w:val="14"/>
                <w:color w:val="auto"/>
              </w:rPr>
            </w:pPr>
          </w:p>
        </w:tc>
        <w:tc>
          <w:tcPr>
            <w:tcW w:w="1180" w:type="dxa"/>
            <w:vAlign w:val="bottom"/>
          </w:tcPr>
          <w:p>
            <w:pPr>
              <w:jc w:val="right"/>
              <w:ind w:right="21"/>
              <w:spacing w:after="0" w:line="167" w:lineRule="exact"/>
              <w:rPr>
                <w:sz w:val="20"/>
                <w:szCs w:val="20"/>
                <w:color w:val="auto"/>
              </w:rPr>
            </w:pPr>
            <w:r>
              <w:rPr>
                <w:rFonts w:ascii="Arial" w:cs="Arial" w:eastAsia="Arial" w:hAnsi="Arial"/>
                <w:sz w:val="16"/>
                <w:szCs w:val="16"/>
                <w:color w:val="231F20"/>
              </w:rPr>
              <w:t>Options</w:t>
            </w:r>
          </w:p>
        </w:tc>
        <w:tc>
          <w:tcPr>
            <w:tcW w:w="32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Arial" w:cs="Arial" w:eastAsia="Arial" w:hAnsi="Arial"/>
                <w:sz w:val="16"/>
                <w:szCs w:val="16"/>
                <w:color w:val="231F20"/>
              </w:rPr>
              <w:t>Exercise</w:t>
            </w:r>
          </w:p>
        </w:tc>
        <w:tc>
          <w:tcPr>
            <w:tcW w:w="0" w:type="dxa"/>
            <w:vAlign w:val="bottom"/>
          </w:tcPr>
          <w:p>
            <w:pPr>
              <w:spacing w:after="0"/>
              <w:rPr>
                <w:sz w:val="1"/>
                <w:szCs w:val="1"/>
                <w:color w:val="auto"/>
              </w:rPr>
            </w:pPr>
          </w:p>
        </w:tc>
      </w:tr>
      <w:tr>
        <w:trPr>
          <w:trHeight w:val="220"/>
        </w:trPr>
        <w:tc>
          <w:tcPr>
            <w:tcW w:w="2280" w:type="dxa"/>
            <w:vAlign w:val="bottom"/>
            <w:tcBorders>
              <w:bottom w:val="single" w:sz="8" w:color="231F20"/>
            </w:tcBorders>
          </w:tcPr>
          <w:p>
            <w:pPr>
              <w:jc w:val="right"/>
              <w:spacing w:after="0" w:line="221" w:lineRule="exact"/>
              <w:rPr>
                <w:sz w:val="20"/>
                <w:szCs w:val="20"/>
                <w:color w:val="auto"/>
              </w:rPr>
            </w:pPr>
            <w:r>
              <w:rPr>
                <w:rFonts w:ascii="Arial" w:cs="Arial" w:eastAsia="Arial" w:hAnsi="Arial"/>
                <w:sz w:val="16"/>
                <w:szCs w:val="16"/>
                <w:color w:val="231F20"/>
                <w:w w:val="99"/>
              </w:rPr>
              <w:t xml:space="preserve">Exercise Prices </w:t>
            </w:r>
            <w:r>
              <w:rPr>
                <w:rFonts w:ascii="Times New Roman" w:cs="Times New Roman" w:eastAsia="Times New Roman" w:hAnsi="Times New Roman"/>
                <w:sz w:val="20"/>
                <w:szCs w:val="20"/>
                <w:color w:val="231F20"/>
                <w:w w:val="99"/>
              </w:rPr>
              <w:t>.....................</w:t>
            </w:r>
          </w:p>
        </w:tc>
        <w:tc>
          <w:tcPr>
            <w:tcW w:w="1300" w:type="dxa"/>
            <w:vAlign w:val="bottom"/>
            <w:tcBorders>
              <w:bottom w:val="single" w:sz="8" w:color="231F20"/>
            </w:tcBorders>
          </w:tcPr>
          <w:p>
            <w:pPr>
              <w:jc w:val="right"/>
              <w:ind w:right="135"/>
              <w:spacing w:after="0"/>
              <w:rPr>
                <w:sz w:val="20"/>
                <w:szCs w:val="20"/>
                <w:color w:val="auto"/>
              </w:rPr>
            </w:pPr>
            <w:r>
              <w:rPr>
                <w:rFonts w:ascii="Arial" w:cs="Arial" w:eastAsia="Arial" w:hAnsi="Arial"/>
                <w:sz w:val="16"/>
                <w:szCs w:val="16"/>
                <w:color w:val="231F20"/>
              </w:rPr>
              <w:t>Outstanding</w:t>
            </w:r>
          </w:p>
        </w:tc>
        <w:tc>
          <w:tcPr>
            <w:tcW w:w="1140" w:type="dxa"/>
            <w:vAlign w:val="bottom"/>
            <w:tcBorders>
              <w:bottom w:val="single" w:sz="8" w:color="231F20"/>
            </w:tcBorders>
          </w:tcPr>
          <w:p>
            <w:pPr>
              <w:jc w:val="right"/>
              <w:ind w:right="16"/>
              <w:spacing w:after="0"/>
              <w:rPr>
                <w:sz w:val="20"/>
                <w:szCs w:val="20"/>
                <w:color w:val="auto"/>
              </w:rPr>
            </w:pPr>
            <w:r>
              <w:rPr>
                <w:rFonts w:ascii="Arial" w:cs="Arial" w:eastAsia="Arial" w:hAnsi="Arial"/>
                <w:sz w:val="16"/>
                <w:szCs w:val="16"/>
                <w:color w:val="231F20"/>
              </w:rPr>
              <w:t>Life</w:t>
            </w:r>
          </w:p>
        </w:tc>
        <w:tc>
          <w:tcPr>
            <w:tcW w:w="3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Price</w:t>
            </w:r>
          </w:p>
        </w:tc>
        <w:tc>
          <w:tcPr>
            <w:tcW w:w="10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tcBorders>
          </w:tcPr>
          <w:p>
            <w:pPr>
              <w:jc w:val="right"/>
              <w:ind w:right="21"/>
              <w:spacing w:after="0"/>
              <w:rPr>
                <w:sz w:val="20"/>
                <w:szCs w:val="20"/>
                <w:color w:val="auto"/>
              </w:rPr>
            </w:pPr>
            <w:r>
              <w:rPr>
                <w:rFonts w:ascii="Arial" w:cs="Arial" w:eastAsia="Arial" w:hAnsi="Arial"/>
                <w:sz w:val="16"/>
                <w:szCs w:val="16"/>
                <w:color w:val="231F20"/>
              </w:rPr>
              <w:t>Exercisable</w:t>
            </w:r>
          </w:p>
        </w:tc>
        <w:tc>
          <w:tcPr>
            <w:tcW w:w="3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Price</w:t>
            </w:r>
          </w:p>
        </w:tc>
        <w:tc>
          <w:tcPr>
            <w:tcW w:w="0" w:type="dxa"/>
            <w:vAlign w:val="bottom"/>
          </w:tcPr>
          <w:p>
            <w:pPr>
              <w:spacing w:after="0"/>
              <w:rPr>
                <w:sz w:val="1"/>
                <w:szCs w:val="1"/>
                <w:color w:val="auto"/>
              </w:rPr>
            </w:pPr>
          </w:p>
        </w:tc>
      </w:tr>
      <w:tr>
        <w:trPr>
          <w:trHeight w:val="263"/>
        </w:trPr>
        <w:tc>
          <w:tcPr>
            <w:tcW w:w="2280" w:type="dxa"/>
            <w:vAlign w:val="bottom"/>
          </w:tcPr>
          <w:p>
            <w:pPr>
              <w:jc w:val="right"/>
              <w:spacing w:after="0"/>
              <w:rPr>
                <w:sz w:val="20"/>
                <w:szCs w:val="20"/>
                <w:color w:val="auto"/>
              </w:rPr>
            </w:pPr>
            <w:r>
              <w:rPr>
                <w:rFonts w:ascii="Arial" w:cs="Arial" w:eastAsia="Arial" w:hAnsi="Arial"/>
                <w:sz w:val="20"/>
                <w:szCs w:val="20"/>
                <w:color w:val="231F20"/>
                <w:w w:val="98"/>
              </w:rPr>
              <w:t xml:space="preserve">$20.00 to $100.00 </w:t>
            </w:r>
            <w:r>
              <w:rPr>
                <w:rFonts w:ascii="Times New Roman" w:cs="Times New Roman" w:eastAsia="Times New Roman" w:hAnsi="Times New Roman"/>
                <w:sz w:val="20"/>
                <w:szCs w:val="20"/>
                <w:color w:val="231F20"/>
                <w:w w:val="98"/>
              </w:rPr>
              <w:t>...........</w:t>
            </w:r>
          </w:p>
        </w:tc>
        <w:tc>
          <w:tcPr>
            <w:tcW w:w="1300" w:type="dxa"/>
            <w:vAlign w:val="bottom"/>
          </w:tcPr>
          <w:p>
            <w:pPr>
              <w:jc w:val="right"/>
              <w:ind w:right="135"/>
              <w:spacing w:after="0"/>
              <w:rPr>
                <w:sz w:val="20"/>
                <w:szCs w:val="20"/>
                <w:color w:val="auto"/>
              </w:rPr>
            </w:pPr>
            <w:r>
              <w:rPr>
                <w:rFonts w:ascii="Arial" w:cs="Arial" w:eastAsia="Arial" w:hAnsi="Arial"/>
                <w:sz w:val="20"/>
                <w:szCs w:val="20"/>
                <w:color w:val="231F20"/>
              </w:rPr>
              <w:t>2,204,029</w:t>
            </w:r>
          </w:p>
        </w:tc>
        <w:tc>
          <w:tcPr>
            <w:tcW w:w="1140" w:type="dxa"/>
            <w:vAlign w:val="bottom"/>
          </w:tcPr>
          <w:p>
            <w:pPr>
              <w:jc w:val="right"/>
              <w:ind w:right="16"/>
              <w:spacing w:after="0"/>
              <w:rPr>
                <w:sz w:val="20"/>
                <w:szCs w:val="20"/>
                <w:color w:val="auto"/>
              </w:rPr>
            </w:pPr>
            <w:r>
              <w:rPr>
                <w:rFonts w:ascii="Arial" w:cs="Arial" w:eastAsia="Arial" w:hAnsi="Arial"/>
                <w:sz w:val="20"/>
                <w:szCs w:val="20"/>
                <w:color w:val="231F20"/>
              </w:rPr>
              <w:t>5.90</w:t>
            </w:r>
          </w:p>
        </w:tc>
        <w:tc>
          <w:tcPr>
            <w:tcW w:w="320" w:type="dxa"/>
            <w:vAlign w:val="bottom"/>
          </w:tcPr>
          <w:p>
            <w:pPr>
              <w:jc w:val="right"/>
              <w:ind w:right="19"/>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58.68</w:t>
            </w:r>
          </w:p>
        </w:tc>
        <w:tc>
          <w:tcPr>
            <w:tcW w:w="1280" w:type="dxa"/>
            <w:vAlign w:val="bottom"/>
            <w:gridSpan w:val="2"/>
          </w:tcPr>
          <w:p>
            <w:pPr>
              <w:jc w:val="right"/>
              <w:ind w:right="21"/>
              <w:spacing w:after="0"/>
              <w:rPr>
                <w:sz w:val="20"/>
                <w:szCs w:val="20"/>
                <w:color w:val="auto"/>
              </w:rPr>
            </w:pPr>
            <w:r>
              <w:rPr>
                <w:rFonts w:ascii="Arial" w:cs="Arial" w:eastAsia="Arial" w:hAnsi="Arial"/>
                <w:sz w:val="20"/>
                <w:szCs w:val="20"/>
                <w:color w:val="231F20"/>
              </w:rPr>
              <w:t>1,647,550</w:t>
            </w:r>
          </w:p>
        </w:tc>
        <w:tc>
          <w:tcPr>
            <w:tcW w:w="320" w:type="dxa"/>
            <w:vAlign w:val="bottom"/>
          </w:tcPr>
          <w:p>
            <w:pPr>
              <w:jc w:val="right"/>
              <w:ind w:right="19"/>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56.50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900" w:hanging="311"/>
        <w:spacing w:after="0"/>
        <w:tabs>
          <w:tab w:leader="none" w:pos="900" w:val="left"/>
        </w:tabs>
        <w:numPr>
          <w:ilvl w:val="0"/>
          <w:numId w:val="39"/>
        </w:numPr>
        <w:rPr>
          <w:rFonts w:ascii="Arial" w:cs="Arial" w:eastAsia="Arial" w:hAnsi="Arial"/>
          <w:sz w:val="10"/>
          <w:szCs w:val="10"/>
          <w:i w:val="1"/>
          <w:iCs w:val="1"/>
          <w:color w:val="231F20"/>
        </w:rPr>
      </w:pPr>
      <w:r>
        <w:rPr>
          <w:rFonts w:ascii="Arial" w:cs="Arial" w:eastAsia="Arial" w:hAnsi="Arial"/>
          <w:sz w:val="16"/>
          <w:szCs w:val="16"/>
          <w:i w:val="1"/>
          <w:iCs w:val="1"/>
          <w:color w:val="231F20"/>
        </w:rPr>
        <w:t>At December 30, 2023, the aggregate intrinsic value of options outstanding was $38.7 million.</w:t>
      </w:r>
    </w:p>
    <w:p>
      <w:pPr>
        <w:spacing w:after="0" w:line="16" w:lineRule="exact"/>
        <w:rPr>
          <w:rFonts w:ascii="Arial" w:cs="Arial" w:eastAsia="Arial" w:hAnsi="Arial"/>
          <w:sz w:val="10"/>
          <w:szCs w:val="10"/>
          <w:i w:val="1"/>
          <w:iCs w:val="1"/>
          <w:color w:val="231F20"/>
        </w:rPr>
      </w:pPr>
    </w:p>
    <w:p>
      <w:pPr>
        <w:ind w:left="900" w:right="180" w:hanging="311"/>
        <w:spacing w:after="0" w:line="261" w:lineRule="auto"/>
        <w:tabs>
          <w:tab w:leader="none" w:pos="900" w:val="left"/>
        </w:tabs>
        <w:numPr>
          <w:ilvl w:val="0"/>
          <w:numId w:val="39"/>
        </w:numPr>
        <w:rPr>
          <w:rFonts w:ascii="Arial" w:cs="Arial" w:eastAsia="Arial" w:hAnsi="Arial"/>
          <w:sz w:val="10"/>
          <w:szCs w:val="10"/>
          <w:i w:val="1"/>
          <w:iCs w:val="1"/>
          <w:color w:val="231F20"/>
        </w:rPr>
      </w:pPr>
      <w:r>
        <w:rPr>
          <w:rFonts w:ascii="Arial" w:cs="Arial" w:eastAsia="Arial" w:hAnsi="Arial"/>
          <w:sz w:val="16"/>
          <w:szCs w:val="16"/>
          <w:i w:val="1"/>
          <w:iCs w:val="1"/>
          <w:color w:val="231F20"/>
        </w:rPr>
        <w:t>At December 30, 2023, the weighted-average remaining contractual life of options exercisable was 4.9 years and the aggregate intrinsic value of options exercisable was $32.5 million.</w:t>
      </w:r>
    </w:p>
    <w:p>
      <w:pPr>
        <w:spacing w:after="0" w:line="168"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231F20"/>
        </w:rPr>
        <w:t>The remaining unrecognized compensation cost related to unvested awards at December 30, 2023 was $6.4 million, and the weighted-average period of time over which this cost will be recognized is 1.6 years. The fair value of options that vested during 2023, 2022 and 2021 was $6.3 million, $26.2 million and $4.8 million, respectively. The intrinsic value of Fortune Brands stock options exercised in 2023, 2022 and 2021 was $8.5 million, $1.1 million and $40.1 million, respectively.</w:t>
      </w:r>
    </w:p>
    <w:p>
      <w:pPr>
        <w:sectPr>
          <w:pgSz w:w="12240" w:h="15840" w:orient="portrait"/>
          <w:cols w:equalWidth="0" w:num="1">
            <w:col w:w="9420"/>
          </w:cols>
          <w:pgMar w:left="1380" w:top="1340" w:right="144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231F20"/>
        </w:rPr>
        <w:t>75</w:t>
      </w:r>
    </w:p>
    <w:p>
      <w:pPr>
        <w:sectPr>
          <w:pgSz w:w="12240" w:h="15840" w:orient="portrait"/>
          <w:cols w:equalWidth="0" w:num="1">
            <w:col w:w="9420"/>
          </w:cols>
          <w:pgMar w:left="1380" w:top="1340" w:right="1440" w:bottom="95"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b w:val="1"/>
          <w:bCs w:val="1"/>
          <w:color w:val="231F20"/>
        </w:rPr>
        <w:t>Performance Share Awards</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color w:val="231F20"/>
        </w:rPr>
        <w:t>PSAs were granted to officers and certain employees of the Company and represent the right to earn shares of Company common stock based on the achievement of company-wide non-GAAP performance conditions, including cumulative EBITDA margin percent and cumulative return on invested capital during the three-year performance period. Compensation cost is amortized into expense over the performance period, which is generally three years, and is based on the probability of meeting performance targets. The fair value of each PSA is based on the average of the high and low stock prices on the date of grant.</w:t>
      </w:r>
    </w:p>
    <w:p>
      <w:pPr>
        <w:spacing w:after="0" w:line="165"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231F20"/>
        </w:rPr>
        <w:t>The following table summarizes information about PSAs as of December 30, 2023, as well as activity during the fiscal year then ended. The number of performance share awards granted are shown below at the target award amounts:</w:t>
      </w:r>
    </w:p>
    <w:p>
      <w:pPr>
        <w:spacing w:after="0" w:line="143" w:lineRule="exact"/>
        <w:rPr>
          <w:sz w:val="20"/>
          <w:szCs w:val="20"/>
          <w:color w:val="auto"/>
        </w:rPr>
      </w:pPr>
    </w:p>
    <w:tbl>
      <w:tblPr>
        <w:tblLayout w:type="fixed"/>
        <w:tblInd w:w="960" w:type="dxa"/>
        <w:tblCellMar>
          <w:top w:w="0" w:type="dxa"/>
          <w:left w:w="0" w:type="dxa"/>
          <w:bottom w:w="0" w:type="dxa"/>
          <w:right w:w="0" w:type="dxa"/>
        </w:tblCellMar>
      </w:tblPr>
      <w:tr>
        <w:trPr>
          <w:trHeight w:val="151"/>
        </w:trPr>
        <w:tc>
          <w:tcPr>
            <w:tcW w:w="5200" w:type="dxa"/>
            <w:vAlign w:val="bottom"/>
            <w:tcBorders>
              <w:top w:val="single" w:sz="8" w:color="231F20"/>
            </w:tcBorders>
          </w:tcPr>
          <w:p>
            <w:pPr>
              <w:spacing w:after="0"/>
              <w:rPr>
                <w:sz w:val="13"/>
                <w:szCs w:val="13"/>
                <w:color w:val="auto"/>
              </w:rPr>
            </w:pPr>
          </w:p>
        </w:tc>
        <w:tc>
          <w:tcPr>
            <w:tcW w:w="1160" w:type="dxa"/>
            <w:vAlign w:val="bottom"/>
            <w:tcBorders>
              <w:top w:val="single" w:sz="8" w:color="231F20"/>
            </w:tcBorders>
          </w:tcPr>
          <w:p>
            <w:pPr>
              <w:jc w:val="right"/>
              <w:ind w:right="50"/>
              <w:spacing w:after="0" w:line="151" w:lineRule="exact"/>
              <w:rPr>
                <w:sz w:val="20"/>
                <w:szCs w:val="20"/>
                <w:color w:val="auto"/>
              </w:rPr>
            </w:pPr>
            <w:r>
              <w:rPr>
                <w:rFonts w:ascii="Arial" w:cs="Arial" w:eastAsia="Arial" w:hAnsi="Arial"/>
                <w:sz w:val="15"/>
                <w:szCs w:val="15"/>
                <w:color w:val="231F20"/>
              </w:rPr>
              <w:t>Number of</w:t>
            </w:r>
          </w:p>
        </w:tc>
        <w:tc>
          <w:tcPr>
            <w:tcW w:w="260" w:type="dxa"/>
            <w:vAlign w:val="bottom"/>
            <w:tcBorders>
              <w:top w:val="single" w:sz="8" w:color="231F20"/>
            </w:tcBorders>
          </w:tcPr>
          <w:p>
            <w:pPr>
              <w:spacing w:after="0"/>
              <w:rPr>
                <w:sz w:val="13"/>
                <w:szCs w:val="13"/>
                <w:color w:val="auto"/>
              </w:rPr>
            </w:pPr>
          </w:p>
        </w:tc>
        <w:tc>
          <w:tcPr>
            <w:tcW w:w="940" w:type="dxa"/>
            <w:vAlign w:val="bottom"/>
            <w:tcBorders>
              <w:top w:val="single" w:sz="8" w:color="231F20"/>
            </w:tcBorders>
          </w:tcPr>
          <w:p>
            <w:pPr>
              <w:jc w:val="right"/>
              <w:spacing w:after="0" w:line="151" w:lineRule="exact"/>
              <w:rPr>
                <w:sz w:val="20"/>
                <w:szCs w:val="20"/>
                <w:color w:val="auto"/>
              </w:rPr>
            </w:pPr>
            <w:r>
              <w:rPr>
                <w:rFonts w:ascii="Arial" w:cs="Arial" w:eastAsia="Arial" w:hAnsi="Arial"/>
                <w:sz w:val="15"/>
                <w:szCs w:val="15"/>
                <w:color w:val="231F20"/>
              </w:rPr>
              <w:t>Weighted-</w:t>
            </w:r>
          </w:p>
        </w:tc>
      </w:tr>
      <w:tr>
        <w:trPr>
          <w:trHeight w:val="164"/>
        </w:trPr>
        <w:tc>
          <w:tcPr>
            <w:tcW w:w="5200" w:type="dxa"/>
            <w:vAlign w:val="bottom"/>
          </w:tcPr>
          <w:p>
            <w:pPr>
              <w:spacing w:after="0"/>
              <w:rPr>
                <w:sz w:val="14"/>
                <w:szCs w:val="14"/>
                <w:color w:val="auto"/>
              </w:rPr>
            </w:pPr>
          </w:p>
        </w:tc>
        <w:tc>
          <w:tcPr>
            <w:tcW w:w="1160" w:type="dxa"/>
            <w:vAlign w:val="bottom"/>
          </w:tcPr>
          <w:p>
            <w:pPr>
              <w:jc w:val="right"/>
              <w:ind w:right="50"/>
              <w:spacing w:after="0" w:line="164" w:lineRule="exact"/>
              <w:rPr>
                <w:sz w:val="20"/>
                <w:szCs w:val="20"/>
                <w:color w:val="auto"/>
              </w:rPr>
            </w:pPr>
            <w:r>
              <w:rPr>
                <w:rFonts w:ascii="Arial" w:cs="Arial" w:eastAsia="Arial" w:hAnsi="Arial"/>
                <w:sz w:val="15"/>
                <w:szCs w:val="15"/>
                <w:color w:val="231F20"/>
              </w:rPr>
              <w:t>Performance</w:t>
            </w:r>
          </w:p>
        </w:tc>
        <w:tc>
          <w:tcPr>
            <w:tcW w:w="26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Arial" w:cs="Arial" w:eastAsia="Arial" w:hAnsi="Arial"/>
                <w:sz w:val="15"/>
                <w:szCs w:val="15"/>
                <w:color w:val="231F20"/>
              </w:rPr>
              <w:t>Average</w:t>
            </w:r>
          </w:p>
        </w:tc>
      </w:tr>
      <w:tr>
        <w:trPr>
          <w:trHeight w:val="164"/>
        </w:trPr>
        <w:tc>
          <w:tcPr>
            <w:tcW w:w="5200" w:type="dxa"/>
            <w:vAlign w:val="bottom"/>
          </w:tcPr>
          <w:p>
            <w:pPr>
              <w:spacing w:after="0"/>
              <w:rPr>
                <w:sz w:val="14"/>
                <w:szCs w:val="14"/>
                <w:color w:val="auto"/>
              </w:rPr>
            </w:pPr>
          </w:p>
        </w:tc>
        <w:tc>
          <w:tcPr>
            <w:tcW w:w="1160" w:type="dxa"/>
            <w:vAlign w:val="bottom"/>
          </w:tcPr>
          <w:p>
            <w:pPr>
              <w:jc w:val="right"/>
              <w:ind w:right="50"/>
              <w:spacing w:after="0" w:line="164" w:lineRule="exact"/>
              <w:rPr>
                <w:sz w:val="20"/>
                <w:szCs w:val="20"/>
                <w:color w:val="auto"/>
              </w:rPr>
            </w:pPr>
            <w:r>
              <w:rPr>
                <w:rFonts w:ascii="Arial" w:cs="Arial" w:eastAsia="Arial" w:hAnsi="Arial"/>
                <w:sz w:val="15"/>
                <w:szCs w:val="15"/>
                <w:color w:val="231F20"/>
              </w:rPr>
              <w:t>Share</w:t>
            </w:r>
          </w:p>
        </w:tc>
        <w:tc>
          <w:tcPr>
            <w:tcW w:w="260" w:type="dxa"/>
            <w:vAlign w:val="bottom"/>
          </w:tcPr>
          <w:p>
            <w:pPr>
              <w:spacing w:after="0"/>
              <w:rPr>
                <w:sz w:val="14"/>
                <w:szCs w:val="14"/>
                <w:color w:val="auto"/>
              </w:rPr>
            </w:pPr>
          </w:p>
        </w:tc>
        <w:tc>
          <w:tcPr>
            <w:tcW w:w="940" w:type="dxa"/>
            <w:vAlign w:val="bottom"/>
          </w:tcPr>
          <w:p>
            <w:pPr>
              <w:jc w:val="right"/>
              <w:spacing w:after="0" w:line="164" w:lineRule="exact"/>
              <w:rPr>
                <w:sz w:val="20"/>
                <w:szCs w:val="20"/>
                <w:color w:val="auto"/>
              </w:rPr>
            </w:pPr>
            <w:r>
              <w:rPr>
                <w:rFonts w:ascii="Arial" w:cs="Arial" w:eastAsia="Arial" w:hAnsi="Arial"/>
                <w:sz w:val="15"/>
                <w:szCs w:val="15"/>
                <w:color w:val="231F20"/>
              </w:rPr>
              <w:t>Grant-Date</w:t>
            </w:r>
          </w:p>
        </w:tc>
      </w:tr>
      <w:tr>
        <w:trPr>
          <w:trHeight w:val="188"/>
        </w:trPr>
        <w:tc>
          <w:tcPr>
            <w:tcW w:w="5200" w:type="dxa"/>
            <w:vAlign w:val="bottom"/>
            <w:tcBorders>
              <w:bottom w:val="single" w:sz="8" w:color="231F20"/>
            </w:tcBorders>
          </w:tcPr>
          <w:p>
            <w:pPr>
              <w:spacing w:after="0"/>
              <w:rPr>
                <w:sz w:val="16"/>
                <w:szCs w:val="16"/>
                <w:color w:val="auto"/>
              </w:rPr>
            </w:pPr>
          </w:p>
        </w:tc>
        <w:tc>
          <w:tcPr>
            <w:tcW w:w="1160" w:type="dxa"/>
            <w:vAlign w:val="bottom"/>
            <w:tcBorders>
              <w:bottom w:val="single" w:sz="8" w:color="231F20"/>
            </w:tcBorders>
          </w:tcPr>
          <w:p>
            <w:pPr>
              <w:jc w:val="right"/>
              <w:ind w:right="50"/>
              <w:spacing w:after="0"/>
              <w:rPr>
                <w:sz w:val="20"/>
                <w:szCs w:val="20"/>
                <w:color w:val="auto"/>
              </w:rPr>
            </w:pPr>
            <w:r>
              <w:rPr>
                <w:rFonts w:ascii="Arial" w:cs="Arial" w:eastAsia="Arial" w:hAnsi="Arial"/>
                <w:sz w:val="15"/>
                <w:szCs w:val="15"/>
                <w:color w:val="231F20"/>
              </w:rPr>
              <w:t>Awards</w:t>
            </w:r>
          </w:p>
        </w:tc>
        <w:tc>
          <w:tcPr>
            <w:tcW w:w="26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Fair Value</w:t>
            </w:r>
          </w:p>
        </w:tc>
      </w:tr>
      <w:tr>
        <w:trPr>
          <w:trHeight w:val="178"/>
        </w:trPr>
        <w:tc>
          <w:tcPr>
            <w:tcW w:w="5200" w:type="dxa"/>
            <w:vAlign w:val="bottom"/>
          </w:tcPr>
          <w:p>
            <w:pPr>
              <w:jc w:val="right"/>
              <w:ind w:right="39"/>
              <w:spacing w:after="0" w:line="177" w:lineRule="exact"/>
              <w:rPr>
                <w:sz w:val="20"/>
                <w:szCs w:val="20"/>
                <w:color w:val="auto"/>
              </w:rPr>
            </w:pPr>
            <w:r>
              <w:rPr>
                <w:rFonts w:ascii="Arial" w:cs="Arial" w:eastAsia="Arial" w:hAnsi="Arial"/>
                <w:sz w:val="20"/>
                <w:szCs w:val="20"/>
                <w:color w:val="231F20"/>
              </w:rPr>
              <w:t xml:space="preserve">Non-vested at December 31, 2022 </w:t>
            </w:r>
            <w:r>
              <w:rPr>
                <w:rFonts w:ascii="Times New Roman" w:cs="Times New Roman" w:eastAsia="Times New Roman" w:hAnsi="Times New Roman"/>
                <w:sz w:val="20"/>
                <w:szCs w:val="20"/>
                <w:color w:val="231F20"/>
              </w:rPr>
              <w:t>......................................</w:t>
            </w:r>
          </w:p>
        </w:tc>
        <w:tc>
          <w:tcPr>
            <w:tcW w:w="1160" w:type="dxa"/>
            <w:vAlign w:val="bottom"/>
          </w:tcPr>
          <w:p>
            <w:pPr>
              <w:jc w:val="right"/>
              <w:ind w:right="50"/>
              <w:spacing w:after="0" w:line="178" w:lineRule="exact"/>
              <w:rPr>
                <w:sz w:val="20"/>
                <w:szCs w:val="20"/>
                <w:color w:val="auto"/>
              </w:rPr>
            </w:pPr>
            <w:r>
              <w:rPr>
                <w:rFonts w:ascii="Arial" w:cs="Arial" w:eastAsia="Arial" w:hAnsi="Arial"/>
                <w:sz w:val="20"/>
                <w:szCs w:val="20"/>
                <w:color w:val="231F20"/>
              </w:rPr>
              <w:t>20,572</w:t>
            </w:r>
          </w:p>
        </w:tc>
        <w:tc>
          <w:tcPr>
            <w:tcW w:w="260" w:type="dxa"/>
            <w:vAlign w:val="bottom"/>
          </w:tcPr>
          <w:p>
            <w:pPr>
              <w:jc w:val="right"/>
              <w:spacing w:after="0" w:line="178" w:lineRule="exact"/>
              <w:rPr>
                <w:sz w:val="20"/>
                <w:szCs w:val="20"/>
                <w:color w:val="auto"/>
              </w:rPr>
            </w:pPr>
            <w:r>
              <w:rPr>
                <w:rFonts w:ascii="Arial" w:cs="Arial" w:eastAsia="Arial" w:hAnsi="Arial"/>
                <w:sz w:val="20"/>
                <w:szCs w:val="20"/>
                <w:color w:val="231F20"/>
              </w:rPr>
              <w:t>$</w:t>
            </w:r>
          </w:p>
        </w:tc>
        <w:tc>
          <w:tcPr>
            <w:tcW w:w="940" w:type="dxa"/>
            <w:vAlign w:val="bottom"/>
          </w:tcPr>
          <w:p>
            <w:pPr>
              <w:jc w:val="right"/>
              <w:spacing w:after="0" w:line="178" w:lineRule="exact"/>
              <w:rPr>
                <w:sz w:val="20"/>
                <w:szCs w:val="20"/>
                <w:color w:val="auto"/>
              </w:rPr>
            </w:pPr>
            <w:r>
              <w:rPr>
                <w:rFonts w:ascii="Arial" w:cs="Arial" w:eastAsia="Arial" w:hAnsi="Arial"/>
                <w:sz w:val="20"/>
                <w:szCs w:val="20"/>
                <w:color w:val="231F20"/>
              </w:rPr>
              <w:t>75.59</w:t>
            </w:r>
          </w:p>
        </w:tc>
      </w:tr>
      <w:tr>
        <w:trPr>
          <w:trHeight w:val="219"/>
        </w:trPr>
        <w:tc>
          <w:tcPr>
            <w:tcW w:w="5200" w:type="dxa"/>
            <w:vAlign w:val="bottom"/>
          </w:tcPr>
          <w:p>
            <w:pPr>
              <w:jc w:val="right"/>
              <w:ind w:right="39"/>
              <w:spacing w:after="0" w:line="219" w:lineRule="exact"/>
              <w:rPr>
                <w:sz w:val="20"/>
                <w:szCs w:val="20"/>
                <w:color w:val="auto"/>
              </w:rPr>
            </w:pPr>
            <w:r>
              <w:rPr>
                <w:rFonts w:ascii="Arial" w:cs="Arial" w:eastAsia="Arial" w:hAnsi="Arial"/>
                <w:sz w:val="20"/>
                <w:szCs w:val="20"/>
                <w:color w:val="231F20"/>
              </w:rPr>
              <w:t>Granted</w:t>
            </w:r>
            <w:r>
              <w:rPr>
                <w:rFonts w:ascii="Times New Roman" w:cs="Times New Roman" w:eastAsia="Times New Roman" w:hAnsi="Times New Roman"/>
                <w:sz w:val="20"/>
                <w:szCs w:val="20"/>
                <w:color w:val="231F20"/>
              </w:rPr>
              <w:t>................................................................................</w:t>
            </w:r>
          </w:p>
        </w:tc>
        <w:tc>
          <w:tcPr>
            <w:tcW w:w="1160" w:type="dxa"/>
            <w:vAlign w:val="bottom"/>
          </w:tcPr>
          <w:p>
            <w:pPr>
              <w:jc w:val="right"/>
              <w:ind w:right="50"/>
              <w:spacing w:after="0" w:line="219" w:lineRule="exact"/>
              <w:rPr>
                <w:sz w:val="20"/>
                <w:szCs w:val="20"/>
                <w:color w:val="auto"/>
              </w:rPr>
            </w:pPr>
            <w:r>
              <w:rPr>
                <w:rFonts w:ascii="Arial" w:cs="Arial" w:eastAsia="Arial" w:hAnsi="Arial"/>
                <w:sz w:val="20"/>
                <w:szCs w:val="20"/>
                <w:color w:val="231F20"/>
              </w:rPr>
              <w:t>207,193</w:t>
            </w:r>
          </w:p>
        </w:tc>
        <w:tc>
          <w:tcPr>
            <w:tcW w:w="260" w:type="dxa"/>
            <w:vAlign w:val="bottom"/>
          </w:tcPr>
          <w:p>
            <w:pPr>
              <w:jc w:val="right"/>
              <w:spacing w:after="0" w:line="219" w:lineRule="exact"/>
              <w:rPr>
                <w:sz w:val="20"/>
                <w:szCs w:val="20"/>
                <w:color w:val="auto"/>
              </w:rPr>
            </w:pPr>
            <w:r>
              <w:rPr>
                <w:rFonts w:ascii="Arial" w:cs="Arial" w:eastAsia="Arial" w:hAnsi="Arial"/>
                <w:sz w:val="20"/>
                <w:szCs w:val="20"/>
                <w:color w:val="231F20"/>
              </w:rPr>
              <w:t>$</w:t>
            </w:r>
          </w:p>
        </w:tc>
        <w:tc>
          <w:tcPr>
            <w:tcW w:w="940" w:type="dxa"/>
            <w:vAlign w:val="bottom"/>
          </w:tcPr>
          <w:p>
            <w:pPr>
              <w:jc w:val="right"/>
              <w:spacing w:after="0" w:line="219" w:lineRule="exact"/>
              <w:rPr>
                <w:sz w:val="20"/>
                <w:szCs w:val="20"/>
                <w:color w:val="auto"/>
              </w:rPr>
            </w:pPr>
            <w:r>
              <w:rPr>
                <w:rFonts w:ascii="Arial" w:cs="Arial" w:eastAsia="Arial" w:hAnsi="Arial"/>
                <w:sz w:val="20"/>
                <w:szCs w:val="20"/>
                <w:color w:val="231F20"/>
              </w:rPr>
              <w:t>61.79</w:t>
            </w:r>
          </w:p>
        </w:tc>
      </w:tr>
      <w:tr>
        <w:trPr>
          <w:trHeight w:val="219"/>
        </w:trPr>
        <w:tc>
          <w:tcPr>
            <w:tcW w:w="5200" w:type="dxa"/>
            <w:vAlign w:val="bottom"/>
          </w:tcPr>
          <w:p>
            <w:pPr>
              <w:jc w:val="right"/>
              <w:ind w:right="39"/>
              <w:spacing w:after="0" w:line="219" w:lineRule="exact"/>
              <w:rPr>
                <w:sz w:val="20"/>
                <w:szCs w:val="20"/>
                <w:color w:val="auto"/>
              </w:rPr>
            </w:pPr>
            <w:r>
              <w:rPr>
                <w:rFonts w:ascii="Arial" w:cs="Arial" w:eastAsia="Arial" w:hAnsi="Arial"/>
                <w:sz w:val="20"/>
                <w:szCs w:val="20"/>
                <w:color w:val="231F20"/>
              </w:rPr>
              <w:t>Vested</w:t>
            </w:r>
            <w:r>
              <w:rPr>
                <w:rFonts w:ascii="Times New Roman" w:cs="Times New Roman" w:eastAsia="Times New Roman" w:hAnsi="Times New Roman"/>
                <w:sz w:val="20"/>
                <w:szCs w:val="20"/>
                <w:color w:val="231F20"/>
              </w:rPr>
              <w:t>..................................................................................</w:t>
            </w:r>
          </w:p>
        </w:tc>
        <w:tc>
          <w:tcPr>
            <w:tcW w:w="1160" w:type="dxa"/>
            <w:vAlign w:val="bottom"/>
          </w:tcPr>
          <w:p>
            <w:pPr>
              <w:jc w:val="right"/>
              <w:spacing w:after="0" w:line="219" w:lineRule="exact"/>
              <w:rPr>
                <w:sz w:val="20"/>
                <w:szCs w:val="20"/>
                <w:color w:val="auto"/>
              </w:rPr>
            </w:pPr>
            <w:r>
              <w:rPr>
                <w:rFonts w:ascii="Arial" w:cs="Arial" w:eastAsia="Arial" w:hAnsi="Arial"/>
                <w:sz w:val="20"/>
                <w:szCs w:val="20"/>
                <w:color w:val="231F20"/>
              </w:rPr>
              <w:t>(4,709)</w:t>
            </w:r>
          </w:p>
        </w:tc>
        <w:tc>
          <w:tcPr>
            <w:tcW w:w="260" w:type="dxa"/>
            <w:vAlign w:val="bottom"/>
          </w:tcPr>
          <w:p>
            <w:pPr>
              <w:jc w:val="right"/>
              <w:spacing w:after="0" w:line="219" w:lineRule="exact"/>
              <w:rPr>
                <w:sz w:val="20"/>
                <w:szCs w:val="20"/>
                <w:color w:val="auto"/>
              </w:rPr>
            </w:pPr>
            <w:r>
              <w:rPr>
                <w:rFonts w:ascii="Arial" w:cs="Arial" w:eastAsia="Arial" w:hAnsi="Arial"/>
                <w:sz w:val="20"/>
                <w:szCs w:val="20"/>
                <w:color w:val="231F20"/>
              </w:rPr>
              <w:t>$</w:t>
            </w:r>
          </w:p>
        </w:tc>
        <w:tc>
          <w:tcPr>
            <w:tcW w:w="940" w:type="dxa"/>
            <w:vAlign w:val="bottom"/>
          </w:tcPr>
          <w:p>
            <w:pPr>
              <w:jc w:val="right"/>
              <w:spacing w:after="0" w:line="219" w:lineRule="exact"/>
              <w:rPr>
                <w:sz w:val="20"/>
                <w:szCs w:val="20"/>
                <w:color w:val="auto"/>
              </w:rPr>
            </w:pPr>
            <w:r>
              <w:rPr>
                <w:rFonts w:ascii="Arial" w:cs="Arial" w:eastAsia="Arial" w:hAnsi="Arial"/>
                <w:sz w:val="20"/>
                <w:szCs w:val="20"/>
                <w:color w:val="231F20"/>
              </w:rPr>
              <w:t>60.86</w:t>
            </w:r>
          </w:p>
        </w:tc>
      </w:tr>
      <w:tr>
        <w:trPr>
          <w:trHeight w:val="251"/>
        </w:trPr>
        <w:tc>
          <w:tcPr>
            <w:tcW w:w="5200" w:type="dxa"/>
            <w:vAlign w:val="bottom"/>
            <w:tcBorders>
              <w:bottom w:val="single" w:sz="8" w:color="231F20"/>
            </w:tcBorders>
          </w:tcPr>
          <w:p>
            <w:pPr>
              <w:jc w:val="right"/>
              <w:ind w:right="39"/>
              <w:spacing w:after="0"/>
              <w:rPr>
                <w:sz w:val="20"/>
                <w:szCs w:val="20"/>
                <w:color w:val="auto"/>
              </w:rPr>
            </w:pPr>
            <w:r>
              <w:rPr>
                <w:rFonts w:ascii="Arial" w:cs="Arial" w:eastAsia="Arial" w:hAnsi="Arial"/>
                <w:sz w:val="20"/>
                <w:szCs w:val="20"/>
                <w:color w:val="231F20"/>
              </w:rPr>
              <w:t xml:space="preserve">Forfeited </w:t>
            </w: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(12,252)</w:t>
            </w:r>
          </w:p>
        </w:tc>
        <w:tc>
          <w:tcPr>
            <w:tcW w:w="2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9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66.32</w:t>
            </w:r>
          </w:p>
        </w:tc>
      </w:tr>
      <w:tr>
        <w:trPr>
          <w:trHeight w:val="235"/>
        </w:trPr>
        <w:tc>
          <w:tcPr>
            <w:tcW w:w="5200" w:type="dxa"/>
            <w:vAlign w:val="bottom"/>
            <w:tcBorders>
              <w:bottom w:val="single" w:sz="8" w:color="231F20"/>
            </w:tcBorders>
          </w:tcPr>
          <w:p>
            <w:pPr>
              <w:jc w:val="right"/>
              <w:ind w:right="39"/>
              <w:spacing w:after="0" w:line="209" w:lineRule="exact"/>
              <w:rPr>
                <w:sz w:val="20"/>
                <w:szCs w:val="20"/>
                <w:color w:val="auto"/>
              </w:rPr>
            </w:pPr>
            <w:r>
              <w:rPr>
                <w:rFonts w:ascii="Arial" w:cs="Arial" w:eastAsia="Arial" w:hAnsi="Arial"/>
                <w:sz w:val="20"/>
                <w:szCs w:val="20"/>
                <w:color w:val="231F20"/>
              </w:rPr>
              <w:t xml:space="preserve">Non-vested at December 30, 2023 </w:t>
            </w: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ind w:right="50"/>
              <w:spacing w:after="0" w:line="209" w:lineRule="exact"/>
              <w:rPr>
                <w:sz w:val="20"/>
                <w:szCs w:val="20"/>
                <w:color w:val="auto"/>
              </w:rPr>
            </w:pPr>
            <w:r>
              <w:rPr>
                <w:rFonts w:ascii="Arial" w:cs="Arial" w:eastAsia="Arial" w:hAnsi="Arial"/>
                <w:sz w:val="20"/>
                <w:szCs w:val="20"/>
                <w:color w:val="231F20"/>
              </w:rPr>
              <w:t>210,804</w:t>
            </w:r>
          </w:p>
        </w:tc>
        <w:tc>
          <w:tcPr>
            <w:tcW w:w="260" w:type="dxa"/>
            <w:vAlign w:val="bottom"/>
            <w:tcBorders>
              <w:bottom w:val="single" w:sz="8" w:color="231F20"/>
            </w:tcBorders>
          </w:tcPr>
          <w:p>
            <w:pPr>
              <w:jc w:val="right"/>
              <w:spacing w:after="0" w:line="209" w:lineRule="exact"/>
              <w:rPr>
                <w:sz w:val="20"/>
                <w:szCs w:val="20"/>
                <w:color w:val="auto"/>
              </w:rPr>
            </w:pPr>
            <w:r>
              <w:rPr>
                <w:rFonts w:ascii="Arial" w:cs="Arial" w:eastAsia="Arial" w:hAnsi="Arial"/>
                <w:sz w:val="20"/>
                <w:szCs w:val="20"/>
                <w:color w:val="231F20"/>
              </w:rPr>
              <w:t>$</w:t>
            </w:r>
          </w:p>
        </w:tc>
        <w:tc>
          <w:tcPr>
            <w:tcW w:w="940" w:type="dxa"/>
            <w:vAlign w:val="bottom"/>
            <w:tcBorders>
              <w:bottom w:val="single" w:sz="8" w:color="231F20"/>
            </w:tcBorders>
          </w:tcPr>
          <w:p>
            <w:pPr>
              <w:jc w:val="right"/>
              <w:spacing w:after="0" w:line="209" w:lineRule="exact"/>
              <w:rPr>
                <w:sz w:val="20"/>
                <w:szCs w:val="20"/>
                <w:color w:val="auto"/>
              </w:rPr>
            </w:pPr>
            <w:r>
              <w:rPr>
                <w:rFonts w:ascii="Arial" w:cs="Arial" w:eastAsia="Arial" w:hAnsi="Arial"/>
                <w:sz w:val="20"/>
                <w:szCs w:val="20"/>
                <w:color w:val="231F20"/>
              </w:rPr>
              <w:t>62.89</w:t>
            </w:r>
          </w:p>
        </w:tc>
      </w:tr>
    </w:tbl>
    <w:p>
      <w:pPr>
        <w:spacing w:after="0" w:line="167" w:lineRule="exact"/>
        <w:rPr>
          <w:sz w:val="20"/>
          <w:szCs w:val="20"/>
          <w:color w:val="auto"/>
        </w:rPr>
      </w:pPr>
    </w:p>
    <w:p>
      <w:pPr>
        <w:ind w:right="160"/>
        <w:spacing w:after="0" w:line="251" w:lineRule="auto"/>
        <w:rPr>
          <w:sz w:val="20"/>
          <w:szCs w:val="20"/>
          <w:color w:val="auto"/>
        </w:rPr>
      </w:pPr>
      <w:r>
        <w:rPr>
          <w:rFonts w:ascii="Arial" w:cs="Arial" w:eastAsia="Arial" w:hAnsi="Arial"/>
          <w:sz w:val="20"/>
          <w:szCs w:val="20"/>
          <w:color w:val="231F20"/>
        </w:rPr>
        <w:t>The remaining unrecognized pre-tax compensation cost related to PSAs at December 30, 2023 was approximately $10.9 million, and the weighted-average period of time over which this cost will be recognized is 2.0 years. The fair value of PSAs that vested during 2023 was $0.3 million (4,709 shares).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Director Awards</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0"/>
          <w:szCs w:val="20"/>
          <w:color w:val="231F20"/>
        </w:rPr>
        <w:t>Stock awards are used as part of the compensation provided to outside directors under the Plans. Awards are issued annually in the second quarter. In addition, outside directors can elect to have director cash compensation paid in stock and can elect to defer payment of stock. Compensation cost is expensed at the time of an award based on the fair value of a share at the date of the award. In 2023, 2022 and 2021, we awarded 27,094, 17,649 and 12,114 shares of Company common stock to outside directors with a weighted-average fair value on the date of the award of $64.13, $73.94 and $107.73, respectively.</w:t>
      </w:r>
    </w:p>
    <w:p>
      <w:pPr>
        <w:spacing w:after="0" w:line="332" w:lineRule="exact"/>
        <w:rPr>
          <w:sz w:val="20"/>
          <w:szCs w:val="20"/>
          <w:color w:val="auto"/>
        </w:rPr>
      </w:pPr>
    </w:p>
    <w:p>
      <w:pPr>
        <w:ind w:left="520" w:hanging="514"/>
        <w:spacing w:after="0"/>
        <w:tabs>
          <w:tab w:leader="none" w:pos="520" w:val="left"/>
        </w:tabs>
        <w:numPr>
          <w:ilvl w:val="0"/>
          <w:numId w:val="40"/>
        </w:numPr>
        <w:rPr>
          <w:rFonts w:ascii="Arial" w:cs="Arial" w:eastAsia="Arial" w:hAnsi="Arial"/>
          <w:sz w:val="20"/>
          <w:szCs w:val="20"/>
          <w:b w:val="1"/>
          <w:bCs w:val="1"/>
          <w:color w:val="231F20"/>
        </w:rPr>
      </w:pPr>
      <w:r>
        <w:rPr>
          <w:rFonts w:ascii="Arial" w:cs="Arial" w:eastAsia="Arial" w:hAnsi="Arial"/>
          <w:sz w:val="20"/>
          <w:szCs w:val="20"/>
          <w:b w:val="1"/>
          <w:bCs w:val="1"/>
          <w:color w:val="231F20"/>
        </w:rPr>
        <w:t>Revenue</w:t>
      </w:r>
    </w:p>
    <w:p>
      <w:pPr>
        <w:spacing w:after="0" w:line="175" w:lineRule="exact"/>
        <w:rPr>
          <w:sz w:val="20"/>
          <w:szCs w:val="20"/>
          <w:color w:val="auto"/>
        </w:rPr>
      </w:pPr>
    </w:p>
    <w:p>
      <w:pPr>
        <w:spacing w:after="0" w:line="233" w:lineRule="auto"/>
        <w:rPr>
          <w:sz w:val="20"/>
          <w:szCs w:val="20"/>
          <w:color w:val="auto"/>
        </w:rPr>
      </w:pPr>
      <w:r>
        <w:rPr>
          <w:rFonts w:ascii="Arial" w:cs="Arial" w:eastAsia="Arial" w:hAnsi="Arial"/>
          <w:sz w:val="20"/>
          <w:szCs w:val="20"/>
          <w:color w:val="231F20"/>
        </w:rPr>
        <w:t>Our principal performance obligations are the sale of faucets, accessories, kitchen sinks, waste disposals, fiberglass and steel entry-door systems, storm, screen and security doors, composite decking and railing, urethane millwork, wide-opening exterior door systems and outdoor enclosures, locks, safes, safety and security devices, electronic security products, commercial cabinets, and kitchen and bath cabinets (collectively, “goods” or “products”). We recognize revenue for the sale of goods based on our assessment of when control transfers to our customers, which generally occurs upon shipment or delivery of the products. Revenue is measured as the amount of consideration we expect to receive in exchange for transferring goods to our customers. Payment terms on our product sales normally range from 30 to 90 days. Taxes assessed by a governmental authority that we collect are excluded from revenue. The expected costs associated with our contractual warranties will continue to be recognized as expense when the products are sold. See Note 18, "Commitments", for further discussion.</w:t>
      </w:r>
    </w:p>
    <w:p>
      <w:pPr>
        <w:spacing w:after="0" w:line="136"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color w:val="231F20"/>
        </w:rPr>
        <w:t>We record estimates to reduce revenue for customer programs and incentives, which are considered variable consideration, and include price discounts, volume-based incentives, promotions and cooperative advertising when revenue is recognized in order to determine the amount of consideration the Company will ultimately be entitled to receive. These estimates are based on historical and projected experience for each type of customer. In addition, for certain customer program incentives, we receive an identifiable benefit (goods or services) in exchange for the consideration given and record the associated expenditure in selling, general and administrative expenses. In addition, we make upfront payments to customers related to certain revenue contracts. We recognize these payments in Other current assets and Other assets in our Consolidated Balance Sheet and amortize them over the contract term as a reduction of the transaction price.</w:t>
      </w:r>
    </w:p>
    <w:p>
      <w:pPr>
        <w:sectPr>
          <w:pgSz w:w="12240" w:h="15840" w:orient="portrait"/>
          <w:cols w:equalWidth="0" w:num="1">
            <w:col w:w="9460"/>
          </w:cols>
          <w:pgMar w:left="1380" w:top="1331" w:right="1400" w:bottom="95"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76</w:t>
      </w:r>
    </w:p>
    <w:p>
      <w:pPr>
        <w:sectPr>
          <w:pgSz w:w="12240" w:h="15840" w:orient="portrait"/>
          <w:cols w:equalWidth="0" w:num="1">
            <w:col w:w="9460"/>
          </w:cols>
          <w:pgMar w:left="1380" w:top="1331" w:right="1400" w:bottom="95" w:gutter="0" w:footer="0" w:header="0"/>
          <w:type w:val="continuous"/>
        </w:sectPr>
      </w:pPr>
    </w:p>
    <w:bookmarkStart w:id="84" w:name="page85"/>
    <w:bookmarkEnd w:id="84"/>
    <w:p>
      <w:pPr>
        <w:ind w:right="120"/>
        <w:spacing w:after="0" w:line="265" w:lineRule="auto"/>
        <w:rPr>
          <w:sz w:val="20"/>
          <w:szCs w:val="20"/>
          <w:color w:val="auto"/>
        </w:rPr>
      </w:pPr>
      <w:r>
        <w:rPr>
          <w:rFonts w:ascii="Arial" w:cs="Arial" w:eastAsia="Arial" w:hAnsi="Arial"/>
          <w:sz w:val="20"/>
          <w:szCs w:val="20"/>
          <w:color w:val="231F20"/>
        </w:rPr>
        <w:t>We account for shipping and handling costs that occur after the customer has obtained control of a product as a fulfillment activity (i.e., as an expense) rather than as a promised service (i.e., as a revenue element). These costs are classified within selling, general and administrative expenses.</w:t>
      </w:r>
    </w:p>
    <w:p>
      <w:pPr>
        <w:spacing w:after="0" w:line="11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231F20"/>
        </w:rPr>
        <w:t>Settlement of our outstanding accounts receivable balances is normally within 30 to 90 days of the original sale transaction date. Obligations arise for us from customer rights to return our goods for any reason, including among others, product obsolescence, stock rotations, trade-in agreements for newer products and upon termination of a customer contract. We estimate future product returns at the time of sale based on historical experience and record a corresponding refund obligation, which amounted to $26.7 million and $27.2 million as of December 30, 2023 and December 31, 2022, respectively. Refund obligations are classified within Other current liabilities in our Consolidated Balance Sheet. Return assets related to the refund obligation are measured at the carrying amount of the goods at the time of sale, less any expected costs to recover the goods and any expected reduction in value. Return assets are classified within Other current assets in our Consolidated Balance Sheet and were approximately $4.0 million and $2.9 million as of December 30, 2023 and December 31, 2022, respectively.</w:t>
      </w:r>
    </w:p>
    <w:p>
      <w:pPr>
        <w:spacing w:after="0" w:line="137" w:lineRule="exact"/>
        <w:rPr>
          <w:sz w:val="20"/>
          <w:szCs w:val="20"/>
          <w:color w:val="auto"/>
        </w:rPr>
      </w:pPr>
    </w:p>
    <w:p>
      <w:pPr>
        <w:ind w:right="380"/>
        <w:spacing w:after="0" w:line="265" w:lineRule="auto"/>
        <w:rPr>
          <w:sz w:val="20"/>
          <w:szCs w:val="20"/>
          <w:color w:val="auto"/>
        </w:rPr>
      </w:pPr>
      <w:r>
        <w:rPr>
          <w:rFonts w:ascii="Arial" w:cs="Arial" w:eastAsia="Arial" w:hAnsi="Arial"/>
          <w:sz w:val="20"/>
          <w:szCs w:val="20"/>
          <w:color w:val="231F20"/>
        </w:rPr>
        <w:t>As part of our contracts with customers, we recognize contract liabilities, principally deferred revenue. Deferred revenue liabilities represents advanced payments and billings in excess of revenue recognized. Changes in the deferred revenue liabilities are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107315</wp:posOffset>
                </wp:positionV>
                <wp:extent cx="593915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915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8.45pt" to="468.45pt,8.45pt" o:allowincell="f" strokecolor="#231F20" strokeweight="0.506pt"/>
            </w:pict>
          </mc:Fallback>
        </mc:AlternateConten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231F20"/>
        </w:rPr>
        <w:t>(In millions)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320" w:type="dxa"/>
            <w:vAlign w:val="bottom"/>
            <w:tcBorders>
              <w:top w:val="single" w:sz="8" w:color="231F20"/>
            </w:tcBorders>
          </w:tcPr>
          <w:p>
            <w:pPr>
              <w:jc w:val="right"/>
              <w:spacing w:after="0" w:line="202" w:lineRule="exact"/>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20"/>
                <w:szCs w:val="20"/>
                <w:color w:val="231F20"/>
              </w:rPr>
              <w:t>BalanceDecember31,2021</w:t>
            </w:r>
          </w:p>
        </w:tc>
        <w:tc>
          <w:tcPr>
            <w:tcW w:w="840" w:type="dxa"/>
            <w:vAlign w:val="bottom"/>
            <w:tcBorders>
              <w:top w:val="single" w:sz="8" w:color="231F20"/>
            </w:tcBorders>
          </w:tcPr>
          <w:p>
            <w:pPr>
              <w:jc w:val="right"/>
              <w:ind w:right="619"/>
              <w:spacing w:after="0" w:line="203" w:lineRule="exact"/>
              <w:rPr>
                <w:sz w:val="20"/>
                <w:szCs w:val="20"/>
                <w:color w:val="auto"/>
              </w:rPr>
            </w:pPr>
            <w:r>
              <w:rPr>
                <w:rFonts w:ascii="Arial" w:cs="Arial" w:eastAsia="Arial" w:hAnsi="Arial"/>
                <w:sz w:val="20"/>
                <w:szCs w:val="20"/>
                <w:color w:val="231F20"/>
                <w:w w:val="89"/>
              </w:rPr>
              <w:t>$</w:t>
            </w:r>
          </w:p>
        </w:tc>
        <w:tc>
          <w:tcPr>
            <w:tcW w:w="1180" w:type="dxa"/>
            <w:vAlign w:val="bottom"/>
            <w:tcBorders>
              <w:top w:val="single" w:sz="8" w:color="231F20"/>
            </w:tcBorders>
          </w:tcPr>
          <w:p>
            <w:pPr>
              <w:jc w:val="right"/>
              <w:spacing w:after="0" w:line="203" w:lineRule="exact"/>
              <w:rPr>
                <w:sz w:val="20"/>
                <w:szCs w:val="20"/>
                <w:color w:val="auto"/>
              </w:rPr>
            </w:pPr>
            <w:r>
              <w:rPr>
                <w:rFonts w:ascii="Arial" w:cs="Arial" w:eastAsia="Arial" w:hAnsi="Arial"/>
                <w:sz w:val="20"/>
                <w:szCs w:val="20"/>
                <w:color w:val="231F20"/>
              </w:rPr>
              <w:t>22.2</w:t>
            </w:r>
          </w:p>
        </w:tc>
        <w:tc>
          <w:tcPr>
            <w:tcW w:w="80" w:type="dxa"/>
            <w:vAlign w:val="bottom"/>
          </w:tcPr>
          <w:p>
            <w:pPr>
              <w:spacing w:after="0"/>
              <w:rPr>
                <w:sz w:val="17"/>
                <w:szCs w:val="17"/>
                <w:color w:val="auto"/>
              </w:rPr>
            </w:pPr>
          </w:p>
        </w:tc>
      </w:tr>
      <w:tr>
        <w:trPr>
          <w:trHeight w:val="233"/>
        </w:trPr>
        <w:tc>
          <w:tcPr>
            <w:tcW w:w="7320" w:type="dxa"/>
            <w:vAlign w:val="bottom"/>
          </w:tcPr>
          <w:p>
            <w:pPr>
              <w:jc w:val="right"/>
              <w:spacing w:after="0"/>
              <w:rPr>
                <w:sz w:val="20"/>
                <w:szCs w:val="20"/>
                <w:color w:val="auto"/>
              </w:rPr>
            </w:pPr>
            <w:r>
              <w:rPr>
                <w:rFonts w:ascii="Arial" w:cs="Arial" w:eastAsia="Arial" w:hAnsi="Arial"/>
                <w:sz w:val="20"/>
                <w:szCs w:val="20"/>
                <w:color w:val="231F20"/>
              </w:rPr>
              <w:t xml:space="preserve">Amount from acquisitions </w:t>
            </w:r>
            <w:r>
              <w:rPr>
                <w:rFonts w:ascii="Times New Roman" w:cs="Times New Roman" w:eastAsia="Times New Roman" w:hAnsi="Times New Roman"/>
                <w:sz w:val="20"/>
                <w:szCs w:val="20"/>
                <w:color w:val="231F20"/>
              </w:rPr>
              <w:t>.................................................................................................</w:t>
            </w:r>
          </w:p>
        </w:tc>
        <w:tc>
          <w:tcPr>
            <w:tcW w:w="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231F20"/>
              </w:rPr>
              <w:t>12.0</w:t>
            </w:r>
          </w:p>
        </w:tc>
        <w:tc>
          <w:tcPr>
            <w:tcW w:w="80" w:type="dxa"/>
            <w:vAlign w:val="bottom"/>
          </w:tcPr>
          <w:p>
            <w:pPr>
              <w:spacing w:after="0"/>
              <w:rPr>
                <w:sz w:val="20"/>
                <w:szCs w:val="20"/>
                <w:color w:val="auto"/>
              </w:rPr>
            </w:pPr>
          </w:p>
        </w:tc>
      </w:tr>
      <w:tr>
        <w:trPr>
          <w:trHeight w:val="233"/>
        </w:trPr>
        <w:tc>
          <w:tcPr>
            <w:tcW w:w="7320" w:type="dxa"/>
            <w:vAlign w:val="bottom"/>
          </w:tcPr>
          <w:p>
            <w:pPr>
              <w:jc w:val="right"/>
              <w:spacing w:after="0"/>
              <w:rPr>
                <w:sz w:val="20"/>
                <w:szCs w:val="20"/>
                <w:color w:val="auto"/>
              </w:rPr>
            </w:pPr>
            <w:r>
              <w:rPr>
                <w:rFonts w:ascii="Arial" w:cs="Arial" w:eastAsia="Arial" w:hAnsi="Arial"/>
                <w:sz w:val="20"/>
                <w:szCs w:val="20"/>
                <w:color w:val="231F20"/>
              </w:rPr>
              <w:t>Customer deposits</w:t>
            </w:r>
            <w:r>
              <w:rPr>
                <w:rFonts w:ascii="Times New Roman" w:cs="Times New Roman" w:eastAsia="Times New Roman" w:hAnsi="Times New Roman"/>
                <w:sz w:val="20"/>
                <w:szCs w:val="20"/>
                <w:color w:val="231F20"/>
              </w:rPr>
              <w:t>.............................................................................................................</w:t>
            </w:r>
          </w:p>
        </w:tc>
        <w:tc>
          <w:tcPr>
            <w:tcW w:w="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231F20"/>
              </w:rPr>
              <w:t>32.2</w:t>
            </w:r>
          </w:p>
        </w:tc>
        <w:tc>
          <w:tcPr>
            <w:tcW w:w="80" w:type="dxa"/>
            <w:vAlign w:val="bottom"/>
          </w:tcPr>
          <w:p>
            <w:pPr>
              <w:spacing w:after="0"/>
              <w:rPr>
                <w:sz w:val="20"/>
                <w:szCs w:val="20"/>
                <w:color w:val="auto"/>
              </w:rPr>
            </w:pPr>
          </w:p>
        </w:tc>
      </w:tr>
      <w:tr>
        <w:trPr>
          <w:trHeight w:val="233"/>
        </w:trPr>
        <w:tc>
          <w:tcPr>
            <w:tcW w:w="7320" w:type="dxa"/>
            <w:vAlign w:val="bottom"/>
          </w:tcPr>
          <w:p>
            <w:pPr>
              <w:jc w:val="right"/>
              <w:spacing w:after="0"/>
              <w:rPr>
                <w:sz w:val="20"/>
                <w:szCs w:val="20"/>
                <w:color w:val="auto"/>
              </w:rPr>
            </w:pPr>
            <w:r>
              <w:rPr>
                <w:rFonts w:ascii="Arial" w:cs="Arial" w:eastAsia="Arial" w:hAnsi="Arial"/>
                <w:sz w:val="20"/>
                <w:szCs w:val="20"/>
                <w:color w:val="231F20"/>
              </w:rPr>
              <w:t xml:space="preserve">Revenue recognized </w:t>
            </w:r>
            <w:r>
              <w:rPr>
                <w:rFonts w:ascii="Times New Roman" w:cs="Times New Roman" w:eastAsia="Times New Roman" w:hAnsi="Times New Roman"/>
                <w:sz w:val="20"/>
                <w:szCs w:val="20"/>
                <w:color w:val="231F20"/>
              </w:rPr>
              <w:t>.........................................................................................................</w:t>
            </w:r>
          </w:p>
        </w:tc>
        <w:tc>
          <w:tcPr>
            <w:tcW w:w="8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231F20"/>
              </w:rPr>
              <w:t>(32.8)</w:t>
            </w:r>
          </w:p>
        </w:tc>
      </w:tr>
      <w:tr>
        <w:trPr>
          <w:trHeight w:val="253"/>
        </w:trPr>
        <w:tc>
          <w:tcPr>
            <w:tcW w:w="7320" w:type="dxa"/>
            <w:vAlign w:val="bottom"/>
          </w:tcPr>
          <w:p>
            <w:pPr>
              <w:jc w:val="right"/>
              <w:spacing w:after="0"/>
              <w:rPr>
                <w:sz w:val="20"/>
                <w:szCs w:val="20"/>
                <w:color w:val="auto"/>
              </w:rPr>
            </w:pPr>
            <w:r>
              <w:rPr>
                <w:rFonts w:ascii="Arial" w:cs="Arial" w:eastAsia="Arial" w:hAnsi="Arial"/>
                <w:sz w:val="20"/>
                <w:szCs w:val="20"/>
                <w:color w:val="231F20"/>
              </w:rPr>
              <w:t xml:space="preserve">Foreign currency and other </w:t>
            </w:r>
            <w:r>
              <w:rPr>
                <w:rFonts w:ascii="Times New Roman" w:cs="Times New Roman" w:eastAsia="Times New Roman" w:hAnsi="Times New Roman"/>
                <w:sz w:val="20"/>
                <w:szCs w:val="20"/>
                <w:color w:val="231F20"/>
              </w:rPr>
              <w:t>..............................................................................................</w:t>
            </w:r>
          </w:p>
        </w:tc>
        <w:tc>
          <w:tcPr>
            <w:tcW w:w="84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231F20"/>
              </w:rPr>
              <w:t>(1.5)</w:t>
            </w:r>
          </w:p>
        </w:tc>
      </w:tr>
      <w:tr>
        <w:trPr>
          <w:trHeight w:val="202"/>
        </w:trPr>
        <w:tc>
          <w:tcPr>
            <w:tcW w:w="7320" w:type="dxa"/>
            <w:vAlign w:val="bottom"/>
            <w:tcBorders>
              <w:top w:val="single" w:sz="8" w:color="231F20"/>
            </w:tcBorders>
          </w:tcPr>
          <w:p>
            <w:pPr>
              <w:jc w:val="right"/>
              <w:spacing w:after="0" w:line="202" w:lineRule="exact"/>
              <w:rPr>
                <w:sz w:val="20"/>
                <w:szCs w:val="20"/>
                <w:color w:val="auto"/>
              </w:rPr>
            </w:pPr>
            <w:r>
              <w:rPr>
                <w:rFonts w:ascii="Arial" w:cs="Arial" w:eastAsia="Arial" w:hAnsi="Arial"/>
                <w:sz w:val="20"/>
                <w:szCs w:val="20"/>
                <w:color w:val="231F20"/>
              </w:rPr>
              <w:t>Balance December 31, 2022</w:t>
            </w:r>
            <w:r>
              <w:rPr>
                <w:rFonts w:ascii="Times New Roman" w:cs="Times New Roman" w:eastAsia="Times New Roman" w:hAnsi="Times New Roman"/>
                <w:sz w:val="20"/>
                <w:szCs w:val="20"/>
                <w:color w:val="231F20"/>
              </w:rPr>
              <w:t>..............................................................................................</w:t>
            </w:r>
          </w:p>
        </w:tc>
        <w:tc>
          <w:tcPr>
            <w:tcW w:w="840" w:type="dxa"/>
            <w:vAlign w:val="bottom"/>
            <w:tcBorders>
              <w:top w:val="single" w:sz="8" w:color="231F20"/>
            </w:tcBorders>
          </w:tcPr>
          <w:p>
            <w:pPr>
              <w:jc w:val="right"/>
              <w:ind w:right="619"/>
              <w:spacing w:after="0" w:line="203" w:lineRule="exact"/>
              <w:rPr>
                <w:sz w:val="20"/>
                <w:szCs w:val="20"/>
                <w:color w:val="auto"/>
              </w:rPr>
            </w:pPr>
            <w:r>
              <w:rPr>
                <w:rFonts w:ascii="Arial" w:cs="Arial" w:eastAsia="Arial" w:hAnsi="Arial"/>
                <w:sz w:val="20"/>
                <w:szCs w:val="20"/>
                <w:color w:val="231F20"/>
                <w:w w:val="89"/>
              </w:rPr>
              <w:t>$</w:t>
            </w:r>
          </w:p>
        </w:tc>
        <w:tc>
          <w:tcPr>
            <w:tcW w:w="1180" w:type="dxa"/>
            <w:vAlign w:val="bottom"/>
            <w:tcBorders>
              <w:top w:val="single" w:sz="8" w:color="231F20"/>
            </w:tcBorders>
          </w:tcPr>
          <w:p>
            <w:pPr>
              <w:jc w:val="right"/>
              <w:spacing w:after="0" w:line="203" w:lineRule="exact"/>
              <w:rPr>
                <w:sz w:val="20"/>
                <w:szCs w:val="20"/>
                <w:color w:val="auto"/>
              </w:rPr>
            </w:pPr>
            <w:r>
              <w:rPr>
                <w:rFonts w:ascii="Arial" w:cs="Arial" w:eastAsia="Arial" w:hAnsi="Arial"/>
                <w:sz w:val="20"/>
                <w:szCs w:val="20"/>
                <w:color w:val="231F20"/>
              </w:rPr>
              <w:t>32.1</w:t>
            </w:r>
          </w:p>
        </w:tc>
        <w:tc>
          <w:tcPr>
            <w:tcW w:w="80" w:type="dxa"/>
            <w:vAlign w:val="bottom"/>
          </w:tcPr>
          <w:p>
            <w:pPr>
              <w:spacing w:after="0"/>
              <w:rPr>
                <w:sz w:val="17"/>
                <w:szCs w:val="17"/>
                <w:color w:val="auto"/>
              </w:rPr>
            </w:pPr>
          </w:p>
        </w:tc>
      </w:tr>
      <w:tr>
        <w:trPr>
          <w:trHeight w:val="233"/>
        </w:trPr>
        <w:tc>
          <w:tcPr>
            <w:tcW w:w="7320" w:type="dxa"/>
            <w:vAlign w:val="bottom"/>
          </w:tcPr>
          <w:p>
            <w:pPr>
              <w:jc w:val="right"/>
              <w:spacing w:after="0"/>
              <w:rPr>
                <w:sz w:val="20"/>
                <w:szCs w:val="20"/>
                <w:color w:val="auto"/>
              </w:rPr>
            </w:pPr>
            <w:r>
              <w:rPr>
                <w:rFonts w:ascii="Arial" w:cs="Arial" w:eastAsia="Arial" w:hAnsi="Arial"/>
                <w:sz w:val="20"/>
                <w:szCs w:val="20"/>
                <w:color w:val="231F20"/>
              </w:rPr>
              <w:t xml:space="preserve">Amount from acquisitions </w:t>
            </w:r>
            <w:r>
              <w:rPr>
                <w:rFonts w:ascii="Times New Roman" w:cs="Times New Roman" w:eastAsia="Times New Roman" w:hAnsi="Times New Roman"/>
                <w:sz w:val="20"/>
                <w:szCs w:val="20"/>
                <w:color w:val="231F20"/>
              </w:rPr>
              <w:t>.................................................................................................</w:t>
            </w:r>
          </w:p>
        </w:tc>
        <w:tc>
          <w:tcPr>
            <w:tcW w:w="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231F20"/>
              </w:rPr>
              <w:t>10.1</w:t>
            </w:r>
          </w:p>
        </w:tc>
        <w:tc>
          <w:tcPr>
            <w:tcW w:w="80" w:type="dxa"/>
            <w:vAlign w:val="bottom"/>
          </w:tcPr>
          <w:p>
            <w:pPr>
              <w:spacing w:after="0"/>
              <w:rPr>
                <w:sz w:val="20"/>
                <w:szCs w:val="20"/>
                <w:color w:val="auto"/>
              </w:rPr>
            </w:pPr>
          </w:p>
        </w:tc>
      </w:tr>
      <w:tr>
        <w:trPr>
          <w:trHeight w:val="233"/>
        </w:trPr>
        <w:tc>
          <w:tcPr>
            <w:tcW w:w="7320" w:type="dxa"/>
            <w:vAlign w:val="bottom"/>
          </w:tcPr>
          <w:p>
            <w:pPr>
              <w:jc w:val="right"/>
              <w:spacing w:after="0"/>
              <w:rPr>
                <w:sz w:val="20"/>
                <w:szCs w:val="20"/>
                <w:color w:val="auto"/>
              </w:rPr>
            </w:pPr>
            <w:r>
              <w:rPr>
                <w:rFonts w:ascii="Arial" w:cs="Arial" w:eastAsia="Arial" w:hAnsi="Arial"/>
                <w:sz w:val="20"/>
                <w:szCs w:val="20"/>
                <w:color w:val="231F20"/>
              </w:rPr>
              <w:t>Customer deposits</w:t>
            </w:r>
            <w:r>
              <w:rPr>
                <w:rFonts w:ascii="Times New Roman" w:cs="Times New Roman" w:eastAsia="Times New Roman" w:hAnsi="Times New Roman"/>
                <w:sz w:val="20"/>
                <w:szCs w:val="20"/>
                <w:color w:val="231F20"/>
              </w:rPr>
              <w:t>.............................................................................................................</w:t>
            </w:r>
          </w:p>
        </w:tc>
        <w:tc>
          <w:tcPr>
            <w:tcW w:w="8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231F20"/>
              </w:rPr>
              <w:t>30.1</w:t>
            </w:r>
          </w:p>
        </w:tc>
        <w:tc>
          <w:tcPr>
            <w:tcW w:w="80" w:type="dxa"/>
            <w:vAlign w:val="bottom"/>
          </w:tcPr>
          <w:p>
            <w:pPr>
              <w:spacing w:after="0"/>
              <w:rPr>
                <w:sz w:val="20"/>
                <w:szCs w:val="20"/>
                <w:color w:val="auto"/>
              </w:rPr>
            </w:pPr>
          </w:p>
        </w:tc>
      </w:tr>
      <w:tr>
        <w:trPr>
          <w:trHeight w:val="233"/>
        </w:trPr>
        <w:tc>
          <w:tcPr>
            <w:tcW w:w="7320" w:type="dxa"/>
            <w:vAlign w:val="bottom"/>
          </w:tcPr>
          <w:p>
            <w:pPr>
              <w:jc w:val="right"/>
              <w:spacing w:after="0"/>
              <w:rPr>
                <w:sz w:val="20"/>
                <w:szCs w:val="20"/>
                <w:color w:val="auto"/>
              </w:rPr>
            </w:pPr>
            <w:r>
              <w:rPr>
                <w:rFonts w:ascii="Arial" w:cs="Arial" w:eastAsia="Arial" w:hAnsi="Arial"/>
                <w:sz w:val="20"/>
                <w:szCs w:val="20"/>
                <w:color w:val="231F20"/>
              </w:rPr>
              <w:t xml:space="preserve">Revenue recognized </w:t>
            </w:r>
            <w:r>
              <w:rPr>
                <w:rFonts w:ascii="Times New Roman" w:cs="Times New Roman" w:eastAsia="Times New Roman" w:hAnsi="Times New Roman"/>
                <w:sz w:val="20"/>
                <w:szCs w:val="20"/>
                <w:color w:val="231F20"/>
              </w:rPr>
              <w:t>.........................................................................................................</w:t>
            </w:r>
          </w:p>
        </w:tc>
        <w:tc>
          <w:tcPr>
            <w:tcW w:w="8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231F20"/>
              </w:rPr>
              <w:t>(31.7)</w:t>
            </w:r>
          </w:p>
        </w:tc>
      </w:tr>
      <w:tr>
        <w:trPr>
          <w:trHeight w:val="253"/>
        </w:trPr>
        <w:tc>
          <w:tcPr>
            <w:tcW w:w="7320" w:type="dxa"/>
            <w:vAlign w:val="bottom"/>
          </w:tcPr>
          <w:p>
            <w:pPr>
              <w:jc w:val="right"/>
              <w:spacing w:after="0"/>
              <w:rPr>
                <w:sz w:val="20"/>
                <w:szCs w:val="20"/>
                <w:color w:val="auto"/>
              </w:rPr>
            </w:pPr>
            <w:r>
              <w:rPr>
                <w:rFonts w:ascii="Arial" w:cs="Arial" w:eastAsia="Arial" w:hAnsi="Arial"/>
                <w:sz w:val="20"/>
                <w:szCs w:val="20"/>
                <w:color w:val="231F20"/>
              </w:rPr>
              <w:t xml:space="preserve">Foreign currency and other </w:t>
            </w:r>
            <w:r>
              <w:rPr>
                <w:rFonts w:ascii="Times New Roman" w:cs="Times New Roman" w:eastAsia="Times New Roman" w:hAnsi="Times New Roman"/>
                <w:sz w:val="20"/>
                <w:szCs w:val="20"/>
                <w:color w:val="231F20"/>
              </w:rPr>
              <w:t>..............................................................................................</w:t>
            </w:r>
          </w:p>
        </w:tc>
        <w:tc>
          <w:tcPr>
            <w:tcW w:w="84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20"/>
                <w:szCs w:val="20"/>
                <w:color w:val="231F20"/>
              </w:rPr>
              <w:t>(0.4)</w:t>
            </w:r>
          </w:p>
        </w:tc>
      </w:tr>
      <w:tr>
        <w:trPr>
          <w:trHeight w:val="248"/>
        </w:trPr>
        <w:tc>
          <w:tcPr>
            <w:tcW w:w="7320" w:type="dxa"/>
            <w:vAlign w:val="bottom"/>
            <w:tcBorders>
              <w:top w:val="single" w:sz="8" w:color="231F20"/>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Balance December 30, 2023</w:t>
            </w:r>
            <w:r>
              <w:rPr>
                <w:rFonts w:ascii="Times New Roman" w:cs="Times New Roman" w:eastAsia="Times New Roman" w:hAnsi="Times New Roman"/>
                <w:sz w:val="20"/>
                <w:szCs w:val="20"/>
                <w:color w:val="231F20"/>
              </w:rPr>
              <w:t>..............................................................................................</w:t>
            </w:r>
          </w:p>
        </w:tc>
        <w:tc>
          <w:tcPr>
            <w:tcW w:w="840" w:type="dxa"/>
            <w:vAlign w:val="bottom"/>
            <w:tcBorders>
              <w:top w:val="single" w:sz="8" w:color="231F20"/>
              <w:bottom w:val="single" w:sz="8" w:color="231F20"/>
            </w:tcBorders>
          </w:tcPr>
          <w:p>
            <w:pPr>
              <w:jc w:val="right"/>
              <w:ind w:right="619"/>
              <w:spacing w:after="0" w:line="223" w:lineRule="exact"/>
              <w:rPr>
                <w:sz w:val="20"/>
                <w:szCs w:val="20"/>
                <w:color w:val="auto"/>
              </w:rPr>
            </w:pPr>
            <w:r>
              <w:rPr>
                <w:rFonts w:ascii="Arial" w:cs="Arial" w:eastAsia="Arial" w:hAnsi="Arial"/>
                <w:sz w:val="20"/>
                <w:szCs w:val="20"/>
                <w:color w:val="231F20"/>
                <w:w w:val="89"/>
              </w:rPr>
              <w:t>$</w:t>
            </w:r>
          </w:p>
        </w:tc>
        <w:tc>
          <w:tcPr>
            <w:tcW w:w="1180" w:type="dxa"/>
            <w:vAlign w:val="bottom"/>
            <w:tcBorders>
              <w:top w:val="single" w:sz="8" w:color="231F20"/>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40.2</w:t>
            </w:r>
          </w:p>
        </w:tc>
        <w:tc>
          <w:tcPr>
            <w:tcW w:w="80" w:type="dxa"/>
            <w:vAlign w:val="bottom"/>
          </w:tcPr>
          <w:p>
            <w:pPr>
              <w:spacing w:after="0"/>
              <w:rPr>
                <w:sz w:val="21"/>
                <w:szCs w:val="21"/>
                <w:color w:val="auto"/>
              </w:rPr>
            </w:pPr>
          </w:p>
        </w:tc>
      </w:tr>
    </w:tbl>
    <w:p>
      <w:pPr>
        <w:spacing w:after="0" w:line="163"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231F20"/>
        </w:rPr>
        <w:t>Deferred revenue liabilities of $32.3 million, $32.1 million and $22.2 million as of December 30, 2023, December 31, 2022 and December 31, 2021, respectively, were included in Other current liabilities in our Consolidated Balance Sheet and $ 7.9 million as of December 30, 2023, was included in Other noncurrent liabilities in our Consolidated Balance Sheet.</w:t>
      </w:r>
    </w:p>
    <w:p>
      <w:pPr>
        <w:spacing w:after="0" w:line="127"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231F20"/>
        </w:rPr>
        <w:t>The Company disaggregates revenue from contracts with customers into (i) major sales distribution channels in the U.S. and (ii) total sales to customers outside the U.S. market as these categories depict the nature, amount, timing and uncertainty of revenues and cash flows that are affected by economic factors. The following table disaggregates our consolidated revenue by major sales distribution channels for the years ended December 30, 2023, and December 31, 2022 and December 31, 2021.</w:t>
      </w:r>
    </w:p>
    <w:p>
      <w:pPr>
        <w:spacing w:after="0" w:line="67" w:lineRule="exact"/>
        <w:rPr>
          <w:sz w:val="20"/>
          <w:szCs w:val="20"/>
          <w:color w:val="auto"/>
        </w:rPr>
      </w:pPr>
    </w:p>
    <w:tbl>
      <w:tblPr>
        <w:tblLayout w:type="fixed"/>
        <w:tblInd w:w="480" w:type="dxa"/>
        <w:tblCellMar>
          <w:top w:w="0" w:type="dxa"/>
          <w:left w:w="0" w:type="dxa"/>
          <w:bottom w:w="0" w:type="dxa"/>
          <w:right w:w="0" w:type="dxa"/>
        </w:tblCellMar>
      </w:tblPr>
      <w:tr>
        <w:trPr>
          <w:trHeight w:val="170"/>
        </w:trPr>
        <w:tc>
          <w:tcPr>
            <w:tcW w:w="4480" w:type="dxa"/>
            <w:vAlign w:val="bottom"/>
            <w:tcBorders>
              <w:top w:val="single" w:sz="8" w:color="231F20"/>
            </w:tcBorders>
            <w:vMerge w:val="restart"/>
          </w:tcPr>
          <w:p>
            <w:pPr>
              <w:jc w:val="right"/>
              <w:spacing w:after="0"/>
              <w:rPr>
                <w:sz w:val="20"/>
                <w:szCs w:val="20"/>
                <w:color w:val="auto"/>
              </w:rPr>
            </w:pPr>
            <w:r>
              <w:rPr>
                <w:rFonts w:ascii="Arial" w:cs="Arial" w:eastAsia="Arial" w:hAnsi="Arial"/>
                <w:sz w:val="16"/>
                <w:szCs w:val="16"/>
                <w:i w:val="1"/>
                <w:iCs w:val="1"/>
                <w:color w:val="231F20"/>
              </w:rPr>
              <w:t xml:space="preserve">(In millions) </w:t>
            </w:r>
            <w:r>
              <w:rPr>
                <w:rFonts w:ascii="Times New Roman" w:cs="Times New Roman" w:eastAsia="Times New Roman" w:hAnsi="Times New Roman"/>
                <w:sz w:val="20"/>
                <w:szCs w:val="20"/>
                <w:color w:val="231F20"/>
              </w:rPr>
              <w:t>......................................................................</w:t>
            </w:r>
          </w:p>
        </w:tc>
        <w:tc>
          <w:tcPr>
            <w:tcW w:w="220" w:type="dxa"/>
            <w:vAlign w:val="bottom"/>
            <w:tcBorders>
              <w:top w:val="single" w:sz="8" w:color="231F20"/>
            </w:tcBorders>
          </w:tcPr>
          <w:p>
            <w:pPr>
              <w:spacing w:after="0"/>
              <w:rPr>
                <w:sz w:val="14"/>
                <w:szCs w:val="14"/>
                <w:color w:val="auto"/>
              </w:rPr>
            </w:pPr>
          </w:p>
        </w:tc>
        <w:tc>
          <w:tcPr>
            <w:tcW w:w="1100" w:type="dxa"/>
            <w:vAlign w:val="bottom"/>
            <w:tcBorders>
              <w:top w:val="single" w:sz="8" w:color="231F20"/>
            </w:tcBorders>
          </w:tcPr>
          <w:p>
            <w:pPr>
              <w:jc w:val="right"/>
              <w:ind w:right="5"/>
              <w:spacing w:after="0" w:line="169" w:lineRule="exact"/>
              <w:rPr>
                <w:sz w:val="20"/>
                <w:szCs w:val="20"/>
                <w:color w:val="auto"/>
              </w:rPr>
            </w:pPr>
            <w:r>
              <w:rPr>
                <w:rFonts w:ascii="Arial" w:cs="Arial" w:eastAsia="Arial" w:hAnsi="Arial"/>
                <w:sz w:val="15"/>
                <w:szCs w:val="15"/>
                <w:color w:val="231F20"/>
              </w:rPr>
              <w:t>December 30,</w:t>
            </w:r>
          </w:p>
        </w:tc>
        <w:tc>
          <w:tcPr>
            <w:tcW w:w="260" w:type="dxa"/>
            <w:vAlign w:val="bottom"/>
            <w:tcBorders>
              <w:top w:val="single" w:sz="8" w:color="231F20"/>
            </w:tcBorders>
          </w:tcPr>
          <w:p>
            <w:pPr>
              <w:spacing w:after="0"/>
              <w:rPr>
                <w:sz w:val="14"/>
                <w:szCs w:val="14"/>
                <w:color w:val="auto"/>
              </w:rPr>
            </w:pPr>
          </w:p>
        </w:tc>
        <w:tc>
          <w:tcPr>
            <w:tcW w:w="1100" w:type="dxa"/>
            <w:vAlign w:val="bottom"/>
            <w:tcBorders>
              <w:top w:val="single" w:sz="8" w:color="231F20"/>
            </w:tcBorders>
          </w:tcPr>
          <w:p>
            <w:pPr>
              <w:jc w:val="right"/>
              <w:ind w:right="5"/>
              <w:spacing w:after="0" w:line="169" w:lineRule="exact"/>
              <w:rPr>
                <w:sz w:val="20"/>
                <w:szCs w:val="20"/>
                <w:color w:val="auto"/>
              </w:rPr>
            </w:pPr>
            <w:r>
              <w:rPr>
                <w:rFonts w:ascii="Arial" w:cs="Arial" w:eastAsia="Arial" w:hAnsi="Arial"/>
                <w:sz w:val="15"/>
                <w:szCs w:val="15"/>
                <w:color w:val="231F20"/>
              </w:rPr>
              <w:t>December 31,</w:t>
            </w:r>
          </w:p>
        </w:tc>
        <w:tc>
          <w:tcPr>
            <w:tcW w:w="260" w:type="dxa"/>
            <w:vAlign w:val="bottom"/>
            <w:tcBorders>
              <w:top w:val="single" w:sz="8" w:color="231F20"/>
            </w:tcBorders>
          </w:tcPr>
          <w:p>
            <w:pPr>
              <w:spacing w:after="0"/>
              <w:rPr>
                <w:sz w:val="14"/>
                <w:szCs w:val="14"/>
                <w:color w:val="auto"/>
              </w:rPr>
            </w:pPr>
          </w:p>
        </w:tc>
        <w:tc>
          <w:tcPr>
            <w:tcW w:w="1100" w:type="dxa"/>
            <w:vAlign w:val="bottom"/>
            <w:tcBorders>
              <w:top w:val="single" w:sz="8" w:color="231F20"/>
            </w:tcBorders>
          </w:tcPr>
          <w:p>
            <w:pPr>
              <w:jc w:val="right"/>
              <w:ind w:right="5"/>
              <w:spacing w:after="0" w:line="169" w:lineRule="exact"/>
              <w:rPr>
                <w:sz w:val="20"/>
                <w:szCs w:val="20"/>
                <w:color w:val="auto"/>
              </w:rPr>
            </w:pPr>
            <w:r>
              <w:rPr>
                <w:rFonts w:ascii="Arial" w:cs="Arial" w:eastAsia="Arial" w:hAnsi="Arial"/>
                <w:sz w:val="15"/>
                <w:szCs w:val="15"/>
                <w:color w:val="231F20"/>
              </w:rPr>
              <w:t>December 31,</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231F20"/>
            </w:tcBorders>
            <w:vMerge w:val="continue"/>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right"/>
              <w:ind w:right="5"/>
              <w:spacing w:after="0"/>
              <w:rPr>
                <w:sz w:val="20"/>
                <w:szCs w:val="20"/>
                <w:color w:val="auto"/>
              </w:rPr>
            </w:pPr>
            <w:r>
              <w:rPr>
                <w:rFonts w:ascii="Arial" w:cs="Arial" w:eastAsia="Arial" w:hAnsi="Arial"/>
                <w:sz w:val="15"/>
                <w:szCs w:val="15"/>
                <w:color w:val="231F20"/>
              </w:rPr>
              <w:t>2023</w:t>
            </w:r>
          </w:p>
        </w:tc>
        <w:tc>
          <w:tcPr>
            <w:tcW w:w="26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right"/>
              <w:ind w:right="5"/>
              <w:spacing w:after="0"/>
              <w:rPr>
                <w:sz w:val="20"/>
                <w:szCs w:val="20"/>
                <w:color w:val="auto"/>
              </w:rPr>
            </w:pPr>
            <w:r>
              <w:rPr>
                <w:rFonts w:ascii="Arial" w:cs="Arial" w:eastAsia="Arial" w:hAnsi="Arial"/>
                <w:sz w:val="15"/>
                <w:szCs w:val="15"/>
                <w:color w:val="231F20"/>
              </w:rPr>
              <w:t>2022</w:t>
            </w:r>
          </w:p>
        </w:tc>
        <w:tc>
          <w:tcPr>
            <w:tcW w:w="26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right"/>
              <w:ind w:right="5"/>
              <w:spacing w:after="0"/>
              <w:rPr>
                <w:sz w:val="20"/>
                <w:szCs w:val="20"/>
                <w:color w:val="auto"/>
              </w:rPr>
            </w:pPr>
            <w:r>
              <w:rPr>
                <w:rFonts w:ascii="Arial" w:cs="Arial" w:eastAsia="Arial" w:hAnsi="Arial"/>
                <w:sz w:val="15"/>
                <w:szCs w:val="15"/>
                <w:color w:val="231F20"/>
              </w:rPr>
              <w:t>2021</w:t>
            </w:r>
          </w:p>
        </w:tc>
        <w:tc>
          <w:tcPr>
            <w:tcW w:w="0" w:type="dxa"/>
            <w:vAlign w:val="bottom"/>
          </w:tcPr>
          <w:p>
            <w:pPr>
              <w:spacing w:after="0"/>
              <w:rPr>
                <w:sz w:val="1"/>
                <w:szCs w:val="1"/>
                <w:color w:val="auto"/>
              </w:rPr>
            </w:pPr>
          </w:p>
        </w:tc>
      </w:tr>
      <w:tr>
        <w:trPr>
          <w:trHeight w:val="202"/>
        </w:trPr>
        <w:tc>
          <w:tcPr>
            <w:tcW w:w="4480" w:type="dxa"/>
            <w:vAlign w:val="bottom"/>
          </w:tcPr>
          <w:p>
            <w:pPr>
              <w:jc w:val="right"/>
              <w:spacing w:after="0" w:line="202" w:lineRule="exact"/>
              <w:rPr>
                <w:sz w:val="20"/>
                <w:szCs w:val="20"/>
                <w:color w:val="auto"/>
              </w:rPr>
            </w:pPr>
            <w:r>
              <w:rPr>
                <w:rFonts w:ascii="Arial" w:cs="Arial" w:eastAsia="Arial" w:hAnsi="Arial"/>
                <w:sz w:val="18"/>
                <w:szCs w:val="18"/>
                <w:color w:val="231F20"/>
              </w:rPr>
              <w:t>Wholesalers</w:t>
            </w:r>
            <w:r>
              <w:rPr>
                <w:rFonts w:ascii="Arial" w:cs="Arial" w:eastAsia="Arial" w:hAnsi="Arial"/>
                <w:sz w:val="23"/>
                <w:szCs w:val="23"/>
                <w:color w:val="231F20"/>
                <w:vertAlign w:val="superscript"/>
              </w:rPr>
              <w:t>(a)</w:t>
            </w:r>
            <w:r>
              <w:rPr>
                <w:rFonts w:ascii="Times New Roman" w:cs="Times New Roman" w:eastAsia="Times New Roman" w:hAnsi="Times New Roman"/>
                <w:sz w:val="18"/>
                <w:szCs w:val="18"/>
                <w:color w:val="231F20"/>
              </w:rPr>
              <w:t>..............................................................</w:t>
            </w:r>
          </w:p>
        </w:tc>
        <w:tc>
          <w:tcPr>
            <w:tcW w:w="22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1100" w:type="dxa"/>
            <w:vAlign w:val="bottom"/>
          </w:tcPr>
          <w:p>
            <w:pPr>
              <w:jc w:val="right"/>
              <w:ind w:right="5"/>
              <w:spacing w:after="0" w:line="203" w:lineRule="exact"/>
              <w:rPr>
                <w:sz w:val="20"/>
                <w:szCs w:val="20"/>
                <w:color w:val="auto"/>
              </w:rPr>
            </w:pPr>
            <w:r>
              <w:rPr>
                <w:rFonts w:ascii="Arial" w:cs="Arial" w:eastAsia="Arial" w:hAnsi="Arial"/>
                <w:sz w:val="20"/>
                <w:szCs w:val="20"/>
                <w:color w:val="231F20"/>
              </w:rPr>
              <w:t>2,126.2</w:t>
            </w:r>
          </w:p>
        </w:tc>
        <w:tc>
          <w:tcPr>
            <w:tcW w:w="26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1100" w:type="dxa"/>
            <w:vAlign w:val="bottom"/>
          </w:tcPr>
          <w:p>
            <w:pPr>
              <w:jc w:val="right"/>
              <w:ind w:right="5"/>
              <w:spacing w:after="0" w:line="203" w:lineRule="exact"/>
              <w:rPr>
                <w:sz w:val="20"/>
                <w:szCs w:val="20"/>
                <w:color w:val="auto"/>
              </w:rPr>
            </w:pPr>
            <w:r>
              <w:rPr>
                <w:rFonts w:ascii="Arial" w:cs="Arial" w:eastAsia="Arial" w:hAnsi="Arial"/>
                <w:sz w:val="20"/>
                <w:szCs w:val="20"/>
                <w:color w:val="231F20"/>
              </w:rPr>
              <w:t>2,100.0</w:t>
            </w:r>
          </w:p>
        </w:tc>
        <w:tc>
          <w:tcPr>
            <w:tcW w:w="26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1100" w:type="dxa"/>
            <w:vAlign w:val="bottom"/>
          </w:tcPr>
          <w:p>
            <w:pPr>
              <w:jc w:val="right"/>
              <w:ind w:right="5"/>
              <w:spacing w:after="0" w:line="203" w:lineRule="exact"/>
              <w:rPr>
                <w:sz w:val="20"/>
                <w:szCs w:val="20"/>
                <w:color w:val="auto"/>
              </w:rPr>
            </w:pPr>
            <w:r>
              <w:rPr>
                <w:rFonts w:ascii="Arial" w:cs="Arial" w:eastAsia="Arial" w:hAnsi="Arial"/>
                <w:sz w:val="20"/>
                <w:szCs w:val="20"/>
                <w:color w:val="231F20"/>
              </w:rPr>
              <w:t>2,027.9</w:t>
            </w:r>
          </w:p>
        </w:tc>
        <w:tc>
          <w:tcPr>
            <w:tcW w:w="0" w:type="dxa"/>
            <w:vAlign w:val="bottom"/>
          </w:tcPr>
          <w:p>
            <w:pPr>
              <w:spacing w:after="0"/>
              <w:rPr>
                <w:sz w:val="1"/>
                <w:szCs w:val="1"/>
                <w:color w:val="auto"/>
              </w:rPr>
            </w:pPr>
          </w:p>
        </w:tc>
      </w:tr>
      <w:tr>
        <w:trPr>
          <w:trHeight w:val="233"/>
        </w:trPr>
        <w:tc>
          <w:tcPr>
            <w:tcW w:w="4480" w:type="dxa"/>
            <w:vAlign w:val="bottom"/>
          </w:tcPr>
          <w:p>
            <w:pPr>
              <w:jc w:val="right"/>
              <w:spacing w:after="0" w:line="232" w:lineRule="exact"/>
              <w:rPr>
                <w:sz w:val="20"/>
                <w:szCs w:val="20"/>
                <w:color w:val="auto"/>
              </w:rPr>
            </w:pPr>
            <w:r>
              <w:rPr>
                <w:rFonts w:ascii="Arial" w:cs="Arial" w:eastAsia="Arial" w:hAnsi="Arial"/>
                <w:sz w:val="20"/>
                <w:szCs w:val="20"/>
                <w:color w:val="231F20"/>
                <w:w w:val="99"/>
              </w:rPr>
              <w:t>Home Center retailers</w:t>
            </w:r>
            <w:r>
              <w:rPr>
                <w:rFonts w:ascii="Arial" w:cs="Arial" w:eastAsia="Arial" w:hAnsi="Arial"/>
                <w:sz w:val="26"/>
                <w:szCs w:val="26"/>
                <w:color w:val="231F20"/>
                <w:w w:val="99"/>
                <w:vertAlign w:val="superscript"/>
              </w:rPr>
              <w:t>(b)</w:t>
            </w:r>
            <w:r>
              <w:rPr>
                <w:rFonts w:ascii="Arial" w:cs="Arial" w:eastAsia="Arial" w:hAnsi="Arial"/>
                <w:sz w:val="20"/>
                <w:szCs w:val="20"/>
                <w:color w:val="231F20"/>
                <w:w w:val="99"/>
              </w:rPr>
              <w:t xml:space="preserve"> </w:t>
            </w:r>
            <w:r>
              <w:rPr>
                <w:rFonts w:ascii="Times New Roman" w:cs="Times New Roman" w:eastAsia="Times New Roman" w:hAnsi="Times New Roman"/>
                <w:sz w:val="20"/>
                <w:szCs w:val="20"/>
                <w:color w:val="231F20"/>
                <w:w w:val="99"/>
              </w:rPr>
              <w:t>............................................</w:t>
            </w:r>
          </w:p>
        </w:tc>
        <w:tc>
          <w:tcPr>
            <w:tcW w:w="220" w:type="dxa"/>
            <w:vAlign w:val="bottom"/>
          </w:tcPr>
          <w:p>
            <w:pPr>
              <w:spacing w:after="0"/>
              <w:rPr>
                <w:sz w:val="20"/>
                <w:szCs w:val="20"/>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color w:val="231F20"/>
              </w:rPr>
              <w:t>1,163.0</w:t>
            </w:r>
          </w:p>
        </w:tc>
        <w:tc>
          <w:tcPr>
            <w:tcW w:w="260" w:type="dxa"/>
            <w:vAlign w:val="bottom"/>
          </w:tcPr>
          <w:p>
            <w:pPr>
              <w:spacing w:after="0"/>
              <w:rPr>
                <w:sz w:val="20"/>
                <w:szCs w:val="20"/>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color w:val="231F20"/>
              </w:rPr>
              <w:t>1,270.7</w:t>
            </w:r>
          </w:p>
        </w:tc>
        <w:tc>
          <w:tcPr>
            <w:tcW w:w="260" w:type="dxa"/>
            <w:vAlign w:val="bottom"/>
          </w:tcPr>
          <w:p>
            <w:pPr>
              <w:spacing w:after="0"/>
              <w:rPr>
                <w:sz w:val="20"/>
                <w:szCs w:val="20"/>
                <w:color w:val="auto"/>
              </w:rPr>
            </w:pPr>
          </w:p>
        </w:tc>
        <w:tc>
          <w:tcPr>
            <w:tcW w:w="1100" w:type="dxa"/>
            <w:vAlign w:val="bottom"/>
          </w:tcPr>
          <w:p>
            <w:pPr>
              <w:jc w:val="right"/>
              <w:ind w:right="5"/>
              <w:spacing w:after="0"/>
              <w:rPr>
                <w:sz w:val="20"/>
                <w:szCs w:val="20"/>
                <w:color w:val="auto"/>
              </w:rPr>
            </w:pPr>
            <w:r>
              <w:rPr>
                <w:rFonts w:ascii="Arial" w:cs="Arial" w:eastAsia="Arial" w:hAnsi="Arial"/>
                <w:sz w:val="20"/>
                <w:szCs w:val="20"/>
                <w:color w:val="231F20"/>
              </w:rPr>
              <w:t>1,254.1</w:t>
            </w:r>
          </w:p>
        </w:tc>
        <w:tc>
          <w:tcPr>
            <w:tcW w:w="0" w:type="dxa"/>
            <w:vAlign w:val="bottom"/>
          </w:tcPr>
          <w:p>
            <w:pPr>
              <w:spacing w:after="0"/>
              <w:rPr>
                <w:sz w:val="1"/>
                <w:szCs w:val="1"/>
                <w:color w:val="auto"/>
              </w:rPr>
            </w:pPr>
          </w:p>
        </w:tc>
      </w:tr>
      <w:tr>
        <w:trPr>
          <w:trHeight w:val="253"/>
        </w:trPr>
        <w:tc>
          <w:tcPr>
            <w:tcW w:w="4480" w:type="dxa"/>
            <w:vAlign w:val="bottom"/>
            <w:tcBorders>
              <w:bottom w:val="single" w:sz="8" w:color="231F20"/>
            </w:tcBorders>
          </w:tcPr>
          <w:p>
            <w:pPr>
              <w:jc w:val="right"/>
              <w:spacing w:after="0" w:line="253" w:lineRule="exact"/>
              <w:rPr>
                <w:sz w:val="20"/>
                <w:szCs w:val="20"/>
                <w:color w:val="auto"/>
              </w:rPr>
            </w:pPr>
            <w:r>
              <w:rPr>
                <w:rFonts w:ascii="Arial" w:cs="Arial" w:eastAsia="Arial" w:hAnsi="Arial"/>
                <w:sz w:val="20"/>
                <w:szCs w:val="20"/>
                <w:color w:val="231F20"/>
                <w:w w:val="99"/>
              </w:rPr>
              <w:t>Other retailers</w:t>
            </w:r>
            <w:r>
              <w:rPr>
                <w:rFonts w:ascii="Arial" w:cs="Arial" w:eastAsia="Arial" w:hAnsi="Arial"/>
                <w:sz w:val="26"/>
                <w:szCs w:val="26"/>
                <w:color w:val="231F20"/>
                <w:w w:val="99"/>
                <w:vertAlign w:val="superscript"/>
              </w:rPr>
              <w:t>(c)</w:t>
            </w:r>
            <w:r>
              <w:rPr>
                <w:rFonts w:ascii="Arial" w:cs="Arial" w:eastAsia="Arial" w:hAnsi="Arial"/>
                <w:sz w:val="20"/>
                <w:szCs w:val="20"/>
                <w:color w:val="231F20"/>
                <w:w w:val="99"/>
              </w:rPr>
              <w:t xml:space="preserve"> </w:t>
            </w:r>
            <w:r>
              <w:rPr>
                <w:rFonts w:ascii="Times New Roman" w:cs="Times New Roman" w:eastAsia="Times New Roman" w:hAnsi="Times New Roman"/>
                <w:sz w:val="20"/>
                <w:szCs w:val="20"/>
                <w:color w:val="231F20"/>
                <w:w w:val="99"/>
              </w:rPr>
              <w:t>..........................................................</w:t>
            </w:r>
          </w:p>
        </w:tc>
        <w:tc>
          <w:tcPr>
            <w:tcW w:w="22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5"/>
              <w:spacing w:after="0"/>
              <w:rPr>
                <w:sz w:val="20"/>
                <w:szCs w:val="20"/>
                <w:color w:val="auto"/>
              </w:rPr>
            </w:pPr>
            <w:r>
              <w:rPr>
                <w:rFonts w:ascii="Arial" w:cs="Arial" w:eastAsia="Arial" w:hAnsi="Arial"/>
                <w:sz w:val="20"/>
                <w:szCs w:val="20"/>
                <w:color w:val="231F20"/>
              </w:rPr>
              <w:t>418.8</w:t>
            </w:r>
          </w:p>
        </w:tc>
        <w:tc>
          <w:tcPr>
            <w:tcW w:w="26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5"/>
              <w:spacing w:after="0"/>
              <w:rPr>
                <w:sz w:val="20"/>
                <w:szCs w:val="20"/>
                <w:color w:val="auto"/>
              </w:rPr>
            </w:pPr>
            <w:r>
              <w:rPr>
                <w:rFonts w:ascii="Arial" w:cs="Arial" w:eastAsia="Arial" w:hAnsi="Arial"/>
                <w:sz w:val="20"/>
                <w:szCs w:val="20"/>
                <w:color w:val="231F20"/>
              </w:rPr>
              <w:t>392.9</w:t>
            </w:r>
          </w:p>
        </w:tc>
        <w:tc>
          <w:tcPr>
            <w:tcW w:w="26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5"/>
              <w:spacing w:after="0"/>
              <w:rPr>
                <w:sz w:val="20"/>
                <w:szCs w:val="20"/>
                <w:color w:val="auto"/>
              </w:rPr>
            </w:pPr>
            <w:r>
              <w:rPr>
                <w:rFonts w:ascii="Arial" w:cs="Arial" w:eastAsia="Arial" w:hAnsi="Arial"/>
                <w:sz w:val="20"/>
                <w:szCs w:val="20"/>
                <w:color w:val="231F20"/>
              </w:rPr>
              <w:t>440.7</w:t>
            </w:r>
          </w:p>
        </w:tc>
        <w:tc>
          <w:tcPr>
            <w:tcW w:w="0" w:type="dxa"/>
            <w:vAlign w:val="bottom"/>
          </w:tcPr>
          <w:p>
            <w:pPr>
              <w:spacing w:after="0"/>
              <w:rPr>
                <w:sz w:val="1"/>
                <w:szCs w:val="1"/>
                <w:color w:val="auto"/>
              </w:rPr>
            </w:pPr>
          </w:p>
        </w:tc>
      </w:tr>
      <w:tr>
        <w:trPr>
          <w:trHeight w:val="202"/>
        </w:trPr>
        <w:tc>
          <w:tcPr>
            <w:tcW w:w="4480" w:type="dxa"/>
            <w:vAlign w:val="bottom"/>
          </w:tcPr>
          <w:p>
            <w:pPr>
              <w:jc w:val="right"/>
              <w:spacing w:after="0" w:line="202" w:lineRule="exact"/>
              <w:rPr>
                <w:sz w:val="20"/>
                <w:szCs w:val="20"/>
                <w:color w:val="auto"/>
              </w:rPr>
            </w:pPr>
            <w:r>
              <w:rPr>
                <w:rFonts w:ascii="Arial" w:cs="Arial" w:eastAsia="Arial" w:hAnsi="Arial"/>
                <w:sz w:val="20"/>
                <w:szCs w:val="20"/>
                <w:color w:val="231F20"/>
              </w:rPr>
              <w:t xml:space="preserve">U.S. net sales </w:t>
            </w:r>
            <w:r>
              <w:rPr>
                <w:rFonts w:ascii="Times New Roman" w:cs="Times New Roman" w:eastAsia="Times New Roman" w:hAnsi="Times New Roman"/>
                <w:sz w:val="20"/>
                <w:szCs w:val="20"/>
                <w:color w:val="231F20"/>
              </w:rPr>
              <w:t>........................................................</w:t>
            </w:r>
          </w:p>
        </w:tc>
        <w:tc>
          <w:tcPr>
            <w:tcW w:w="220" w:type="dxa"/>
            <w:vAlign w:val="bottom"/>
          </w:tcPr>
          <w:p>
            <w:pPr>
              <w:spacing w:after="0"/>
              <w:rPr>
                <w:sz w:val="17"/>
                <w:szCs w:val="17"/>
                <w:color w:val="auto"/>
              </w:rPr>
            </w:pPr>
          </w:p>
        </w:tc>
        <w:tc>
          <w:tcPr>
            <w:tcW w:w="1100" w:type="dxa"/>
            <w:vAlign w:val="bottom"/>
          </w:tcPr>
          <w:p>
            <w:pPr>
              <w:jc w:val="right"/>
              <w:ind w:right="5"/>
              <w:spacing w:after="0" w:line="203" w:lineRule="exact"/>
              <w:rPr>
                <w:sz w:val="20"/>
                <w:szCs w:val="20"/>
                <w:color w:val="auto"/>
              </w:rPr>
            </w:pPr>
            <w:r>
              <w:rPr>
                <w:rFonts w:ascii="Arial" w:cs="Arial" w:eastAsia="Arial" w:hAnsi="Arial"/>
                <w:sz w:val="20"/>
                <w:szCs w:val="20"/>
                <w:color w:val="231F20"/>
              </w:rPr>
              <w:t>3,708.0</w:t>
            </w:r>
          </w:p>
        </w:tc>
        <w:tc>
          <w:tcPr>
            <w:tcW w:w="260" w:type="dxa"/>
            <w:vAlign w:val="bottom"/>
          </w:tcPr>
          <w:p>
            <w:pPr>
              <w:spacing w:after="0"/>
              <w:rPr>
                <w:sz w:val="17"/>
                <w:szCs w:val="17"/>
                <w:color w:val="auto"/>
              </w:rPr>
            </w:pPr>
          </w:p>
        </w:tc>
        <w:tc>
          <w:tcPr>
            <w:tcW w:w="1100" w:type="dxa"/>
            <w:vAlign w:val="bottom"/>
          </w:tcPr>
          <w:p>
            <w:pPr>
              <w:jc w:val="right"/>
              <w:ind w:right="5"/>
              <w:spacing w:after="0" w:line="203" w:lineRule="exact"/>
              <w:rPr>
                <w:sz w:val="20"/>
                <w:szCs w:val="20"/>
                <w:color w:val="auto"/>
              </w:rPr>
            </w:pPr>
            <w:r>
              <w:rPr>
                <w:rFonts w:ascii="Arial" w:cs="Arial" w:eastAsia="Arial" w:hAnsi="Arial"/>
                <w:sz w:val="20"/>
                <w:szCs w:val="20"/>
                <w:color w:val="231F20"/>
              </w:rPr>
              <w:t>3,763.6</w:t>
            </w:r>
          </w:p>
        </w:tc>
        <w:tc>
          <w:tcPr>
            <w:tcW w:w="260" w:type="dxa"/>
            <w:vAlign w:val="bottom"/>
          </w:tcPr>
          <w:p>
            <w:pPr>
              <w:spacing w:after="0"/>
              <w:rPr>
                <w:sz w:val="17"/>
                <w:szCs w:val="17"/>
                <w:color w:val="auto"/>
              </w:rPr>
            </w:pPr>
          </w:p>
        </w:tc>
        <w:tc>
          <w:tcPr>
            <w:tcW w:w="1100" w:type="dxa"/>
            <w:vAlign w:val="bottom"/>
          </w:tcPr>
          <w:p>
            <w:pPr>
              <w:jc w:val="right"/>
              <w:ind w:right="5"/>
              <w:spacing w:after="0" w:line="203" w:lineRule="exact"/>
              <w:rPr>
                <w:sz w:val="20"/>
                <w:szCs w:val="20"/>
                <w:color w:val="auto"/>
              </w:rPr>
            </w:pPr>
            <w:r>
              <w:rPr>
                <w:rFonts w:ascii="Arial" w:cs="Arial" w:eastAsia="Arial" w:hAnsi="Arial"/>
                <w:sz w:val="20"/>
                <w:szCs w:val="20"/>
                <w:color w:val="231F20"/>
              </w:rPr>
              <w:t>3,722.7</w:t>
            </w:r>
          </w:p>
        </w:tc>
        <w:tc>
          <w:tcPr>
            <w:tcW w:w="0" w:type="dxa"/>
            <w:vAlign w:val="bottom"/>
          </w:tcPr>
          <w:p>
            <w:pPr>
              <w:spacing w:after="0"/>
              <w:rPr>
                <w:sz w:val="1"/>
                <w:szCs w:val="1"/>
                <w:color w:val="auto"/>
              </w:rPr>
            </w:pPr>
          </w:p>
        </w:tc>
      </w:tr>
      <w:tr>
        <w:trPr>
          <w:trHeight w:val="253"/>
        </w:trPr>
        <w:tc>
          <w:tcPr>
            <w:tcW w:w="4480" w:type="dxa"/>
            <w:vAlign w:val="bottom"/>
            <w:tcBorders>
              <w:bottom w:val="single" w:sz="8" w:color="231F20"/>
            </w:tcBorders>
          </w:tcPr>
          <w:p>
            <w:pPr>
              <w:jc w:val="right"/>
              <w:spacing w:after="0" w:line="253" w:lineRule="exact"/>
              <w:rPr>
                <w:sz w:val="20"/>
                <w:szCs w:val="20"/>
                <w:color w:val="auto"/>
              </w:rPr>
            </w:pPr>
            <w:r>
              <w:rPr>
                <w:rFonts w:ascii="Arial" w:cs="Arial" w:eastAsia="Arial" w:hAnsi="Arial"/>
                <w:sz w:val="20"/>
                <w:szCs w:val="20"/>
                <w:color w:val="231F20"/>
                <w:w w:val="99"/>
              </w:rPr>
              <w:t>International</w:t>
            </w:r>
            <w:r>
              <w:rPr>
                <w:rFonts w:ascii="Arial" w:cs="Arial" w:eastAsia="Arial" w:hAnsi="Arial"/>
                <w:sz w:val="26"/>
                <w:szCs w:val="26"/>
                <w:color w:val="231F20"/>
                <w:w w:val="99"/>
                <w:vertAlign w:val="superscript"/>
              </w:rPr>
              <w:t>(d)</w:t>
            </w:r>
            <w:r>
              <w:rPr>
                <w:rFonts w:ascii="Times New Roman" w:cs="Times New Roman" w:eastAsia="Times New Roman" w:hAnsi="Times New Roman"/>
                <w:sz w:val="20"/>
                <w:szCs w:val="20"/>
                <w:color w:val="231F20"/>
                <w:w w:val="99"/>
              </w:rPr>
              <w:t>..............................................................</w:t>
            </w:r>
          </w:p>
        </w:tc>
        <w:tc>
          <w:tcPr>
            <w:tcW w:w="22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5"/>
              <w:spacing w:after="0"/>
              <w:rPr>
                <w:sz w:val="20"/>
                <w:szCs w:val="20"/>
                <w:color w:val="auto"/>
              </w:rPr>
            </w:pPr>
            <w:r>
              <w:rPr>
                <w:rFonts w:ascii="Arial" w:cs="Arial" w:eastAsia="Arial" w:hAnsi="Arial"/>
                <w:sz w:val="20"/>
                <w:szCs w:val="20"/>
                <w:color w:val="231F20"/>
              </w:rPr>
              <w:t>918.2</w:t>
            </w:r>
          </w:p>
        </w:tc>
        <w:tc>
          <w:tcPr>
            <w:tcW w:w="26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5"/>
              <w:spacing w:after="0"/>
              <w:rPr>
                <w:sz w:val="20"/>
                <w:szCs w:val="20"/>
                <w:color w:val="auto"/>
              </w:rPr>
            </w:pPr>
            <w:r>
              <w:rPr>
                <w:rFonts w:ascii="Arial" w:cs="Arial" w:eastAsia="Arial" w:hAnsi="Arial"/>
                <w:sz w:val="20"/>
                <w:szCs w:val="20"/>
                <w:color w:val="231F20"/>
              </w:rPr>
              <w:t>959.4</w:t>
            </w:r>
          </w:p>
        </w:tc>
        <w:tc>
          <w:tcPr>
            <w:tcW w:w="260" w:type="dxa"/>
            <w:vAlign w:val="bottom"/>
            <w:tcBorders>
              <w:bottom w:val="single" w:sz="8" w:color="231F20"/>
            </w:tcBorders>
          </w:tcPr>
          <w:p>
            <w:pPr>
              <w:spacing w:after="0"/>
              <w:rPr>
                <w:sz w:val="22"/>
                <w:szCs w:val="22"/>
                <w:color w:val="auto"/>
              </w:rPr>
            </w:pPr>
          </w:p>
        </w:tc>
        <w:tc>
          <w:tcPr>
            <w:tcW w:w="1100" w:type="dxa"/>
            <w:vAlign w:val="bottom"/>
            <w:tcBorders>
              <w:bottom w:val="single" w:sz="8" w:color="231F20"/>
            </w:tcBorders>
          </w:tcPr>
          <w:p>
            <w:pPr>
              <w:jc w:val="right"/>
              <w:ind w:right="5"/>
              <w:spacing w:after="0"/>
              <w:rPr>
                <w:sz w:val="20"/>
                <w:szCs w:val="20"/>
                <w:color w:val="auto"/>
              </w:rPr>
            </w:pPr>
            <w:r>
              <w:rPr>
                <w:rFonts w:ascii="Arial" w:cs="Arial" w:eastAsia="Arial" w:hAnsi="Arial"/>
                <w:sz w:val="20"/>
                <w:szCs w:val="20"/>
                <w:color w:val="231F20"/>
              </w:rPr>
              <w:t>1,078.4</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Net sales </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100" w:type="dxa"/>
            <w:vAlign w:val="bottom"/>
            <w:tcBorders>
              <w:bottom w:val="single" w:sz="8" w:color="231F20"/>
            </w:tcBorders>
          </w:tcPr>
          <w:p>
            <w:pPr>
              <w:jc w:val="right"/>
              <w:ind w:right="5"/>
              <w:spacing w:after="0" w:line="223" w:lineRule="exact"/>
              <w:rPr>
                <w:sz w:val="20"/>
                <w:szCs w:val="20"/>
                <w:color w:val="auto"/>
              </w:rPr>
            </w:pPr>
            <w:r>
              <w:rPr>
                <w:rFonts w:ascii="Arial" w:cs="Arial" w:eastAsia="Arial" w:hAnsi="Arial"/>
                <w:sz w:val="20"/>
                <w:szCs w:val="20"/>
                <w:color w:val="231F20"/>
              </w:rPr>
              <w:t>4,626.2</w:t>
            </w:r>
          </w:p>
        </w:tc>
        <w:tc>
          <w:tcPr>
            <w:tcW w:w="2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100" w:type="dxa"/>
            <w:vAlign w:val="bottom"/>
            <w:tcBorders>
              <w:bottom w:val="single" w:sz="8" w:color="231F20"/>
            </w:tcBorders>
          </w:tcPr>
          <w:p>
            <w:pPr>
              <w:jc w:val="right"/>
              <w:ind w:right="5"/>
              <w:spacing w:after="0" w:line="223" w:lineRule="exact"/>
              <w:rPr>
                <w:sz w:val="20"/>
                <w:szCs w:val="20"/>
                <w:color w:val="auto"/>
              </w:rPr>
            </w:pPr>
            <w:r>
              <w:rPr>
                <w:rFonts w:ascii="Arial" w:cs="Arial" w:eastAsia="Arial" w:hAnsi="Arial"/>
                <w:sz w:val="20"/>
                <w:szCs w:val="20"/>
                <w:color w:val="231F20"/>
              </w:rPr>
              <w:t>4,723.0</w:t>
            </w:r>
          </w:p>
        </w:tc>
        <w:tc>
          <w:tcPr>
            <w:tcW w:w="2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100" w:type="dxa"/>
            <w:vAlign w:val="bottom"/>
            <w:tcBorders>
              <w:bottom w:val="single" w:sz="8" w:color="231F20"/>
            </w:tcBorders>
          </w:tcPr>
          <w:p>
            <w:pPr>
              <w:jc w:val="right"/>
              <w:ind w:right="5"/>
              <w:spacing w:after="0" w:line="223" w:lineRule="exact"/>
              <w:rPr>
                <w:sz w:val="20"/>
                <w:szCs w:val="20"/>
                <w:color w:val="auto"/>
              </w:rPr>
            </w:pPr>
            <w:r>
              <w:rPr>
                <w:rFonts w:ascii="Arial" w:cs="Arial" w:eastAsia="Arial" w:hAnsi="Arial"/>
                <w:sz w:val="20"/>
                <w:szCs w:val="20"/>
                <w:color w:val="231F20"/>
              </w:rPr>
              <w:t>4,801.1</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900" w:right="480" w:hanging="311"/>
        <w:spacing w:after="0" w:line="255" w:lineRule="auto"/>
        <w:tabs>
          <w:tab w:leader="none" w:pos="900" w:val="left"/>
        </w:tabs>
        <w:numPr>
          <w:ilvl w:val="0"/>
          <w:numId w:val="41"/>
        </w:numPr>
        <w:rPr>
          <w:rFonts w:ascii="Arial" w:cs="Arial" w:eastAsia="Arial" w:hAnsi="Arial"/>
          <w:sz w:val="10"/>
          <w:szCs w:val="10"/>
          <w:color w:val="231F20"/>
        </w:rPr>
      </w:pPr>
      <w:r>
        <w:rPr>
          <w:rFonts w:ascii="Arial" w:cs="Arial" w:eastAsia="Arial" w:hAnsi="Arial"/>
          <w:sz w:val="16"/>
          <w:szCs w:val="16"/>
          <w:color w:val="231F20"/>
        </w:rPr>
        <w:t>Represents sales to customers whose business is oriented toward builders, professional tradespeople and home remodelers, inclusive of sales through our customers’ respective internet website portals.</w:t>
      </w:r>
    </w:p>
    <w:p>
      <w:pPr>
        <w:spacing w:after="0" w:line="1" w:lineRule="exact"/>
        <w:rPr>
          <w:rFonts w:ascii="Arial" w:cs="Arial" w:eastAsia="Arial" w:hAnsi="Arial"/>
          <w:sz w:val="10"/>
          <w:szCs w:val="10"/>
          <w:color w:val="231F20"/>
        </w:rPr>
      </w:pPr>
    </w:p>
    <w:p>
      <w:pPr>
        <w:ind w:left="900" w:right="340" w:hanging="311"/>
        <w:spacing w:after="0" w:line="242" w:lineRule="auto"/>
        <w:tabs>
          <w:tab w:leader="none" w:pos="900" w:val="left"/>
        </w:tabs>
        <w:numPr>
          <w:ilvl w:val="0"/>
          <w:numId w:val="41"/>
        </w:numPr>
        <w:rPr>
          <w:rFonts w:ascii="Arial" w:cs="Arial" w:eastAsia="Arial" w:hAnsi="Arial"/>
          <w:sz w:val="10"/>
          <w:szCs w:val="10"/>
          <w:color w:val="231F20"/>
        </w:rPr>
      </w:pPr>
      <w:r>
        <w:rPr>
          <w:rFonts w:ascii="Arial" w:cs="Arial" w:eastAsia="Arial" w:hAnsi="Arial"/>
          <w:sz w:val="16"/>
          <w:szCs w:val="16"/>
          <w:color w:val="231F20"/>
        </w:rPr>
        <w:t>Represents sales to the three largest “Do-It-Yourself” retailers: The Home Depot, Inc., Lowe's Companies, Inc. and Menards, Inc., inclusive of sales through their respective internet website portals.</w:t>
      </w:r>
    </w:p>
    <w:p>
      <w:pPr>
        <w:spacing w:after="0" w:line="1" w:lineRule="exact"/>
        <w:rPr>
          <w:rFonts w:ascii="Arial" w:cs="Arial" w:eastAsia="Arial" w:hAnsi="Arial"/>
          <w:sz w:val="10"/>
          <w:szCs w:val="10"/>
          <w:color w:val="231F20"/>
        </w:rPr>
      </w:pPr>
    </w:p>
    <w:p>
      <w:pPr>
        <w:ind w:left="900" w:hanging="311"/>
        <w:spacing w:after="0"/>
        <w:tabs>
          <w:tab w:leader="none" w:pos="900" w:val="left"/>
        </w:tabs>
        <w:numPr>
          <w:ilvl w:val="0"/>
          <w:numId w:val="41"/>
        </w:numPr>
        <w:rPr>
          <w:rFonts w:ascii="Arial" w:cs="Arial" w:eastAsia="Arial" w:hAnsi="Arial"/>
          <w:sz w:val="10"/>
          <w:szCs w:val="10"/>
          <w:color w:val="231F20"/>
        </w:rPr>
      </w:pPr>
      <w:r>
        <w:rPr>
          <w:rFonts w:ascii="Arial" w:cs="Arial" w:eastAsia="Arial" w:hAnsi="Arial"/>
          <w:sz w:val="16"/>
          <w:szCs w:val="16"/>
          <w:color w:val="231F20"/>
        </w:rPr>
        <w:t>Represents sales principally to our mass merchant and standalone, independent e-commerce customers.</w:t>
      </w:r>
    </w:p>
    <w:p>
      <w:pPr>
        <w:spacing w:after="0" w:line="2" w:lineRule="exact"/>
        <w:rPr>
          <w:rFonts w:ascii="Arial" w:cs="Arial" w:eastAsia="Arial" w:hAnsi="Arial"/>
          <w:sz w:val="10"/>
          <w:szCs w:val="10"/>
          <w:color w:val="231F20"/>
        </w:rPr>
      </w:pPr>
    </w:p>
    <w:p>
      <w:pPr>
        <w:ind w:left="900" w:hanging="311"/>
        <w:spacing w:after="0"/>
        <w:tabs>
          <w:tab w:leader="none" w:pos="900" w:val="left"/>
        </w:tabs>
        <w:numPr>
          <w:ilvl w:val="0"/>
          <w:numId w:val="41"/>
        </w:numPr>
        <w:rPr>
          <w:rFonts w:ascii="Arial" w:cs="Arial" w:eastAsia="Arial" w:hAnsi="Arial"/>
          <w:sz w:val="10"/>
          <w:szCs w:val="10"/>
          <w:color w:val="231F20"/>
        </w:rPr>
      </w:pPr>
      <w:r>
        <w:rPr>
          <w:rFonts w:ascii="Arial" w:cs="Arial" w:eastAsia="Arial" w:hAnsi="Arial"/>
          <w:sz w:val="16"/>
          <w:szCs w:val="16"/>
          <w:color w:val="231F20"/>
        </w:rPr>
        <w:t>Represents sales in markets outside the United States, principally in China, Canada, Europe and Mexico.</w:t>
      </w:r>
    </w:p>
    <w:p>
      <w:pPr>
        <w:sectPr>
          <w:pgSz w:w="12240" w:h="15840" w:orient="portrait"/>
          <w:cols w:equalWidth="0" w:num="1">
            <w:col w:w="9440"/>
          </w:cols>
          <w:pgMar w:left="1380" w:top="1346" w:right="1420" w:bottom="95"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231F20"/>
        </w:rPr>
        <w:t>77</w:t>
      </w:r>
    </w:p>
    <w:p>
      <w:pPr>
        <w:sectPr>
          <w:pgSz w:w="12240" w:h="15840" w:orient="portrait"/>
          <w:cols w:equalWidth="0" w:num="1">
            <w:col w:w="9440"/>
          </w:cols>
          <w:pgMar w:left="1380" w:top="1346" w:right="1420" w:bottom="95"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color w:val="231F20"/>
        </w:rPr>
        <w:t>Practical Expedients</w:t>
      </w:r>
    </w:p>
    <w:p>
      <w:pPr>
        <w:spacing w:after="0" w:line="128"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231F20"/>
        </w:rPr>
        <w:t>Incremental costs of obtaining a contract include only those costs the Company incurs that would not have been incurred if the contract had not been obtained. These costs are required to be recognized as assets and amortized over the period that the related goods or services transfer to the customer. As a practical expedient, we expense as incurred costs to obtain a contract when the expected amortization period is one year or less. These costs are recorded within selling, general and administrative expenses.</w:t>
      </w:r>
    </w:p>
    <w:p>
      <w:pPr>
        <w:spacing w:after="0" w:line="124" w:lineRule="exact"/>
        <w:rPr>
          <w:sz w:val="20"/>
          <w:szCs w:val="20"/>
          <w:color w:val="auto"/>
        </w:rPr>
      </w:pPr>
    </w:p>
    <w:p>
      <w:pPr>
        <w:ind w:left="520" w:hanging="514"/>
        <w:spacing w:after="0"/>
        <w:tabs>
          <w:tab w:leader="none" w:pos="520" w:val="left"/>
        </w:tabs>
        <w:numPr>
          <w:ilvl w:val="0"/>
          <w:numId w:val="42"/>
        </w:numPr>
        <w:rPr>
          <w:rFonts w:ascii="Arial" w:cs="Arial" w:eastAsia="Arial" w:hAnsi="Arial"/>
          <w:sz w:val="20"/>
          <w:szCs w:val="20"/>
          <w:b w:val="1"/>
          <w:bCs w:val="1"/>
          <w:color w:val="231F20"/>
        </w:rPr>
      </w:pPr>
      <w:r>
        <w:rPr>
          <w:rFonts w:ascii="Arial" w:cs="Arial" w:eastAsia="Arial" w:hAnsi="Arial"/>
          <w:sz w:val="20"/>
          <w:szCs w:val="20"/>
          <w:b w:val="1"/>
          <w:bCs w:val="1"/>
          <w:color w:val="231F20"/>
        </w:rPr>
        <w:t>Defined Benefit Plans</w:t>
      </w:r>
    </w:p>
    <w:p>
      <w:pPr>
        <w:spacing w:after="0" w:line="189"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231F20"/>
        </w:rPr>
        <w:t>We have a number of pension plans in the United States, covering many of the Company’s employees; however, the majority of these plans have been frozen to new participants, and benefit accruals were frozen for active participants on December 31, 2016. The plans provide for payment of retirement benefits, mainly commencing between the ages of 55 and 65. After meeting certain qualifications, an employee acquires a vested right to future benefits. The benefits payable under the plans are generally determined on the basis of an employee’s length of service and/or earnings. Employer contributions to the plans are made, as necessary, to ensure legal funding requirements are satisfied. Also, from time to time, we may make contributions in excess of the legal funding requirements. Service cost for 2023 relates to benefit accruals for an hourly Union group within the defined benefit plan for our Security segment. All other benefit accruals under our defined benefit pension plans were frozen as of, or prior to, December 31, 2016.</w:t>
      </w:r>
    </w:p>
    <w:p>
      <w:pPr>
        <w:spacing w:after="0" w:line="13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231F20"/>
        </w:rPr>
        <w:t>The Company offered a lump sum program during the fourth quarter of 2023 in which certain terminated vested participants in the Moen Qualified Plan and Master Lock Qualified Plan could elect to take a one-time voluntary lump sum payment equal to the present value of future benefits. Approximately 700 participants elected to accept the lump sum option. During the fourth quarter of 2023, benefit payments of $27.0 million were made and a settlement expense of $2.0 million was recognized.</w:t>
      </w:r>
    </w:p>
    <w:p>
      <w:pPr>
        <w:spacing w:after="0" w:line="128"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231F20"/>
        </w:rPr>
        <w:t>Net actuarial gains and losses occur when actual experience differs from any of the assumptions used to value defined benefit plans or when assumptions change as they may each year. The primary factors contributing to actuarial gains and losses are changes in the discount rate used to value obligations as of the measurement date and the differences between expected and actual returns on pension plan assets.</w:t>
      </w:r>
    </w:p>
    <w:p>
      <w:pPr>
        <w:spacing w:after="0" w:line="127" w:lineRule="exact"/>
        <w:rPr>
          <w:sz w:val="20"/>
          <w:szCs w:val="20"/>
          <w:color w:val="auto"/>
        </w:rPr>
      </w:pPr>
    </w:p>
    <w:p>
      <w:pPr>
        <w:ind w:right="680"/>
        <w:spacing w:after="0" w:line="287" w:lineRule="auto"/>
        <w:rPr>
          <w:sz w:val="20"/>
          <w:szCs w:val="20"/>
          <w:color w:val="auto"/>
        </w:rPr>
      </w:pPr>
      <w:r>
        <w:rPr>
          <w:rFonts w:ascii="Arial" w:cs="Arial" w:eastAsia="Arial" w:hAnsi="Arial"/>
          <w:sz w:val="20"/>
          <w:szCs w:val="20"/>
          <w:color w:val="231F20"/>
        </w:rPr>
        <w:t>In addition, the Company provides postretirement health care and life insurance benefits to certain retirees.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060" w:type="dxa"/>
            <w:vAlign w:val="bottom"/>
            <w:tcBorders>
              <w:top w:val="single" w:sz="8" w:color="231F20"/>
              <w:bottom w:val="single" w:sz="8" w:color="231F20"/>
            </w:tcBorders>
          </w:tcPr>
          <w:p>
            <w:pPr>
              <w:jc w:val="right"/>
              <w:ind w:right="4180"/>
              <w:spacing w:after="0"/>
              <w:rPr>
                <w:sz w:val="20"/>
                <w:szCs w:val="20"/>
                <w:color w:val="auto"/>
              </w:rPr>
            </w:pPr>
            <w:r>
              <w:rPr>
                <w:rFonts w:ascii="Arial" w:cs="Arial" w:eastAsia="Arial" w:hAnsi="Arial"/>
                <w:sz w:val="15"/>
                <w:szCs w:val="15"/>
                <w:i w:val="1"/>
                <w:iCs w:val="1"/>
                <w:color w:val="231F20"/>
                <w:w w:val="99"/>
              </w:rPr>
              <w:t>(In millions)</w:t>
            </w:r>
          </w:p>
        </w:tc>
        <w:tc>
          <w:tcPr>
            <w:tcW w:w="280" w:type="dxa"/>
            <w:vAlign w:val="bottom"/>
            <w:tcBorders>
              <w:top w:val="single" w:sz="8" w:color="231F20"/>
              <w:bottom w:val="single" w:sz="8" w:color="231F20"/>
            </w:tcBorders>
          </w:tcPr>
          <w:p>
            <w:pPr>
              <w:spacing w:after="0"/>
              <w:rPr>
                <w:sz w:val="16"/>
                <w:szCs w:val="16"/>
                <w:color w:val="auto"/>
              </w:rPr>
            </w:pPr>
          </w:p>
        </w:tc>
        <w:tc>
          <w:tcPr>
            <w:tcW w:w="2000" w:type="dxa"/>
            <w:vAlign w:val="bottom"/>
            <w:tcBorders>
              <w:top w:val="single" w:sz="8" w:color="231F20"/>
              <w:bottom w:val="single" w:sz="8" w:color="231F20"/>
              <w:right w:val="single" w:sz="8" w:color="231F20"/>
            </w:tcBorders>
            <w:gridSpan w:val="3"/>
          </w:tcPr>
          <w:p>
            <w:pPr>
              <w:jc w:val="right"/>
              <w:ind w:right="561"/>
              <w:spacing w:after="0"/>
              <w:rPr>
                <w:sz w:val="20"/>
                <w:szCs w:val="20"/>
                <w:color w:val="auto"/>
              </w:rPr>
            </w:pPr>
            <w:r>
              <w:rPr>
                <w:rFonts w:ascii="Arial" w:cs="Arial" w:eastAsia="Arial" w:hAnsi="Arial"/>
                <w:sz w:val="15"/>
                <w:szCs w:val="15"/>
                <w:color w:val="231F20"/>
              </w:rPr>
              <w:t>Pension Benefits</w:t>
            </w:r>
          </w:p>
        </w:tc>
        <w:tc>
          <w:tcPr>
            <w:tcW w:w="220" w:type="dxa"/>
            <w:vAlign w:val="bottom"/>
            <w:tcBorders>
              <w:top w:val="single" w:sz="8" w:color="231F20"/>
              <w:bottom w:val="single" w:sz="8" w:color="231F20"/>
            </w:tcBorders>
          </w:tcPr>
          <w:p>
            <w:pPr>
              <w:spacing w:after="0"/>
              <w:rPr>
                <w:sz w:val="16"/>
                <w:szCs w:val="16"/>
                <w:color w:val="auto"/>
              </w:rPr>
            </w:pPr>
          </w:p>
        </w:tc>
        <w:tc>
          <w:tcPr>
            <w:tcW w:w="1880" w:type="dxa"/>
            <w:vAlign w:val="bottom"/>
            <w:tcBorders>
              <w:top w:val="single" w:sz="8" w:color="231F20"/>
              <w:bottom w:val="single" w:sz="8" w:color="231F20"/>
            </w:tcBorders>
            <w:gridSpan w:val="3"/>
          </w:tcPr>
          <w:p>
            <w:pPr>
              <w:jc w:val="right"/>
              <w:ind w:right="181"/>
              <w:spacing w:after="0"/>
              <w:rPr>
                <w:sz w:val="20"/>
                <w:szCs w:val="20"/>
                <w:color w:val="auto"/>
              </w:rPr>
            </w:pPr>
            <w:r>
              <w:rPr>
                <w:rFonts w:ascii="Arial" w:cs="Arial" w:eastAsia="Arial" w:hAnsi="Arial"/>
                <w:sz w:val="15"/>
                <w:szCs w:val="15"/>
                <w:color w:val="231F20"/>
              </w:rPr>
              <w:t>Postretirement Benefits</w:t>
            </w:r>
          </w:p>
        </w:tc>
      </w:tr>
      <w:tr>
        <w:trPr>
          <w:trHeight w:val="165"/>
        </w:trPr>
        <w:tc>
          <w:tcPr>
            <w:tcW w:w="5060" w:type="dxa"/>
            <w:vAlign w:val="bottom"/>
            <w:tcBorders>
              <w:bottom w:val="single" w:sz="8" w:color="231F20"/>
              <w:right w:val="single" w:sz="8" w:color="231F20"/>
            </w:tcBorders>
          </w:tcPr>
          <w:p>
            <w:pPr>
              <w:spacing w:after="0"/>
              <w:rPr>
                <w:sz w:val="14"/>
                <w:szCs w:val="14"/>
                <w:color w:val="auto"/>
              </w:rPr>
            </w:pPr>
          </w:p>
        </w:tc>
        <w:tc>
          <w:tcPr>
            <w:tcW w:w="280" w:type="dxa"/>
            <w:vAlign w:val="bottom"/>
            <w:tcBorders>
              <w:bottom w:val="single" w:sz="8" w:color="231F20"/>
            </w:tcBorders>
          </w:tcPr>
          <w:p>
            <w:pPr>
              <w:spacing w:after="0"/>
              <w:rPr>
                <w:sz w:val="14"/>
                <w:szCs w:val="14"/>
                <w:color w:val="auto"/>
              </w:rPr>
            </w:pPr>
          </w:p>
        </w:tc>
        <w:tc>
          <w:tcPr>
            <w:tcW w:w="800" w:type="dxa"/>
            <w:vAlign w:val="bottom"/>
            <w:tcBorders>
              <w:bottom w:val="single" w:sz="8" w:color="231F20"/>
              <w:right w:val="single" w:sz="8" w:color="231F20"/>
            </w:tcBorders>
          </w:tcPr>
          <w:p>
            <w:pPr>
              <w:jc w:val="right"/>
              <w:ind w:right="102"/>
              <w:spacing w:after="0" w:line="165" w:lineRule="exact"/>
              <w:rPr>
                <w:sz w:val="20"/>
                <w:szCs w:val="20"/>
                <w:color w:val="auto"/>
              </w:rPr>
            </w:pPr>
            <w:r>
              <w:rPr>
                <w:rFonts w:ascii="Arial" w:cs="Arial" w:eastAsia="Arial" w:hAnsi="Arial"/>
                <w:sz w:val="15"/>
                <w:szCs w:val="15"/>
                <w:i w:val="1"/>
                <w:iCs w:val="1"/>
                <w:color w:val="231F20"/>
              </w:rPr>
              <w:t>2023</w:t>
            </w:r>
          </w:p>
        </w:tc>
        <w:tc>
          <w:tcPr>
            <w:tcW w:w="280" w:type="dxa"/>
            <w:vAlign w:val="bottom"/>
            <w:tcBorders>
              <w:bottom w:val="single" w:sz="8" w:color="231F20"/>
            </w:tcBorders>
          </w:tcPr>
          <w:p>
            <w:pPr>
              <w:spacing w:after="0"/>
              <w:rPr>
                <w:sz w:val="14"/>
                <w:szCs w:val="14"/>
                <w:color w:val="auto"/>
              </w:rPr>
            </w:pPr>
          </w:p>
        </w:tc>
        <w:tc>
          <w:tcPr>
            <w:tcW w:w="920" w:type="dxa"/>
            <w:vAlign w:val="bottom"/>
            <w:tcBorders>
              <w:bottom w:val="single" w:sz="8" w:color="231F20"/>
              <w:right w:val="single" w:sz="8" w:color="231F20"/>
            </w:tcBorders>
          </w:tcPr>
          <w:p>
            <w:pPr>
              <w:jc w:val="right"/>
              <w:ind w:right="161"/>
              <w:spacing w:after="0" w:line="165" w:lineRule="exact"/>
              <w:rPr>
                <w:sz w:val="20"/>
                <w:szCs w:val="20"/>
                <w:color w:val="auto"/>
              </w:rPr>
            </w:pPr>
            <w:r>
              <w:rPr>
                <w:rFonts w:ascii="Arial" w:cs="Arial" w:eastAsia="Arial" w:hAnsi="Arial"/>
                <w:sz w:val="15"/>
                <w:szCs w:val="15"/>
                <w:color w:val="231F20"/>
              </w:rPr>
              <w:t>2022</w:t>
            </w:r>
          </w:p>
        </w:tc>
        <w:tc>
          <w:tcPr>
            <w:tcW w:w="220" w:type="dxa"/>
            <w:vAlign w:val="bottom"/>
            <w:tcBorders>
              <w:bottom w:val="single" w:sz="8" w:color="231F20"/>
            </w:tcBorders>
          </w:tcPr>
          <w:p>
            <w:pPr>
              <w:spacing w:after="0"/>
              <w:rPr>
                <w:sz w:val="14"/>
                <w:szCs w:val="14"/>
                <w:color w:val="auto"/>
              </w:rPr>
            </w:pPr>
          </w:p>
        </w:tc>
        <w:tc>
          <w:tcPr>
            <w:tcW w:w="860" w:type="dxa"/>
            <w:vAlign w:val="bottom"/>
            <w:tcBorders>
              <w:bottom w:val="single" w:sz="8" w:color="231F20"/>
              <w:right w:val="single" w:sz="8" w:color="231F20"/>
            </w:tcBorders>
          </w:tcPr>
          <w:p>
            <w:pPr>
              <w:jc w:val="right"/>
              <w:ind w:right="102"/>
              <w:spacing w:after="0" w:line="165" w:lineRule="exact"/>
              <w:rPr>
                <w:sz w:val="20"/>
                <w:szCs w:val="20"/>
                <w:color w:val="auto"/>
              </w:rPr>
            </w:pPr>
            <w:r>
              <w:rPr>
                <w:rFonts w:ascii="Arial" w:cs="Arial" w:eastAsia="Arial" w:hAnsi="Arial"/>
                <w:sz w:val="15"/>
                <w:szCs w:val="15"/>
                <w:i w:val="1"/>
                <w:iCs w:val="1"/>
                <w:color w:val="231F20"/>
              </w:rPr>
              <w:t>2023</w:t>
            </w:r>
          </w:p>
        </w:tc>
        <w:tc>
          <w:tcPr>
            <w:tcW w:w="380" w:type="dxa"/>
            <w:vAlign w:val="bottom"/>
            <w:tcBorders>
              <w:bottom w:val="single" w:sz="8" w:color="231F20"/>
            </w:tcBorders>
          </w:tcPr>
          <w:p>
            <w:pPr>
              <w:spacing w:after="0"/>
              <w:rPr>
                <w:sz w:val="14"/>
                <w:szCs w:val="14"/>
                <w:color w:val="auto"/>
              </w:rPr>
            </w:pPr>
          </w:p>
        </w:tc>
        <w:tc>
          <w:tcPr>
            <w:tcW w:w="640" w:type="dxa"/>
            <w:vAlign w:val="bottom"/>
            <w:tcBorders>
              <w:bottom w:val="single" w:sz="8" w:color="231F20"/>
            </w:tcBorders>
          </w:tcPr>
          <w:p>
            <w:pPr>
              <w:jc w:val="right"/>
              <w:ind w:right="1"/>
              <w:spacing w:after="0" w:line="165" w:lineRule="exact"/>
              <w:rPr>
                <w:sz w:val="20"/>
                <w:szCs w:val="20"/>
                <w:color w:val="auto"/>
              </w:rPr>
            </w:pPr>
            <w:r>
              <w:rPr>
                <w:rFonts w:ascii="Arial" w:cs="Arial" w:eastAsia="Arial" w:hAnsi="Arial"/>
                <w:sz w:val="15"/>
                <w:szCs w:val="15"/>
                <w:color w:val="231F20"/>
              </w:rPr>
              <w:t>2022</w:t>
            </w:r>
          </w:p>
        </w:tc>
      </w:tr>
      <w:tr>
        <w:trPr>
          <w:trHeight w:val="202"/>
        </w:trPr>
        <w:tc>
          <w:tcPr>
            <w:tcW w:w="5060" w:type="dxa"/>
            <w:vAlign w:val="bottom"/>
            <w:tcBorders>
              <w:right w:val="single" w:sz="8" w:color="231F20"/>
            </w:tcBorders>
          </w:tcPr>
          <w:p>
            <w:pPr>
              <w:ind w:left="140"/>
              <w:spacing w:after="0" w:line="203" w:lineRule="exact"/>
              <w:rPr>
                <w:sz w:val="20"/>
                <w:szCs w:val="20"/>
                <w:color w:val="auto"/>
              </w:rPr>
            </w:pPr>
            <w:r>
              <w:rPr>
                <w:rFonts w:ascii="Arial" w:cs="Arial" w:eastAsia="Arial" w:hAnsi="Arial"/>
                <w:sz w:val="20"/>
                <w:szCs w:val="20"/>
                <w:color w:val="231F20"/>
              </w:rPr>
              <w:t>Change in the Projected Benefit Obligation (PBO):</w:t>
            </w:r>
          </w:p>
        </w:tc>
        <w:tc>
          <w:tcPr>
            <w:tcW w:w="280" w:type="dxa"/>
            <w:vAlign w:val="bottom"/>
          </w:tcPr>
          <w:p>
            <w:pPr>
              <w:spacing w:after="0"/>
              <w:rPr>
                <w:sz w:val="17"/>
                <w:szCs w:val="17"/>
                <w:color w:val="auto"/>
              </w:rPr>
            </w:pPr>
          </w:p>
        </w:tc>
        <w:tc>
          <w:tcPr>
            <w:tcW w:w="800" w:type="dxa"/>
            <w:vAlign w:val="bottom"/>
            <w:tcBorders>
              <w:right w:val="single" w:sz="8" w:color="231F20"/>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right w:val="single" w:sz="8" w:color="231F20"/>
            </w:tcBorders>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3"/>
        </w:trPr>
        <w:tc>
          <w:tcPr>
            <w:tcW w:w="5060" w:type="dxa"/>
            <w:vAlign w:val="bottom"/>
            <w:tcBorders>
              <w:right w:val="single" w:sz="8" w:color="231F20"/>
            </w:tcBorders>
          </w:tcPr>
          <w:p>
            <w:pPr>
              <w:ind w:left="140"/>
              <w:spacing w:after="0"/>
              <w:rPr>
                <w:sz w:val="20"/>
                <w:szCs w:val="20"/>
                <w:color w:val="auto"/>
              </w:rPr>
            </w:pPr>
            <w:r>
              <w:rPr>
                <w:rFonts w:ascii="Arial" w:cs="Arial" w:eastAsia="Arial" w:hAnsi="Arial"/>
                <w:sz w:val="20"/>
                <w:szCs w:val="20"/>
                <w:color w:val="231F20"/>
              </w:rPr>
              <w:t xml:space="preserve">Projected benefit obligation at beginning of year </w:t>
            </w:r>
            <w:r>
              <w:rPr>
                <w:rFonts w:ascii="Times New Roman" w:cs="Times New Roman" w:eastAsia="Times New Roman" w:hAnsi="Times New Roman"/>
                <w:sz w:val="20"/>
                <w:szCs w:val="20"/>
                <w:color w:val="231F20"/>
              </w:rPr>
              <w:t>.........</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80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543.6</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161"/>
              <w:spacing w:after="0"/>
              <w:rPr>
                <w:sz w:val="20"/>
                <w:szCs w:val="20"/>
                <w:color w:val="auto"/>
              </w:rPr>
            </w:pPr>
            <w:r>
              <w:rPr>
                <w:rFonts w:ascii="Arial" w:cs="Arial" w:eastAsia="Arial" w:hAnsi="Arial"/>
                <w:sz w:val="20"/>
                <w:szCs w:val="20"/>
                <w:color w:val="231F20"/>
              </w:rPr>
              <w:t>712.0</w:t>
            </w: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9.0</w:t>
            </w:r>
          </w:p>
        </w:tc>
        <w:tc>
          <w:tcPr>
            <w:tcW w:w="380" w:type="dxa"/>
            <w:vAlign w:val="bottom"/>
          </w:tcPr>
          <w:p>
            <w:pPr>
              <w:jc w:val="right"/>
              <w:ind w:right="79"/>
              <w:spacing w:after="0"/>
              <w:rPr>
                <w:sz w:val="20"/>
                <w:szCs w:val="20"/>
                <w:color w:val="auto"/>
              </w:rPr>
            </w:pPr>
            <w:r>
              <w:rPr>
                <w:rFonts w:ascii="Arial" w:cs="Arial" w:eastAsia="Arial" w:hAnsi="Arial"/>
                <w:sz w:val="20"/>
                <w:szCs w:val="20"/>
                <w:color w:val="231F20"/>
              </w:rPr>
              <w:t>$</w:t>
            </w:r>
          </w:p>
        </w:tc>
        <w:tc>
          <w:tcPr>
            <w:tcW w:w="640" w:type="dxa"/>
            <w:vAlign w:val="bottom"/>
          </w:tcPr>
          <w:p>
            <w:pPr>
              <w:jc w:val="right"/>
              <w:ind w:right="1"/>
              <w:spacing w:after="0"/>
              <w:rPr>
                <w:sz w:val="20"/>
                <w:szCs w:val="20"/>
                <w:color w:val="auto"/>
              </w:rPr>
            </w:pPr>
            <w:r>
              <w:rPr>
                <w:rFonts w:ascii="Arial" w:cs="Arial" w:eastAsia="Arial" w:hAnsi="Arial"/>
                <w:sz w:val="20"/>
                <w:szCs w:val="20"/>
                <w:color w:val="231F20"/>
              </w:rPr>
              <w:t>9.8</w:t>
            </w:r>
          </w:p>
        </w:tc>
      </w:tr>
      <w:tr>
        <w:trPr>
          <w:trHeight w:val="233"/>
        </w:trPr>
        <w:tc>
          <w:tcPr>
            <w:tcW w:w="506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Service cost </w:t>
            </w:r>
            <w:r>
              <w:rPr>
                <w:rFonts w:ascii="Times New Roman" w:cs="Times New Roman" w:eastAsia="Times New Roman" w:hAnsi="Times New Roman"/>
                <w:sz w:val="20"/>
                <w:szCs w:val="20"/>
                <w:color w:val="231F20"/>
              </w:rPr>
              <w:t>..................................................................</w:t>
            </w:r>
          </w:p>
        </w:tc>
        <w:tc>
          <w:tcPr>
            <w:tcW w:w="280" w:type="dxa"/>
            <w:vAlign w:val="bottom"/>
          </w:tcPr>
          <w:p>
            <w:pPr>
              <w:spacing w:after="0"/>
              <w:rPr>
                <w:sz w:val="20"/>
                <w:szCs w:val="20"/>
                <w:color w:val="auto"/>
              </w:rPr>
            </w:pPr>
          </w:p>
        </w:tc>
        <w:tc>
          <w:tcPr>
            <w:tcW w:w="80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0.1</w:t>
            </w:r>
          </w:p>
        </w:tc>
        <w:tc>
          <w:tcPr>
            <w:tcW w:w="280" w:type="dxa"/>
            <w:vAlign w:val="bottom"/>
          </w:tcPr>
          <w:p>
            <w:pPr>
              <w:spacing w:after="0"/>
              <w:rPr>
                <w:sz w:val="20"/>
                <w:szCs w:val="20"/>
                <w:color w:val="auto"/>
              </w:rPr>
            </w:pPr>
          </w:p>
        </w:tc>
        <w:tc>
          <w:tcPr>
            <w:tcW w:w="920" w:type="dxa"/>
            <w:vAlign w:val="bottom"/>
            <w:tcBorders>
              <w:right w:val="single" w:sz="8" w:color="231F20"/>
            </w:tcBorders>
          </w:tcPr>
          <w:p>
            <w:pPr>
              <w:jc w:val="right"/>
              <w:ind w:right="161"/>
              <w:spacing w:after="0"/>
              <w:rPr>
                <w:sz w:val="20"/>
                <w:szCs w:val="20"/>
                <w:color w:val="auto"/>
              </w:rPr>
            </w:pPr>
            <w:r>
              <w:rPr>
                <w:rFonts w:ascii="Arial" w:cs="Arial" w:eastAsia="Arial" w:hAnsi="Arial"/>
                <w:sz w:val="20"/>
                <w:szCs w:val="20"/>
                <w:color w:val="231F20"/>
              </w:rPr>
              <w:t>0.2</w:t>
            </w:r>
          </w:p>
        </w:tc>
        <w:tc>
          <w:tcPr>
            <w:tcW w:w="220" w:type="dxa"/>
            <w:vAlign w:val="bottom"/>
          </w:tcPr>
          <w:p>
            <w:pPr>
              <w:spacing w:after="0"/>
              <w:rPr>
                <w:sz w:val="20"/>
                <w:szCs w:val="20"/>
                <w:color w:val="auto"/>
              </w:rPr>
            </w:pPr>
          </w:p>
        </w:tc>
        <w:tc>
          <w:tcPr>
            <w:tcW w:w="86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0.4</w:t>
            </w:r>
          </w:p>
        </w:tc>
        <w:tc>
          <w:tcPr>
            <w:tcW w:w="38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Arial" w:cs="Arial" w:eastAsia="Arial" w:hAnsi="Arial"/>
                <w:sz w:val="20"/>
                <w:szCs w:val="20"/>
                <w:color w:val="231F20"/>
              </w:rPr>
              <w:t>0.4</w:t>
            </w:r>
          </w:p>
        </w:tc>
      </w:tr>
      <w:tr>
        <w:trPr>
          <w:trHeight w:val="233"/>
        </w:trPr>
        <w:tc>
          <w:tcPr>
            <w:tcW w:w="506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Interest cost </w:t>
            </w:r>
            <w:r>
              <w:rPr>
                <w:rFonts w:ascii="Times New Roman" w:cs="Times New Roman" w:eastAsia="Times New Roman" w:hAnsi="Times New Roman"/>
                <w:sz w:val="20"/>
                <w:szCs w:val="20"/>
                <w:color w:val="231F20"/>
              </w:rPr>
              <w:t>..................................................................</w:t>
            </w:r>
          </w:p>
        </w:tc>
        <w:tc>
          <w:tcPr>
            <w:tcW w:w="280" w:type="dxa"/>
            <w:vAlign w:val="bottom"/>
          </w:tcPr>
          <w:p>
            <w:pPr>
              <w:spacing w:after="0"/>
              <w:rPr>
                <w:sz w:val="20"/>
                <w:szCs w:val="20"/>
                <w:color w:val="auto"/>
              </w:rPr>
            </w:pPr>
          </w:p>
        </w:tc>
        <w:tc>
          <w:tcPr>
            <w:tcW w:w="80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27.2</w:t>
            </w:r>
          </w:p>
        </w:tc>
        <w:tc>
          <w:tcPr>
            <w:tcW w:w="280" w:type="dxa"/>
            <w:vAlign w:val="bottom"/>
          </w:tcPr>
          <w:p>
            <w:pPr>
              <w:spacing w:after="0"/>
              <w:rPr>
                <w:sz w:val="20"/>
                <w:szCs w:val="20"/>
                <w:color w:val="auto"/>
              </w:rPr>
            </w:pPr>
          </w:p>
        </w:tc>
        <w:tc>
          <w:tcPr>
            <w:tcW w:w="920" w:type="dxa"/>
            <w:vAlign w:val="bottom"/>
            <w:tcBorders>
              <w:right w:val="single" w:sz="8" w:color="231F20"/>
            </w:tcBorders>
          </w:tcPr>
          <w:p>
            <w:pPr>
              <w:jc w:val="right"/>
              <w:ind w:right="161"/>
              <w:spacing w:after="0"/>
              <w:rPr>
                <w:sz w:val="20"/>
                <w:szCs w:val="20"/>
                <w:color w:val="auto"/>
              </w:rPr>
            </w:pPr>
            <w:r>
              <w:rPr>
                <w:rFonts w:ascii="Arial" w:cs="Arial" w:eastAsia="Arial" w:hAnsi="Arial"/>
                <w:sz w:val="20"/>
                <w:szCs w:val="20"/>
                <w:color w:val="231F20"/>
              </w:rPr>
              <w:t>20.4</w:t>
            </w:r>
          </w:p>
        </w:tc>
        <w:tc>
          <w:tcPr>
            <w:tcW w:w="220" w:type="dxa"/>
            <w:vAlign w:val="bottom"/>
          </w:tcPr>
          <w:p>
            <w:pPr>
              <w:spacing w:after="0"/>
              <w:rPr>
                <w:sz w:val="20"/>
                <w:szCs w:val="20"/>
                <w:color w:val="auto"/>
              </w:rPr>
            </w:pPr>
          </w:p>
        </w:tc>
        <w:tc>
          <w:tcPr>
            <w:tcW w:w="86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0.5</w:t>
            </w:r>
          </w:p>
        </w:tc>
        <w:tc>
          <w:tcPr>
            <w:tcW w:w="38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Arial" w:cs="Arial" w:eastAsia="Arial" w:hAnsi="Arial"/>
                <w:sz w:val="20"/>
                <w:szCs w:val="20"/>
                <w:color w:val="231F20"/>
              </w:rPr>
              <w:t>0.4</w:t>
            </w:r>
          </w:p>
        </w:tc>
      </w:tr>
      <w:tr>
        <w:trPr>
          <w:trHeight w:val="233"/>
        </w:trPr>
        <w:tc>
          <w:tcPr>
            <w:tcW w:w="506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Actuarial (gain) loss </w:t>
            </w:r>
            <w:r>
              <w:rPr>
                <w:rFonts w:ascii="Times New Roman" w:cs="Times New Roman" w:eastAsia="Times New Roman" w:hAnsi="Times New Roman"/>
                <w:sz w:val="20"/>
                <w:szCs w:val="20"/>
                <w:color w:val="231F20"/>
              </w:rPr>
              <w:t>.....................................................</w:t>
            </w:r>
          </w:p>
        </w:tc>
        <w:tc>
          <w:tcPr>
            <w:tcW w:w="280" w:type="dxa"/>
            <w:vAlign w:val="bottom"/>
          </w:tcPr>
          <w:p>
            <w:pPr>
              <w:spacing w:after="0"/>
              <w:rPr>
                <w:sz w:val="20"/>
                <w:szCs w:val="20"/>
                <w:color w:val="auto"/>
              </w:rPr>
            </w:pPr>
          </w:p>
        </w:tc>
        <w:tc>
          <w:tcPr>
            <w:tcW w:w="800" w:type="dxa"/>
            <w:vAlign w:val="bottom"/>
            <w:tcBorders>
              <w:right w:val="single" w:sz="8" w:color="231F20"/>
            </w:tcBorders>
          </w:tcPr>
          <w:p>
            <w:pPr>
              <w:jc w:val="right"/>
              <w:ind w:right="22"/>
              <w:spacing w:after="0"/>
              <w:rPr>
                <w:sz w:val="20"/>
                <w:szCs w:val="20"/>
                <w:color w:val="auto"/>
              </w:rPr>
            </w:pPr>
            <w:r>
              <w:rPr>
                <w:rFonts w:ascii="Arial" w:cs="Arial" w:eastAsia="Arial" w:hAnsi="Arial"/>
                <w:sz w:val="20"/>
                <w:szCs w:val="20"/>
                <w:color w:val="231F20"/>
              </w:rPr>
              <w:t>(0.5)</w:t>
            </w:r>
          </w:p>
        </w:tc>
        <w:tc>
          <w:tcPr>
            <w:tcW w:w="280" w:type="dxa"/>
            <w:vAlign w:val="bottom"/>
          </w:tcPr>
          <w:p>
            <w:pPr>
              <w:spacing w:after="0"/>
              <w:rPr>
                <w:sz w:val="20"/>
                <w:szCs w:val="20"/>
                <w:color w:val="auto"/>
              </w:rPr>
            </w:pPr>
          </w:p>
        </w:tc>
        <w:tc>
          <w:tcPr>
            <w:tcW w:w="92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(155.9)</w:t>
            </w:r>
          </w:p>
        </w:tc>
        <w:tc>
          <w:tcPr>
            <w:tcW w:w="220" w:type="dxa"/>
            <w:vAlign w:val="bottom"/>
          </w:tcPr>
          <w:p>
            <w:pPr>
              <w:spacing w:after="0"/>
              <w:rPr>
                <w:sz w:val="20"/>
                <w:szCs w:val="20"/>
                <w:color w:val="auto"/>
              </w:rPr>
            </w:pPr>
          </w:p>
        </w:tc>
        <w:tc>
          <w:tcPr>
            <w:tcW w:w="860" w:type="dxa"/>
            <w:vAlign w:val="bottom"/>
            <w:tcBorders>
              <w:right w:val="single" w:sz="8" w:color="231F20"/>
            </w:tcBorders>
          </w:tcPr>
          <w:p>
            <w:pPr>
              <w:jc w:val="right"/>
              <w:ind w:right="42"/>
              <w:spacing w:after="0"/>
              <w:rPr>
                <w:sz w:val="20"/>
                <w:szCs w:val="20"/>
                <w:color w:val="auto"/>
              </w:rPr>
            </w:pPr>
            <w:r>
              <w:rPr>
                <w:rFonts w:ascii="Arial" w:cs="Arial" w:eastAsia="Arial" w:hAnsi="Arial"/>
                <w:sz w:val="20"/>
                <w:szCs w:val="20"/>
                <w:color w:val="231F20"/>
              </w:rPr>
              <w:t>(1.3)</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231F20"/>
              </w:rPr>
              <w:t>(1.2)</w:t>
            </w:r>
          </w:p>
        </w:tc>
      </w:tr>
      <w:tr>
        <w:trPr>
          <w:trHeight w:val="253"/>
        </w:trPr>
        <w:tc>
          <w:tcPr>
            <w:tcW w:w="5060" w:type="dxa"/>
            <w:vAlign w:val="bottom"/>
            <w:tcBorders>
              <w:bottom w:val="single" w:sz="8" w:color="231F20"/>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Benefits paid </w:t>
            </w:r>
            <w:r>
              <w:rPr>
                <w:rFonts w:ascii="Times New Roman" w:cs="Times New Roman" w:eastAsia="Times New Roman" w:hAnsi="Times New Roman"/>
                <w:sz w:val="20"/>
                <w:szCs w:val="20"/>
                <w:color w:val="231F20"/>
              </w:rPr>
              <w:t>.................................................................</w:t>
            </w:r>
          </w:p>
        </w:tc>
        <w:tc>
          <w:tcPr>
            <w:tcW w:w="28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right w:val="single" w:sz="8" w:color="231F20"/>
            </w:tcBorders>
          </w:tcPr>
          <w:p>
            <w:pPr>
              <w:jc w:val="right"/>
              <w:ind w:right="22"/>
              <w:spacing w:after="0"/>
              <w:rPr>
                <w:sz w:val="20"/>
                <w:szCs w:val="20"/>
                <w:color w:val="auto"/>
              </w:rPr>
            </w:pPr>
            <w:r>
              <w:rPr>
                <w:rFonts w:ascii="Arial" w:cs="Arial" w:eastAsia="Arial" w:hAnsi="Arial"/>
                <w:sz w:val="20"/>
                <w:szCs w:val="20"/>
                <w:color w:val="231F20"/>
              </w:rPr>
              <w:t>(60.7)</w:t>
            </w: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right w:val="single" w:sz="8" w:color="231F20"/>
            </w:tcBorders>
          </w:tcPr>
          <w:p>
            <w:pPr>
              <w:jc w:val="right"/>
              <w:ind w:right="101"/>
              <w:spacing w:after="0"/>
              <w:rPr>
                <w:sz w:val="20"/>
                <w:szCs w:val="20"/>
                <w:color w:val="auto"/>
              </w:rPr>
            </w:pPr>
            <w:r>
              <w:rPr>
                <w:rFonts w:ascii="Arial" w:cs="Arial" w:eastAsia="Arial" w:hAnsi="Arial"/>
                <w:sz w:val="20"/>
                <w:szCs w:val="20"/>
                <w:color w:val="231F20"/>
              </w:rPr>
              <w:t>(33.1)</w:t>
            </w:r>
          </w:p>
        </w:tc>
        <w:tc>
          <w:tcPr>
            <w:tcW w:w="22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right"/>
              <w:ind w:right="42"/>
              <w:spacing w:after="0"/>
              <w:rPr>
                <w:sz w:val="20"/>
                <w:szCs w:val="20"/>
                <w:color w:val="auto"/>
              </w:rPr>
            </w:pPr>
            <w:r>
              <w:rPr>
                <w:rFonts w:ascii="Arial" w:cs="Arial" w:eastAsia="Arial" w:hAnsi="Arial"/>
                <w:sz w:val="20"/>
                <w:szCs w:val="20"/>
                <w:color w:val="231F20"/>
              </w:rPr>
              <w:t>(0.6)</w:t>
            </w:r>
          </w:p>
        </w:tc>
        <w:tc>
          <w:tcPr>
            <w:tcW w:w="38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(0.4)</w:t>
            </w:r>
          </w:p>
        </w:tc>
      </w:tr>
      <w:tr>
        <w:trPr>
          <w:trHeight w:val="203"/>
        </w:trPr>
        <w:tc>
          <w:tcPr>
            <w:tcW w:w="5060" w:type="dxa"/>
            <w:vAlign w:val="bottom"/>
            <w:tcBorders>
              <w:right w:val="single" w:sz="8" w:color="231F20"/>
            </w:tcBorders>
          </w:tcPr>
          <w:p>
            <w:pPr>
              <w:jc w:val="right"/>
              <w:ind w:right="60"/>
              <w:spacing w:after="0" w:line="203" w:lineRule="exact"/>
              <w:rPr>
                <w:sz w:val="20"/>
                <w:szCs w:val="20"/>
                <w:color w:val="auto"/>
              </w:rPr>
            </w:pPr>
            <w:r>
              <w:rPr>
                <w:rFonts w:ascii="Arial" w:cs="Arial" w:eastAsia="Arial" w:hAnsi="Arial"/>
                <w:sz w:val="20"/>
                <w:szCs w:val="20"/>
                <w:color w:val="231F20"/>
              </w:rPr>
              <w:t xml:space="preserve">Projected benefit obligation at end of year </w:t>
            </w:r>
            <w:r>
              <w:rPr>
                <w:rFonts w:ascii="Times New Roman" w:cs="Times New Roman" w:eastAsia="Times New Roman" w:hAnsi="Times New Roman"/>
                <w:sz w:val="20"/>
                <w:szCs w:val="20"/>
                <w:color w:val="231F20"/>
              </w:rPr>
              <w:t>....................</w:t>
            </w:r>
          </w:p>
        </w:tc>
        <w:tc>
          <w:tcPr>
            <w:tcW w:w="280" w:type="dxa"/>
            <w:vAlign w:val="bottom"/>
          </w:tcPr>
          <w:p>
            <w:pPr>
              <w:jc w:val="right"/>
              <w:spacing w:after="0" w:line="204" w:lineRule="exact"/>
              <w:rPr>
                <w:sz w:val="20"/>
                <w:szCs w:val="20"/>
                <w:color w:val="auto"/>
              </w:rPr>
            </w:pPr>
            <w:r>
              <w:rPr>
                <w:rFonts w:ascii="Arial" w:cs="Arial" w:eastAsia="Arial" w:hAnsi="Arial"/>
                <w:sz w:val="20"/>
                <w:szCs w:val="20"/>
                <w:color w:val="231F20"/>
              </w:rPr>
              <w:t>$</w:t>
            </w:r>
          </w:p>
        </w:tc>
        <w:tc>
          <w:tcPr>
            <w:tcW w:w="800" w:type="dxa"/>
            <w:vAlign w:val="bottom"/>
            <w:tcBorders>
              <w:right w:val="single" w:sz="8" w:color="231F20"/>
            </w:tcBorders>
          </w:tcPr>
          <w:p>
            <w:pPr>
              <w:jc w:val="right"/>
              <w:ind w:right="102"/>
              <w:spacing w:after="0" w:line="204" w:lineRule="exact"/>
              <w:rPr>
                <w:sz w:val="20"/>
                <w:szCs w:val="20"/>
                <w:color w:val="auto"/>
              </w:rPr>
            </w:pPr>
            <w:r>
              <w:rPr>
                <w:rFonts w:ascii="Arial" w:cs="Arial" w:eastAsia="Arial" w:hAnsi="Arial"/>
                <w:sz w:val="20"/>
                <w:szCs w:val="20"/>
                <w:color w:val="231F20"/>
              </w:rPr>
              <w:t>509.7</w:t>
            </w:r>
          </w:p>
        </w:tc>
        <w:tc>
          <w:tcPr>
            <w:tcW w:w="280" w:type="dxa"/>
            <w:vAlign w:val="bottom"/>
          </w:tcPr>
          <w:p>
            <w:pPr>
              <w:jc w:val="right"/>
              <w:spacing w:after="0" w:line="204" w:lineRule="exact"/>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161"/>
              <w:spacing w:after="0" w:line="204" w:lineRule="exact"/>
              <w:rPr>
                <w:sz w:val="20"/>
                <w:szCs w:val="20"/>
                <w:color w:val="auto"/>
              </w:rPr>
            </w:pPr>
            <w:r>
              <w:rPr>
                <w:rFonts w:ascii="Arial" w:cs="Arial" w:eastAsia="Arial" w:hAnsi="Arial"/>
                <w:sz w:val="20"/>
                <w:szCs w:val="20"/>
                <w:color w:val="231F20"/>
              </w:rPr>
              <w:t>543.6</w:t>
            </w:r>
          </w:p>
        </w:tc>
        <w:tc>
          <w:tcPr>
            <w:tcW w:w="220" w:type="dxa"/>
            <w:vAlign w:val="bottom"/>
          </w:tcPr>
          <w:p>
            <w:pPr>
              <w:jc w:val="right"/>
              <w:spacing w:after="0" w:line="204" w:lineRule="exact"/>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102"/>
              <w:spacing w:after="0" w:line="204" w:lineRule="exact"/>
              <w:rPr>
                <w:sz w:val="20"/>
                <w:szCs w:val="20"/>
                <w:color w:val="auto"/>
              </w:rPr>
            </w:pPr>
            <w:r>
              <w:rPr>
                <w:rFonts w:ascii="Arial" w:cs="Arial" w:eastAsia="Arial" w:hAnsi="Arial"/>
                <w:sz w:val="20"/>
                <w:szCs w:val="20"/>
                <w:color w:val="231F20"/>
              </w:rPr>
              <w:t>8.0</w:t>
            </w:r>
          </w:p>
        </w:tc>
        <w:tc>
          <w:tcPr>
            <w:tcW w:w="380" w:type="dxa"/>
            <w:vAlign w:val="bottom"/>
          </w:tcPr>
          <w:p>
            <w:pPr>
              <w:jc w:val="right"/>
              <w:ind w:right="79"/>
              <w:spacing w:after="0" w:line="204" w:lineRule="exact"/>
              <w:rPr>
                <w:sz w:val="20"/>
                <w:szCs w:val="20"/>
                <w:color w:val="auto"/>
              </w:rPr>
            </w:pPr>
            <w:r>
              <w:rPr>
                <w:rFonts w:ascii="Arial" w:cs="Arial" w:eastAsia="Arial" w:hAnsi="Arial"/>
                <w:sz w:val="20"/>
                <w:szCs w:val="20"/>
                <w:color w:val="231F20"/>
              </w:rPr>
              <w:t>$</w:t>
            </w:r>
          </w:p>
        </w:tc>
        <w:tc>
          <w:tcPr>
            <w:tcW w:w="640" w:type="dxa"/>
            <w:vAlign w:val="bottom"/>
          </w:tcPr>
          <w:p>
            <w:pPr>
              <w:jc w:val="right"/>
              <w:ind w:right="1"/>
              <w:spacing w:after="0" w:line="204" w:lineRule="exact"/>
              <w:rPr>
                <w:sz w:val="20"/>
                <w:szCs w:val="20"/>
                <w:color w:val="auto"/>
              </w:rPr>
            </w:pPr>
            <w:r>
              <w:rPr>
                <w:rFonts w:ascii="Arial" w:cs="Arial" w:eastAsia="Arial" w:hAnsi="Arial"/>
                <w:sz w:val="20"/>
                <w:szCs w:val="20"/>
                <w:color w:val="231F20"/>
              </w:rPr>
              <w:t>9.0</w:t>
            </w:r>
          </w:p>
        </w:tc>
      </w:tr>
      <w:tr>
        <w:trPr>
          <w:trHeight w:val="233"/>
        </w:trPr>
        <w:tc>
          <w:tcPr>
            <w:tcW w:w="5060" w:type="dxa"/>
            <w:vAlign w:val="bottom"/>
            <w:tcBorders>
              <w:right w:val="single" w:sz="8" w:color="231F20"/>
            </w:tcBorders>
          </w:tcPr>
          <w:p>
            <w:pPr>
              <w:ind w:left="140"/>
              <w:spacing w:after="0"/>
              <w:rPr>
                <w:sz w:val="20"/>
                <w:szCs w:val="20"/>
                <w:color w:val="auto"/>
              </w:rPr>
            </w:pPr>
            <w:r>
              <w:rPr>
                <w:rFonts w:ascii="Arial" w:cs="Arial" w:eastAsia="Arial" w:hAnsi="Arial"/>
                <w:sz w:val="20"/>
                <w:szCs w:val="20"/>
                <w:color w:val="231F20"/>
              </w:rPr>
              <w:t>Accumulated benefit obligation at end of year</w:t>
            </w:r>
          </w:p>
        </w:tc>
        <w:tc>
          <w:tcPr>
            <w:tcW w:w="280" w:type="dxa"/>
            <w:vAlign w:val="bottom"/>
          </w:tcPr>
          <w:p>
            <w:pPr>
              <w:spacing w:after="0"/>
              <w:rPr>
                <w:sz w:val="20"/>
                <w:szCs w:val="20"/>
                <w:color w:val="auto"/>
              </w:rPr>
            </w:pPr>
          </w:p>
        </w:tc>
        <w:tc>
          <w:tcPr>
            <w:tcW w:w="800" w:type="dxa"/>
            <w:vAlign w:val="bottom"/>
            <w:tcBorders>
              <w:right w:val="single" w:sz="8" w:color="231F20"/>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1"/>
        </w:trPr>
        <w:tc>
          <w:tcPr>
            <w:tcW w:w="5060" w:type="dxa"/>
            <w:vAlign w:val="bottom"/>
            <w:tcBorders>
              <w:right w:val="single" w:sz="8" w:color="231F20"/>
            </w:tcBorders>
          </w:tcPr>
          <w:p>
            <w:pPr>
              <w:jc w:val="right"/>
              <w:ind w:right="680"/>
              <w:spacing w:after="0"/>
              <w:rPr>
                <w:sz w:val="20"/>
                <w:szCs w:val="20"/>
                <w:color w:val="auto"/>
              </w:rPr>
            </w:pPr>
            <w:r>
              <w:rPr>
                <w:rFonts w:ascii="Arial" w:cs="Arial" w:eastAsia="Arial" w:hAnsi="Arial"/>
                <w:sz w:val="20"/>
                <w:szCs w:val="20"/>
                <w:color w:val="231F20"/>
              </w:rPr>
              <w:t>(excludes the impact of future compensation</w:t>
            </w:r>
          </w:p>
        </w:tc>
        <w:tc>
          <w:tcPr>
            <w:tcW w:w="280" w:type="dxa"/>
            <w:vAlign w:val="bottom"/>
          </w:tcPr>
          <w:p>
            <w:pPr>
              <w:spacing w:after="0"/>
              <w:rPr>
                <w:sz w:val="20"/>
                <w:szCs w:val="20"/>
                <w:color w:val="auto"/>
              </w:rPr>
            </w:pPr>
          </w:p>
        </w:tc>
        <w:tc>
          <w:tcPr>
            <w:tcW w:w="800" w:type="dxa"/>
            <w:vAlign w:val="bottom"/>
            <w:tcBorders>
              <w:right w:val="single" w:sz="8" w:color="231F20"/>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4"/>
        </w:trPr>
        <w:tc>
          <w:tcPr>
            <w:tcW w:w="506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increases) </w:t>
            </w:r>
            <w:r>
              <w:rPr>
                <w:rFonts w:ascii="Times New Roman" w:cs="Times New Roman" w:eastAsia="Times New Roman" w:hAnsi="Times New Roman"/>
                <w:sz w:val="20"/>
                <w:szCs w:val="20"/>
                <w:color w:val="231F20"/>
              </w:rPr>
              <w:t>...........................................................................</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80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509.7</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161"/>
              <w:spacing w:after="0"/>
              <w:rPr>
                <w:sz w:val="20"/>
                <w:szCs w:val="20"/>
                <w:color w:val="auto"/>
              </w:rPr>
            </w:pPr>
            <w:r>
              <w:rPr>
                <w:rFonts w:ascii="Arial" w:cs="Arial" w:eastAsia="Arial" w:hAnsi="Arial"/>
                <w:sz w:val="20"/>
                <w:szCs w:val="20"/>
                <w:color w:val="231F20"/>
              </w:rPr>
              <w:t>543.6</w:t>
            </w: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w:t>
            </w:r>
          </w:p>
        </w:tc>
        <w:tc>
          <w:tcPr>
            <w:tcW w:w="380" w:type="dxa"/>
            <w:vAlign w:val="bottom"/>
          </w:tcPr>
          <w:p>
            <w:pPr>
              <w:jc w:val="right"/>
              <w:ind w:right="79"/>
              <w:spacing w:after="0"/>
              <w:rPr>
                <w:sz w:val="20"/>
                <w:szCs w:val="20"/>
                <w:color w:val="auto"/>
              </w:rPr>
            </w:pPr>
            <w:r>
              <w:rPr>
                <w:rFonts w:ascii="Arial" w:cs="Arial" w:eastAsia="Arial" w:hAnsi="Arial"/>
                <w:sz w:val="20"/>
                <w:szCs w:val="20"/>
                <w:color w:val="231F20"/>
              </w:rPr>
              <w:t>$</w:t>
            </w:r>
          </w:p>
        </w:tc>
        <w:tc>
          <w:tcPr>
            <w:tcW w:w="640" w:type="dxa"/>
            <w:vAlign w:val="bottom"/>
          </w:tcPr>
          <w:p>
            <w:pPr>
              <w:jc w:val="right"/>
              <w:ind w:right="1"/>
              <w:spacing w:after="0"/>
              <w:rPr>
                <w:sz w:val="20"/>
                <w:szCs w:val="20"/>
                <w:color w:val="auto"/>
              </w:rPr>
            </w:pPr>
            <w:r>
              <w:rPr>
                <w:rFonts w:ascii="Arial" w:cs="Arial" w:eastAsia="Arial" w:hAnsi="Arial"/>
                <w:sz w:val="20"/>
                <w:szCs w:val="20"/>
                <w:color w:val="231F20"/>
              </w:rPr>
              <w:t>—</w:t>
            </w:r>
          </w:p>
        </w:tc>
      </w:tr>
      <w:tr>
        <w:trPr>
          <w:trHeight w:val="231"/>
        </w:trPr>
        <w:tc>
          <w:tcPr>
            <w:tcW w:w="5060" w:type="dxa"/>
            <w:vAlign w:val="bottom"/>
            <w:tcBorders>
              <w:right w:val="single" w:sz="8" w:color="231F20"/>
            </w:tcBorders>
          </w:tcPr>
          <w:p>
            <w:pPr>
              <w:ind w:left="140"/>
              <w:spacing w:after="0"/>
              <w:rPr>
                <w:sz w:val="20"/>
                <w:szCs w:val="20"/>
                <w:color w:val="auto"/>
              </w:rPr>
            </w:pPr>
            <w:r>
              <w:rPr>
                <w:rFonts w:ascii="Arial" w:cs="Arial" w:eastAsia="Arial" w:hAnsi="Arial"/>
                <w:sz w:val="20"/>
                <w:szCs w:val="20"/>
                <w:color w:val="231F20"/>
              </w:rPr>
              <w:t>Change in Plan Assets:</w:t>
            </w:r>
          </w:p>
        </w:tc>
        <w:tc>
          <w:tcPr>
            <w:tcW w:w="280" w:type="dxa"/>
            <w:vAlign w:val="bottom"/>
          </w:tcPr>
          <w:p>
            <w:pPr>
              <w:spacing w:after="0"/>
              <w:rPr>
                <w:sz w:val="20"/>
                <w:szCs w:val="20"/>
                <w:color w:val="auto"/>
              </w:rPr>
            </w:pPr>
          </w:p>
        </w:tc>
        <w:tc>
          <w:tcPr>
            <w:tcW w:w="800" w:type="dxa"/>
            <w:vAlign w:val="bottom"/>
            <w:tcBorders>
              <w:right w:val="single" w:sz="8" w:color="231F20"/>
            </w:tcBorders>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Borders>
              <w:right w:val="single" w:sz="8" w:color="231F20"/>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3"/>
        </w:trPr>
        <w:tc>
          <w:tcPr>
            <w:tcW w:w="506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Fair value of plan assets at beginning of year </w:t>
            </w:r>
            <w:r>
              <w:rPr>
                <w:rFonts w:ascii="Times New Roman" w:cs="Times New Roman" w:eastAsia="Times New Roman" w:hAnsi="Times New Roman"/>
                <w:sz w:val="20"/>
                <w:szCs w:val="20"/>
                <w:color w:val="231F20"/>
              </w:rPr>
              <w:t>..............</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80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482.5</w:t>
            </w:r>
          </w:p>
        </w:tc>
        <w:tc>
          <w:tcPr>
            <w:tcW w:w="280" w:type="dxa"/>
            <w:vAlign w:val="bottom"/>
          </w:tcPr>
          <w:p>
            <w:pPr>
              <w:jc w:val="right"/>
              <w:spacing w:after="0"/>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161"/>
              <w:spacing w:after="0"/>
              <w:rPr>
                <w:sz w:val="20"/>
                <w:szCs w:val="20"/>
                <w:color w:val="auto"/>
              </w:rPr>
            </w:pPr>
            <w:r>
              <w:rPr>
                <w:rFonts w:ascii="Arial" w:cs="Arial" w:eastAsia="Arial" w:hAnsi="Arial"/>
                <w:sz w:val="20"/>
                <w:szCs w:val="20"/>
                <w:color w:val="231F20"/>
              </w:rPr>
              <w:t>649.8</w:t>
            </w: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w:t>
            </w:r>
          </w:p>
        </w:tc>
        <w:tc>
          <w:tcPr>
            <w:tcW w:w="380" w:type="dxa"/>
            <w:vAlign w:val="bottom"/>
          </w:tcPr>
          <w:p>
            <w:pPr>
              <w:jc w:val="right"/>
              <w:ind w:right="79"/>
              <w:spacing w:after="0"/>
              <w:rPr>
                <w:sz w:val="20"/>
                <w:szCs w:val="20"/>
                <w:color w:val="auto"/>
              </w:rPr>
            </w:pPr>
            <w:r>
              <w:rPr>
                <w:rFonts w:ascii="Arial" w:cs="Arial" w:eastAsia="Arial" w:hAnsi="Arial"/>
                <w:sz w:val="20"/>
                <w:szCs w:val="20"/>
                <w:color w:val="231F20"/>
              </w:rPr>
              <w:t>$</w:t>
            </w:r>
          </w:p>
        </w:tc>
        <w:tc>
          <w:tcPr>
            <w:tcW w:w="640" w:type="dxa"/>
            <w:vAlign w:val="bottom"/>
          </w:tcPr>
          <w:p>
            <w:pPr>
              <w:jc w:val="right"/>
              <w:ind w:right="1"/>
              <w:spacing w:after="0"/>
              <w:rPr>
                <w:sz w:val="20"/>
                <w:szCs w:val="20"/>
                <w:color w:val="auto"/>
              </w:rPr>
            </w:pPr>
            <w:r>
              <w:rPr>
                <w:rFonts w:ascii="Arial" w:cs="Arial" w:eastAsia="Arial" w:hAnsi="Arial"/>
                <w:sz w:val="20"/>
                <w:szCs w:val="20"/>
                <w:color w:val="231F20"/>
              </w:rPr>
              <w:t>—</w:t>
            </w:r>
          </w:p>
        </w:tc>
      </w:tr>
      <w:tr>
        <w:trPr>
          <w:trHeight w:val="233"/>
        </w:trPr>
        <w:tc>
          <w:tcPr>
            <w:tcW w:w="506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Actual return on plan assets</w:t>
            </w:r>
            <w:r>
              <w:rPr>
                <w:rFonts w:ascii="Times New Roman" w:cs="Times New Roman" w:eastAsia="Times New Roman" w:hAnsi="Times New Roman"/>
                <w:sz w:val="20"/>
                <w:szCs w:val="20"/>
                <w:color w:val="231F20"/>
              </w:rPr>
              <w:t>.......................................</w:t>
            </w:r>
          </w:p>
        </w:tc>
        <w:tc>
          <w:tcPr>
            <w:tcW w:w="280" w:type="dxa"/>
            <w:vAlign w:val="bottom"/>
          </w:tcPr>
          <w:p>
            <w:pPr>
              <w:spacing w:after="0"/>
              <w:rPr>
                <w:sz w:val="20"/>
                <w:szCs w:val="20"/>
                <w:color w:val="auto"/>
              </w:rPr>
            </w:pPr>
          </w:p>
        </w:tc>
        <w:tc>
          <w:tcPr>
            <w:tcW w:w="80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40.5</w:t>
            </w:r>
          </w:p>
        </w:tc>
        <w:tc>
          <w:tcPr>
            <w:tcW w:w="280" w:type="dxa"/>
            <w:vAlign w:val="bottom"/>
          </w:tcPr>
          <w:p>
            <w:pPr>
              <w:spacing w:after="0"/>
              <w:rPr>
                <w:sz w:val="20"/>
                <w:szCs w:val="20"/>
                <w:color w:val="auto"/>
              </w:rPr>
            </w:pPr>
          </w:p>
        </w:tc>
        <w:tc>
          <w:tcPr>
            <w:tcW w:w="920" w:type="dxa"/>
            <w:vAlign w:val="bottom"/>
            <w:tcBorders>
              <w:right w:val="single" w:sz="8" w:color="231F20"/>
            </w:tcBorders>
          </w:tcPr>
          <w:p>
            <w:pPr>
              <w:jc w:val="right"/>
              <w:ind w:right="101"/>
              <w:spacing w:after="0"/>
              <w:rPr>
                <w:sz w:val="20"/>
                <w:szCs w:val="20"/>
                <w:color w:val="auto"/>
              </w:rPr>
            </w:pPr>
            <w:r>
              <w:rPr>
                <w:rFonts w:ascii="Arial" w:cs="Arial" w:eastAsia="Arial" w:hAnsi="Arial"/>
                <w:sz w:val="20"/>
                <w:szCs w:val="20"/>
                <w:color w:val="231F20"/>
              </w:rPr>
              <w:t>(144.8)</w:t>
            </w:r>
          </w:p>
        </w:tc>
        <w:tc>
          <w:tcPr>
            <w:tcW w:w="220" w:type="dxa"/>
            <w:vAlign w:val="bottom"/>
          </w:tcPr>
          <w:p>
            <w:pPr>
              <w:spacing w:after="0"/>
              <w:rPr>
                <w:sz w:val="20"/>
                <w:szCs w:val="20"/>
                <w:color w:val="auto"/>
              </w:rPr>
            </w:pPr>
          </w:p>
        </w:tc>
        <w:tc>
          <w:tcPr>
            <w:tcW w:w="86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w:t>
            </w:r>
          </w:p>
        </w:tc>
        <w:tc>
          <w:tcPr>
            <w:tcW w:w="38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Arial" w:cs="Arial" w:eastAsia="Arial" w:hAnsi="Arial"/>
                <w:sz w:val="20"/>
                <w:szCs w:val="20"/>
                <w:color w:val="231F20"/>
              </w:rPr>
              <w:t>—</w:t>
            </w:r>
          </w:p>
        </w:tc>
      </w:tr>
      <w:tr>
        <w:trPr>
          <w:trHeight w:val="233"/>
        </w:trPr>
        <w:tc>
          <w:tcPr>
            <w:tcW w:w="506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Employer contributions</w:t>
            </w:r>
            <w:r>
              <w:rPr>
                <w:rFonts w:ascii="Times New Roman" w:cs="Times New Roman" w:eastAsia="Times New Roman" w:hAnsi="Times New Roman"/>
                <w:sz w:val="20"/>
                <w:szCs w:val="20"/>
                <w:color w:val="231F20"/>
              </w:rPr>
              <w:t>................................................</w:t>
            </w:r>
          </w:p>
        </w:tc>
        <w:tc>
          <w:tcPr>
            <w:tcW w:w="280" w:type="dxa"/>
            <w:vAlign w:val="bottom"/>
          </w:tcPr>
          <w:p>
            <w:pPr>
              <w:spacing w:after="0"/>
              <w:rPr>
                <w:sz w:val="20"/>
                <w:szCs w:val="20"/>
                <w:color w:val="auto"/>
              </w:rPr>
            </w:pPr>
          </w:p>
        </w:tc>
        <w:tc>
          <w:tcPr>
            <w:tcW w:w="80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5.7</w:t>
            </w:r>
          </w:p>
        </w:tc>
        <w:tc>
          <w:tcPr>
            <w:tcW w:w="280" w:type="dxa"/>
            <w:vAlign w:val="bottom"/>
          </w:tcPr>
          <w:p>
            <w:pPr>
              <w:spacing w:after="0"/>
              <w:rPr>
                <w:sz w:val="20"/>
                <w:szCs w:val="20"/>
                <w:color w:val="auto"/>
              </w:rPr>
            </w:pPr>
          </w:p>
        </w:tc>
        <w:tc>
          <w:tcPr>
            <w:tcW w:w="920" w:type="dxa"/>
            <w:vAlign w:val="bottom"/>
            <w:tcBorders>
              <w:right w:val="single" w:sz="8" w:color="231F20"/>
            </w:tcBorders>
          </w:tcPr>
          <w:p>
            <w:pPr>
              <w:jc w:val="right"/>
              <w:ind w:right="161"/>
              <w:spacing w:after="0"/>
              <w:rPr>
                <w:sz w:val="20"/>
                <w:szCs w:val="20"/>
                <w:color w:val="auto"/>
              </w:rPr>
            </w:pPr>
            <w:r>
              <w:rPr>
                <w:rFonts w:ascii="Arial" w:cs="Arial" w:eastAsia="Arial" w:hAnsi="Arial"/>
                <w:sz w:val="20"/>
                <w:szCs w:val="20"/>
                <w:color w:val="231F20"/>
              </w:rPr>
              <w:t>10.6</w:t>
            </w:r>
          </w:p>
        </w:tc>
        <w:tc>
          <w:tcPr>
            <w:tcW w:w="220" w:type="dxa"/>
            <w:vAlign w:val="bottom"/>
          </w:tcPr>
          <w:p>
            <w:pPr>
              <w:spacing w:after="0"/>
              <w:rPr>
                <w:sz w:val="20"/>
                <w:szCs w:val="20"/>
                <w:color w:val="auto"/>
              </w:rPr>
            </w:pPr>
          </w:p>
        </w:tc>
        <w:tc>
          <w:tcPr>
            <w:tcW w:w="86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0.6</w:t>
            </w:r>
          </w:p>
        </w:tc>
        <w:tc>
          <w:tcPr>
            <w:tcW w:w="38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Arial" w:cs="Arial" w:eastAsia="Arial" w:hAnsi="Arial"/>
                <w:sz w:val="20"/>
                <w:szCs w:val="20"/>
                <w:color w:val="231F20"/>
              </w:rPr>
              <w:t>0.4</w:t>
            </w:r>
          </w:p>
        </w:tc>
      </w:tr>
      <w:tr>
        <w:trPr>
          <w:trHeight w:val="253"/>
        </w:trPr>
        <w:tc>
          <w:tcPr>
            <w:tcW w:w="5060" w:type="dxa"/>
            <w:vAlign w:val="bottom"/>
            <w:tcBorders>
              <w:bottom w:val="single" w:sz="8" w:color="231F20"/>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Benefits paid </w:t>
            </w:r>
            <w:r>
              <w:rPr>
                <w:rFonts w:ascii="Times New Roman" w:cs="Times New Roman" w:eastAsia="Times New Roman" w:hAnsi="Times New Roman"/>
                <w:sz w:val="20"/>
                <w:szCs w:val="20"/>
                <w:color w:val="231F20"/>
              </w:rPr>
              <w:t>.................................................................</w:t>
            </w:r>
          </w:p>
        </w:tc>
        <w:tc>
          <w:tcPr>
            <w:tcW w:w="28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right w:val="single" w:sz="8" w:color="231F20"/>
            </w:tcBorders>
          </w:tcPr>
          <w:p>
            <w:pPr>
              <w:jc w:val="right"/>
              <w:ind w:right="22"/>
              <w:spacing w:after="0"/>
              <w:rPr>
                <w:sz w:val="20"/>
                <w:szCs w:val="20"/>
                <w:color w:val="auto"/>
              </w:rPr>
            </w:pPr>
            <w:r>
              <w:rPr>
                <w:rFonts w:ascii="Arial" w:cs="Arial" w:eastAsia="Arial" w:hAnsi="Arial"/>
                <w:sz w:val="20"/>
                <w:szCs w:val="20"/>
                <w:color w:val="231F20"/>
              </w:rPr>
              <w:t>(60.7)</w:t>
            </w:r>
          </w:p>
        </w:tc>
        <w:tc>
          <w:tcPr>
            <w:tcW w:w="2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right w:val="single" w:sz="8" w:color="231F20"/>
            </w:tcBorders>
          </w:tcPr>
          <w:p>
            <w:pPr>
              <w:jc w:val="right"/>
              <w:ind w:right="101"/>
              <w:spacing w:after="0"/>
              <w:rPr>
                <w:sz w:val="20"/>
                <w:szCs w:val="20"/>
                <w:color w:val="auto"/>
              </w:rPr>
            </w:pPr>
            <w:r>
              <w:rPr>
                <w:rFonts w:ascii="Arial" w:cs="Arial" w:eastAsia="Arial" w:hAnsi="Arial"/>
                <w:sz w:val="20"/>
                <w:szCs w:val="20"/>
                <w:color w:val="231F20"/>
              </w:rPr>
              <w:t>(33.1)</w:t>
            </w:r>
          </w:p>
        </w:tc>
        <w:tc>
          <w:tcPr>
            <w:tcW w:w="22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right"/>
              <w:ind w:right="42"/>
              <w:spacing w:after="0"/>
              <w:rPr>
                <w:sz w:val="20"/>
                <w:szCs w:val="20"/>
                <w:color w:val="auto"/>
              </w:rPr>
            </w:pPr>
            <w:r>
              <w:rPr>
                <w:rFonts w:ascii="Arial" w:cs="Arial" w:eastAsia="Arial" w:hAnsi="Arial"/>
                <w:sz w:val="20"/>
                <w:szCs w:val="20"/>
                <w:color w:val="231F20"/>
              </w:rPr>
              <w:t>(0.6)</w:t>
            </w:r>
          </w:p>
        </w:tc>
        <w:tc>
          <w:tcPr>
            <w:tcW w:w="38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(0.4)</w:t>
            </w:r>
          </w:p>
        </w:tc>
      </w:tr>
      <w:tr>
        <w:trPr>
          <w:trHeight w:val="223"/>
        </w:trPr>
        <w:tc>
          <w:tcPr>
            <w:tcW w:w="5060" w:type="dxa"/>
            <w:vAlign w:val="bottom"/>
            <w:tcBorders>
              <w:bottom w:val="single" w:sz="8" w:color="231F20"/>
              <w:right w:val="single" w:sz="8" w:color="231F20"/>
            </w:tcBorders>
          </w:tcPr>
          <w:p>
            <w:pPr>
              <w:jc w:val="right"/>
              <w:ind w:right="60"/>
              <w:spacing w:after="0" w:line="223" w:lineRule="exact"/>
              <w:rPr>
                <w:sz w:val="20"/>
                <w:szCs w:val="20"/>
                <w:color w:val="auto"/>
              </w:rPr>
            </w:pPr>
            <w:r>
              <w:rPr>
                <w:rFonts w:ascii="Arial" w:cs="Arial" w:eastAsia="Arial" w:hAnsi="Arial"/>
                <w:sz w:val="20"/>
                <w:szCs w:val="20"/>
                <w:color w:val="231F20"/>
              </w:rPr>
              <w:t>Fair value of plan assets at end of year</w:t>
            </w:r>
            <w:r>
              <w:rPr>
                <w:rFonts w:ascii="Times New Roman" w:cs="Times New Roman" w:eastAsia="Times New Roman" w:hAnsi="Times New Roman"/>
                <w:sz w:val="20"/>
                <w:szCs w:val="20"/>
                <w:color w:val="231F20"/>
              </w:rPr>
              <w:t>.........................</w:t>
            </w:r>
          </w:p>
        </w:tc>
        <w:tc>
          <w:tcPr>
            <w:tcW w:w="2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00" w:type="dxa"/>
            <w:vAlign w:val="bottom"/>
            <w:tcBorders>
              <w:bottom w:val="single" w:sz="8" w:color="231F20"/>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468.0</w:t>
            </w:r>
          </w:p>
        </w:tc>
        <w:tc>
          <w:tcPr>
            <w:tcW w:w="2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920" w:type="dxa"/>
            <w:vAlign w:val="bottom"/>
            <w:tcBorders>
              <w:bottom w:val="single" w:sz="8" w:color="231F20"/>
              <w:right w:val="single" w:sz="8" w:color="231F20"/>
            </w:tcBorders>
          </w:tcPr>
          <w:p>
            <w:pPr>
              <w:jc w:val="right"/>
              <w:ind w:right="161"/>
              <w:spacing w:after="0" w:line="223" w:lineRule="exact"/>
              <w:rPr>
                <w:sz w:val="20"/>
                <w:szCs w:val="20"/>
                <w:color w:val="auto"/>
              </w:rPr>
            </w:pPr>
            <w:r>
              <w:rPr>
                <w:rFonts w:ascii="Arial" w:cs="Arial" w:eastAsia="Arial" w:hAnsi="Arial"/>
                <w:sz w:val="20"/>
                <w:szCs w:val="20"/>
                <w:color w:val="231F20"/>
              </w:rPr>
              <w:t>482.5</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60" w:type="dxa"/>
            <w:vAlign w:val="bottom"/>
            <w:tcBorders>
              <w:bottom w:val="single" w:sz="8" w:color="231F20"/>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w:t>
            </w:r>
          </w:p>
        </w:tc>
        <w:tc>
          <w:tcPr>
            <w:tcW w:w="380" w:type="dxa"/>
            <w:vAlign w:val="bottom"/>
            <w:tcBorders>
              <w:bottom w:val="single" w:sz="8" w:color="231F20"/>
            </w:tcBorders>
          </w:tcPr>
          <w:p>
            <w:pPr>
              <w:jc w:val="right"/>
              <w:ind w:right="79"/>
              <w:spacing w:after="0" w:line="223" w:lineRule="exact"/>
              <w:rPr>
                <w:sz w:val="20"/>
                <w:szCs w:val="20"/>
                <w:color w:val="auto"/>
              </w:rPr>
            </w:pPr>
            <w:r>
              <w:rPr>
                <w:rFonts w:ascii="Arial" w:cs="Arial" w:eastAsia="Arial" w:hAnsi="Arial"/>
                <w:sz w:val="20"/>
                <w:szCs w:val="20"/>
                <w:color w:val="231F20"/>
              </w:rPr>
              <w:t>$</w:t>
            </w:r>
          </w:p>
        </w:tc>
        <w:tc>
          <w:tcPr>
            <w:tcW w:w="640" w:type="dxa"/>
            <w:vAlign w:val="bottom"/>
            <w:tcBorders>
              <w:bottom w:val="single" w:sz="8" w:color="231F20"/>
            </w:tcBorders>
          </w:tcPr>
          <w:p>
            <w:pPr>
              <w:jc w:val="right"/>
              <w:ind w:right="1"/>
              <w:spacing w:after="0" w:line="223" w:lineRule="exact"/>
              <w:rPr>
                <w:sz w:val="20"/>
                <w:szCs w:val="20"/>
                <w:color w:val="auto"/>
              </w:rPr>
            </w:pPr>
            <w:r>
              <w:rPr>
                <w:rFonts w:ascii="Arial" w:cs="Arial" w:eastAsia="Arial" w:hAnsi="Arial"/>
                <w:sz w:val="20"/>
                <w:szCs w:val="20"/>
                <w:color w:val="231F20"/>
              </w:rPr>
              <w:t>—</w:t>
            </w:r>
          </w:p>
        </w:tc>
      </w:tr>
      <w:tr>
        <w:trPr>
          <w:trHeight w:val="202"/>
        </w:trPr>
        <w:tc>
          <w:tcPr>
            <w:tcW w:w="5060" w:type="dxa"/>
            <w:vAlign w:val="bottom"/>
            <w:tcBorders>
              <w:right w:val="single" w:sz="8" w:color="231F20"/>
            </w:tcBorders>
          </w:tcPr>
          <w:p>
            <w:pPr>
              <w:jc w:val="right"/>
              <w:ind w:right="520"/>
              <w:spacing w:after="0" w:line="203" w:lineRule="exact"/>
              <w:rPr>
                <w:sz w:val="20"/>
                <w:szCs w:val="20"/>
                <w:color w:val="auto"/>
              </w:rPr>
            </w:pPr>
            <w:r>
              <w:rPr>
                <w:rFonts w:ascii="Arial" w:cs="Arial" w:eastAsia="Arial" w:hAnsi="Arial"/>
                <w:sz w:val="20"/>
                <w:szCs w:val="20"/>
                <w:color w:val="231F20"/>
              </w:rPr>
              <w:t>Funded status (Fair value of plan assets less</w:t>
            </w:r>
          </w:p>
        </w:tc>
        <w:tc>
          <w:tcPr>
            <w:tcW w:w="280" w:type="dxa"/>
            <w:vAlign w:val="bottom"/>
          </w:tcPr>
          <w:p>
            <w:pPr>
              <w:spacing w:after="0"/>
              <w:rPr>
                <w:sz w:val="17"/>
                <w:szCs w:val="17"/>
                <w:color w:val="auto"/>
              </w:rPr>
            </w:pPr>
          </w:p>
        </w:tc>
        <w:tc>
          <w:tcPr>
            <w:tcW w:w="800" w:type="dxa"/>
            <w:vAlign w:val="bottom"/>
            <w:tcBorders>
              <w:right w:val="single" w:sz="8" w:color="231F20"/>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right w:val="single" w:sz="8" w:color="231F20"/>
            </w:tcBorders>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79"/>
        </w:trPr>
        <w:tc>
          <w:tcPr>
            <w:tcW w:w="5060" w:type="dxa"/>
            <w:vAlign w:val="bottom"/>
            <w:tcBorders>
              <w:bottom w:val="single" w:sz="8" w:color="231F20"/>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PBO) </w:t>
            </w:r>
            <w:r>
              <w:rPr>
                <w:rFonts w:ascii="Times New Roman" w:cs="Times New Roman" w:eastAsia="Times New Roman" w:hAnsi="Times New Roman"/>
                <w:sz w:val="20"/>
                <w:szCs w:val="20"/>
                <w:color w:val="231F20"/>
              </w:rPr>
              <w:t>..............................................................................</w:t>
            </w:r>
          </w:p>
        </w:tc>
        <w:tc>
          <w:tcPr>
            <w:tcW w:w="2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800" w:type="dxa"/>
            <w:vAlign w:val="bottom"/>
            <w:tcBorders>
              <w:bottom w:val="single" w:sz="8" w:color="231F20"/>
              <w:right w:val="single" w:sz="8" w:color="231F20"/>
            </w:tcBorders>
          </w:tcPr>
          <w:p>
            <w:pPr>
              <w:jc w:val="right"/>
              <w:ind w:right="22"/>
              <w:spacing w:after="0"/>
              <w:rPr>
                <w:sz w:val="20"/>
                <w:szCs w:val="20"/>
                <w:color w:val="auto"/>
              </w:rPr>
            </w:pPr>
            <w:r>
              <w:rPr>
                <w:rFonts w:ascii="Arial" w:cs="Arial" w:eastAsia="Arial" w:hAnsi="Arial"/>
                <w:sz w:val="20"/>
                <w:szCs w:val="20"/>
                <w:color w:val="231F20"/>
              </w:rPr>
              <w:t>(41.7)</w:t>
            </w:r>
          </w:p>
        </w:tc>
        <w:tc>
          <w:tcPr>
            <w:tcW w:w="2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920" w:type="dxa"/>
            <w:vAlign w:val="bottom"/>
            <w:tcBorders>
              <w:bottom w:val="single" w:sz="8" w:color="231F20"/>
              <w:right w:val="single" w:sz="8" w:color="231F20"/>
            </w:tcBorders>
          </w:tcPr>
          <w:p>
            <w:pPr>
              <w:jc w:val="right"/>
              <w:ind w:right="101"/>
              <w:spacing w:after="0"/>
              <w:rPr>
                <w:sz w:val="20"/>
                <w:szCs w:val="20"/>
                <w:color w:val="auto"/>
              </w:rPr>
            </w:pPr>
            <w:r>
              <w:rPr>
                <w:rFonts w:ascii="Arial" w:cs="Arial" w:eastAsia="Arial" w:hAnsi="Arial"/>
                <w:sz w:val="20"/>
                <w:szCs w:val="20"/>
                <w:color w:val="231F20"/>
              </w:rPr>
              <w:t>(61.1)</w:t>
            </w:r>
          </w:p>
        </w:tc>
        <w:tc>
          <w:tcPr>
            <w:tcW w:w="2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860" w:type="dxa"/>
            <w:vAlign w:val="bottom"/>
            <w:tcBorders>
              <w:bottom w:val="single" w:sz="8" w:color="231F20"/>
              <w:right w:val="single" w:sz="8" w:color="231F20"/>
            </w:tcBorders>
          </w:tcPr>
          <w:p>
            <w:pPr>
              <w:jc w:val="right"/>
              <w:ind w:right="42"/>
              <w:spacing w:after="0"/>
              <w:rPr>
                <w:sz w:val="20"/>
                <w:szCs w:val="20"/>
                <w:color w:val="auto"/>
              </w:rPr>
            </w:pPr>
            <w:r>
              <w:rPr>
                <w:rFonts w:ascii="Arial" w:cs="Arial" w:eastAsia="Arial" w:hAnsi="Arial"/>
                <w:sz w:val="20"/>
                <w:szCs w:val="20"/>
                <w:color w:val="231F20"/>
              </w:rPr>
              <w:t>(8.0)</w:t>
            </w:r>
          </w:p>
        </w:tc>
        <w:tc>
          <w:tcPr>
            <w:tcW w:w="380" w:type="dxa"/>
            <w:vAlign w:val="bottom"/>
            <w:tcBorders>
              <w:bottom w:val="single" w:sz="8" w:color="231F20"/>
            </w:tcBorders>
          </w:tcPr>
          <w:p>
            <w:pPr>
              <w:jc w:val="right"/>
              <w:ind w:right="79"/>
              <w:spacing w:after="0"/>
              <w:rPr>
                <w:sz w:val="20"/>
                <w:szCs w:val="20"/>
                <w:color w:val="auto"/>
              </w:rPr>
            </w:pPr>
            <w:r>
              <w:rPr>
                <w:rFonts w:ascii="Arial" w:cs="Arial" w:eastAsia="Arial" w:hAnsi="Arial"/>
                <w:sz w:val="20"/>
                <w:szCs w:val="20"/>
                <w:color w:val="231F20"/>
              </w:rPr>
              <w:t>$</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(9.0)</w:t>
            </w:r>
          </w:p>
        </w:tc>
      </w:tr>
    </w:tbl>
    <w:p>
      <w:pPr>
        <w:spacing w:after="0" w:line="200" w:lineRule="exact"/>
        <w:rPr>
          <w:sz w:val="20"/>
          <w:szCs w:val="20"/>
          <w:color w:val="auto"/>
        </w:rPr>
      </w:pPr>
    </w:p>
    <w:p>
      <w:pPr>
        <w:sectPr>
          <w:pgSz w:w="12240" w:h="15840" w:orient="portrait"/>
          <w:cols w:equalWidth="0" w:num="1">
            <w:col w:w="9460"/>
          </w:cols>
          <w:pgMar w:left="1380" w:top="1342"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78</w:t>
      </w:r>
    </w:p>
    <w:p>
      <w:pPr>
        <w:sectPr>
          <w:pgSz w:w="12240" w:h="15840" w:orient="portrait"/>
          <w:cols w:equalWidth="0" w:num="1">
            <w:col w:w="9460"/>
          </w:cols>
          <w:pgMar w:left="1380" w:top="1342" w:right="1400" w:bottom="95"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color w:val="231F20"/>
        </w:rPr>
        <w:t>The actuarial loss is primarily a result of changes in discount rates from year to year.</w:t>
      </w:r>
    </w:p>
    <w:p>
      <w:pPr>
        <w:spacing w:after="0" w:line="212" w:lineRule="exact"/>
        <w:rPr>
          <w:sz w:val="20"/>
          <w:szCs w:val="20"/>
          <w:color w:val="auto"/>
        </w:rPr>
      </w:pPr>
    </w:p>
    <w:p>
      <w:pPr>
        <w:ind w:right="660"/>
        <w:spacing w:after="0" w:line="287" w:lineRule="auto"/>
        <w:rPr>
          <w:sz w:val="20"/>
          <w:szCs w:val="20"/>
          <w:color w:val="auto"/>
        </w:rPr>
      </w:pPr>
      <w:r>
        <w:rPr>
          <w:rFonts w:ascii="Arial" w:cs="Arial" w:eastAsia="Arial" w:hAnsi="Arial"/>
          <w:sz w:val="20"/>
          <w:szCs w:val="20"/>
          <w:color w:val="231F20"/>
        </w:rPr>
        <w:t>The accumulated benefit obligation exceeds the fair value of assets for all pension plans. Amounts recognized in the consolidated balance sheets consist of:</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20" w:type="dxa"/>
            <w:vAlign w:val="bottom"/>
            <w:tcBorders>
              <w:top w:val="single" w:sz="8" w:color="231F20"/>
              <w:bottom w:val="single" w:sz="8" w:color="231F20"/>
            </w:tcBorders>
          </w:tcPr>
          <w:p>
            <w:pPr>
              <w:spacing w:after="0"/>
              <w:rPr>
                <w:sz w:val="16"/>
                <w:szCs w:val="16"/>
                <w:color w:val="auto"/>
              </w:rPr>
            </w:pPr>
          </w:p>
        </w:tc>
        <w:tc>
          <w:tcPr>
            <w:tcW w:w="380" w:type="dxa"/>
            <w:vAlign w:val="bottom"/>
            <w:tcBorders>
              <w:top w:val="single" w:sz="8" w:color="231F20"/>
              <w:bottom w:val="single" w:sz="8" w:color="231F20"/>
            </w:tcBorders>
          </w:tcPr>
          <w:p>
            <w:pPr>
              <w:spacing w:after="0"/>
              <w:rPr>
                <w:sz w:val="16"/>
                <w:szCs w:val="16"/>
                <w:color w:val="auto"/>
              </w:rPr>
            </w:pPr>
          </w:p>
        </w:tc>
        <w:tc>
          <w:tcPr>
            <w:tcW w:w="1380" w:type="dxa"/>
            <w:vAlign w:val="bottom"/>
            <w:tcBorders>
              <w:top w:val="single" w:sz="8" w:color="231F20"/>
              <w:bottom w:val="single" w:sz="8" w:color="231F20"/>
            </w:tcBorders>
            <w:gridSpan w:val="2"/>
          </w:tcPr>
          <w:p>
            <w:pPr>
              <w:jc w:val="right"/>
              <w:spacing w:after="0"/>
              <w:rPr>
                <w:sz w:val="20"/>
                <w:szCs w:val="20"/>
                <w:color w:val="auto"/>
              </w:rPr>
            </w:pPr>
            <w:r>
              <w:rPr>
                <w:rFonts w:ascii="Arial" w:cs="Arial" w:eastAsia="Arial" w:hAnsi="Arial"/>
                <w:sz w:val="15"/>
                <w:szCs w:val="15"/>
                <w:color w:val="231F20"/>
              </w:rPr>
              <w:t>Pension Benefits</w:t>
            </w:r>
          </w:p>
        </w:tc>
        <w:tc>
          <w:tcPr>
            <w:tcW w:w="700" w:type="dxa"/>
            <w:vAlign w:val="bottom"/>
            <w:tcBorders>
              <w:top w:val="single" w:sz="8" w:color="231F20"/>
              <w:bottom w:val="single" w:sz="8" w:color="231F20"/>
              <w:right w:val="single" w:sz="8" w:color="231F20"/>
            </w:tcBorders>
          </w:tcPr>
          <w:p>
            <w:pPr>
              <w:spacing w:after="0"/>
              <w:rPr>
                <w:sz w:val="16"/>
                <w:szCs w:val="16"/>
                <w:color w:val="auto"/>
              </w:rPr>
            </w:pPr>
          </w:p>
        </w:tc>
        <w:tc>
          <w:tcPr>
            <w:tcW w:w="300" w:type="dxa"/>
            <w:vAlign w:val="bottom"/>
            <w:tcBorders>
              <w:top w:val="single" w:sz="8" w:color="231F20"/>
              <w:bottom w:val="single" w:sz="8" w:color="231F20"/>
            </w:tcBorders>
          </w:tcPr>
          <w:p>
            <w:pPr>
              <w:spacing w:after="0"/>
              <w:rPr>
                <w:sz w:val="16"/>
                <w:szCs w:val="16"/>
                <w:color w:val="auto"/>
              </w:rPr>
            </w:pPr>
          </w:p>
        </w:tc>
        <w:tc>
          <w:tcPr>
            <w:tcW w:w="2040" w:type="dxa"/>
            <w:vAlign w:val="bottom"/>
            <w:tcBorders>
              <w:top w:val="single" w:sz="8" w:color="231F20"/>
              <w:bottom w:val="single" w:sz="8" w:color="231F20"/>
            </w:tcBorders>
            <w:gridSpan w:val="3"/>
          </w:tcPr>
          <w:p>
            <w:pPr>
              <w:jc w:val="right"/>
              <w:ind w:right="285"/>
              <w:spacing w:after="0"/>
              <w:rPr>
                <w:sz w:val="20"/>
                <w:szCs w:val="20"/>
                <w:color w:val="auto"/>
              </w:rPr>
            </w:pPr>
            <w:r>
              <w:rPr>
                <w:rFonts w:ascii="Arial" w:cs="Arial" w:eastAsia="Arial" w:hAnsi="Arial"/>
                <w:sz w:val="15"/>
                <w:szCs w:val="15"/>
                <w:color w:val="231F20"/>
              </w:rPr>
              <w:t>Postretirement Benefits</w:t>
            </w:r>
          </w:p>
        </w:tc>
      </w:tr>
      <w:tr>
        <w:trPr>
          <w:trHeight w:val="165"/>
        </w:trPr>
        <w:tc>
          <w:tcPr>
            <w:tcW w:w="20" w:type="dxa"/>
            <w:vAlign w:val="bottom"/>
          </w:tcPr>
          <w:p>
            <w:pPr>
              <w:spacing w:after="0"/>
              <w:rPr>
                <w:sz w:val="14"/>
                <w:szCs w:val="14"/>
                <w:color w:val="auto"/>
              </w:rPr>
            </w:pPr>
          </w:p>
        </w:tc>
        <w:tc>
          <w:tcPr>
            <w:tcW w:w="4620" w:type="dxa"/>
            <w:vAlign w:val="bottom"/>
            <w:tcBorders>
              <w:bottom w:val="single" w:sz="8" w:color="231F20"/>
              <w:right w:val="single" w:sz="8" w:color="231F20"/>
            </w:tcBorders>
          </w:tcPr>
          <w:p>
            <w:pPr>
              <w:jc w:val="right"/>
              <w:spacing w:after="0" w:line="165" w:lineRule="exact"/>
              <w:rPr>
                <w:sz w:val="20"/>
                <w:szCs w:val="20"/>
                <w:color w:val="auto"/>
              </w:rPr>
            </w:pPr>
            <w:r>
              <w:rPr>
                <w:rFonts w:ascii="Arial" w:cs="Arial" w:eastAsia="Arial" w:hAnsi="Arial"/>
                <w:sz w:val="14"/>
                <w:szCs w:val="14"/>
                <w:i w:val="1"/>
                <w:iCs w:val="1"/>
                <w:color w:val="231F20"/>
              </w:rPr>
              <w:t>(In millions)</w:t>
            </w:r>
            <w:r>
              <w:rPr>
                <w:rFonts w:ascii="Times New Roman" w:cs="Times New Roman" w:eastAsia="Times New Roman" w:hAnsi="Times New Roman"/>
                <w:sz w:val="19"/>
                <w:szCs w:val="19"/>
                <w:color w:val="231F20"/>
              </w:rPr>
              <w:t>............................................................................</w:t>
            </w:r>
          </w:p>
        </w:tc>
        <w:tc>
          <w:tcPr>
            <w:tcW w:w="380" w:type="dxa"/>
            <w:vAlign w:val="bottom"/>
            <w:tcBorders>
              <w:bottom w:val="single" w:sz="8" w:color="231F20"/>
            </w:tcBorders>
          </w:tcPr>
          <w:p>
            <w:pPr>
              <w:spacing w:after="0"/>
              <w:rPr>
                <w:sz w:val="14"/>
                <w:szCs w:val="14"/>
                <w:color w:val="auto"/>
              </w:rPr>
            </w:pPr>
          </w:p>
        </w:tc>
        <w:tc>
          <w:tcPr>
            <w:tcW w:w="860" w:type="dxa"/>
            <w:vAlign w:val="bottom"/>
            <w:tcBorders>
              <w:bottom w:val="single" w:sz="8" w:color="231F20"/>
              <w:right w:val="single" w:sz="8" w:color="231F20"/>
            </w:tcBorders>
          </w:tcPr>
          <w:p>
            <w:pPr>
              <w:jc w:val="right"/>
              <w:ind w:right="129"/>
              <w:spacing w:after="0" w:line="165" w:lineRule="exact"/>
              <w:rPr>
                <w:sz w:val="20"/>
                <w:szCs w:val="20"/>
                <w:color w:val="auto"/>
              </w:rPr>
            </w:pPr>
            <w:r>
              <w:rPr>
                <w:rFonts w:ascii="Arial" w:cs="Arial" w:eastAsia="Arial" w:hAnsi="Arial"/>
                <w:sz w:val="15"/>
                <w:szCs w:val="15"/>
                <w:i w:val="1"/>
                <w:iCs w:val="1"/>
                <w:color w:val="231F20"/>
              </w:rPr>
              <w:t>2023</w:t>
            </w:r>
          </w:p>
        </w:tc>
        <w:tc>
          <w:tcPr>
            <w:tcW w:w="52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right w:val="single" w:sz="8" w:color="231F20"/>
            </w:tcBorders>
          </w:tcPr>
          <w:p>
            <w:pPr>
              <w:jc w:val="right"/>
              <w:ind w:right="125"/>
              <w:spacing w:after="0" w:line="165" w:lineRule="exact"/>
              <w:rPr>
                <w:sz w:val="20"/>
                <w:szCs w:val="20"/>
                <w:color w:val="auto"/>
              </w:rPr>
            </w:pPr>
            <w:r>
              <w:rPr>
                <w:rFonts w:ascii="Arial" w:cs="Arial" w:eastAsia="Arial" w:hAnsi="Arial"/>
                <w:sz w:val="15"/>
                <w:szCs w:val="15"/>
                <w:color w:val="231F20"/>
              </w:rPr>
              <w:t>2022</w:t>
            </w:r>
          </w:p>
        </w:tc>
        <w:tc>
          <w:tcPr>
            <w:tcW w:w="300" w:type="dxa"/>
            <w:vAlign w:val="bottom"/>
            <w:tcBorders>
              <w:bottom w:val="single" w:sz="8" w:color="231F20"/>
            </w:tcBorders>
          </w:tcPr>
          <w:p>
            <w:pPr>
              <w:spacing w:after="0"/>
              <w:rPr>
                <w:sz w:val="14"/>
                <w:szCs w:val="14"/>
                <w:color w:val="auto"/>
              </w:rPr>
            </w:pPr>
          </w:p>
        </w:tc>
        <w:tc>
          <w:tcPr>
            <w:tcW w:w="940" w:type="dxa"/>
            <w:vAlign w:val="bottom"/>
            <w:tcBorders>
              <w:bottom w:val="single" w:sz="8" w:color="231F20"/>
              <w:right w:val="single" w:sz="8" w:color="231F20"/>
            </w:tcBorders>
          </w:tcPr>
          <w:p>
            <w:pPr>
              <w:jc w:val="right"/>
              <w:ind w:right="129"/>
              <w:spacing w:after="0" w:line="165" w:lineRule="exact"/>
              <w:rPr>
                <w:sz w:val="20"/>
                <w:szCs w:val="20"/>
                <w:color w:val="auto"/>
              </w:rPr>
            </w:pPr>
            <w:r>
              <w:rPr>
                <w:rFonts w:ascii="Arial" w:cs="Arial" w:eastAsia="Arial" w:hAnsi="Arial"/>
                <w:sz w:val="15"/>
                <w:szCs w:val="15"/>
                <w:i w:val="1"/>
                <w:iCs w:val="1"/>
                <w:color w:val="231F20"/>
              </w:rPr>
              <w:t>2023</w:t>
            </w:r>
          </w:p>
        </w:tc>
        <w:tc>
          <w:tcPr>
            <w:tcW w:w="420" w:type="dxa"/>
            <w:vAlign w:val="bottom"/>
            <w:tcBorders>
              <w:bottom w:val="single" w:sz="8" w:color="231F20"/>
            </w:tcBorders>
          </w:tcPr>
          <w:p>
            <w:pPr>
              <w:spacing w:after="0"/>
              <w:rPr>
                <w:sz w:val="14"/>
                <w:szCs w:val="14"/>
                <w:color w:val="auto"/>
              </w:rPr>
            </w:pPr>
          </w:p>
        </w:tc>
        <w:tc>
          <w:tcPr>
            <w:tcW w:w="680" w:type="dxa"/>
            <w:vAlign w:val="bottom"/>
            <w:tcBorders>
              <w:bottom w:val="single" w:sz="8" w:color="231F20"/>
            </w:tcBorders>
          </w:tcPr>
          <w:p>
            <w:pPr>
              <w:jc w:val="right"/>
              <w:ind w:right="5"/>
              <w:spacing w:after="0" w:line="165" w:lineRule="exact"/>
              <w:rPr>
                <w:sz w:val="20"/>
                <w:szCs w:val="20"/>
                <w:color w:val="auto"/>
              </w:rPr>
            </w:pPr>
            <w:r>
              <w:rPr>
                <w:rFonts w:ascii="Arial" w:cs="Arial" w:eastAsia="Arial" w:hAnsi="Arial"/>
                <w:sz w:val="15"/>
                <w:szCs w:val="15"/>
                <w:color w:val="231F20"/>
              </w:rPr>
              <w:t>2022</w:t>
            </w:r>
          </w:p>
        </w:tc>
      </w:tr>
      <w:tr>
        <w:trPr>
          <w:trHeight w:val="202"/>
        </w:trPr>
        <w:tc>
          <w:tcPr>
            <w:tcW w:w="20" w:type="dxa"/>
            <w:vAlign w:val="bottom"/>
          </w:tcPr>
          <w:p>
            <w:pPr>
              <w:spacing w:after="0"/>
              <w:rPr>
                <w:sz w:val="17"/>
                <w:szCs w:val="17"/>
                <w:color w:val="auto"/>
              </w:rPr>
            </w:pPr>
          </w:p>
        </w:tc>
        <w:tc>
          <w:tcPr>
            <w:tcW w:w="462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rPr>
              <w:t xml:space="preserve">Current benefit payment liability </w:t>
            </w:r>
            <w:r>
              <w:rPr>
                <w:rFonts w:ascii="Times New Roman" w:cs="Times New Roman" w:eastAsia="Times New Roman" w:hAnsi="Times New Roman"/>
                <w:sz w:val="20"/>
                <w:szCs w:val="20"/>
                <w:color w:val="231F20"/>
              </w:rPr>
              <w:t>................................</w:t>
            </w:r>
          </w:p>
        </w:tc>
        <w:tc>
          <w:tcPr>
            <w:tcW w:w="380" w:type="dxa"/>
            <w:vAlign w:val="bottom"/>
          </w:tcPr>
          <w:p>
            <w:pPr>
              <w:jc w:val="right"/>
              <w:ind w:right="79"/>
              <w:spacing w:after="0" w:line="203" w:lineRule="exact"/>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69"/>
              <w:spacing w:after="0" w:line="203" w:lineRule="exact"/>
              <w:rPr>
                <w:sz w:val="20"/>
                <w:szCs w:val="20"/>
                <w:color w:val="auto"/>
              </w:rPr>
            </w:pPr>
            <w:r>
              <w:rPr>
                <w:rFonts w:ascii="Arial" w:cs="Arial" w:eastAsia="Arial" w:hAnsi="Arial"/>
                <w:sz w:val="20"/>
                <w:szCs w:val="20"/>
                <w:color w:val="231F20"/>
              </w:rPr>
              <w:t>(1.3)</w:t>
            </w:r>
          </w:p>
        </w:tc>
        <w:tc>
          <w:tcPr>
            <w:tcW w:w="520" w:type="dxa"/>
            <w:vAlign w:val="bottom"/>
          </w:tcPr>
          <w:p>
            <w:pPr>
              <w:jc w:val="right"/>
              <w:ind w:right="219"/>
              <w:spacing w:after="0" w:line="203" w:lineRule="exact"/>
              <w:rPr>
                <w:sz w:val="20"/>
                <w:szCs w:val="20"/>
                <w:color w:val="auto"/>
              </w:rPr>
            </w:pPr>
            <w:r>
              <w:rPr>
                <w:rFonts w:ascii="Arial" w:cs="Arial" w:eastAsia="Arial" w:hAnsi="Arial"/>
                <w:sz w:val="20"/>
                <w:szCs w:val="20"/>
                <w:color w:val="231F20"/>
              </w:rPr>
              <w:t>$</w:t>
            </w:r>
          </w:p>
        </w:tc>
        <w:tc>
          <w:tcPr>
            <w:tcW w:w="700" w:type="dxa"/>
            <w:vAlign w:val="bottom"/>
            <w:tcBorders>
              <w:right w:val="single" w:sz="8" w:color="231F20"/>
            </w:tcBorders>
          </w:tcPr>
          <w:p>
            <w:pPr>
              <w:jc w:val="right"/>
              <w:ind w:right="45"/>
              <w:spacing w:after="0" w:line="203" w:lineRule="exact"/>
              <w:rPr>
                <w:sz w:val="20"/>
                <w:szCs w:val="20"/>
                <w:color w:val="auto"/>
              </w:rPr>
            </w:pPr>
            <w:r>
              <w:rPr>
                <w:rFonts w:ascii="Arial" w:cs="Arial" w:eastAsia="Arial" w:hAnsi="Arial"/>
                <w:sz w:val="20"/>
                <w:szCs w:val="20"/>
                <w:color w:val="231F20"/>
              </w:rPr>
              <w:t>(1.5)</w:t>
            </w:r>
          </w:p>
        </w:tc>
        <w:tc>
          <w:tcPr>
            <w:tcW w:w="30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940" w:type="dxa"/>
            <w:vAlign w:val="bottom"/>
            <w:tcBorders>
              <w:right w:val="single" w:sz="8" w:color="231F20"/>
            </w:tcBorders>
          </w:tcPr>
          <w:p>
            <w:pPr>
              <w:jc w:val="right"/>
              <w:ind w:right="69"/>
              <w:spacing w:after="0" w:line="203" w:lineRule="exact"/>
              <w:rPr>
                <w:sz w:val="20"/>
                <w:szCs w:val="20"/>
                <w:color w:val="auto"/>
              </w:rPr>
            </w:pPr>
            <w:r>
              <w:rPr>
                <w:rFonts w:ascii="Arial" w:cs="Arial" w:eastAsia="Arial" w:hAnsi="Arial"/>
                <w:sz w:val="20"/>
                <w:szCs w:val="20"/>
                <w:color w:val="231F20"/>
              </w:rPr>
              <w:t>(1.1)</w:t>
            </w:r>
          </w:p>
        </w:tc>
        <w:tc>
          <w:tcPr>
            <w:tcW w:w="420" w:type="dxa"/>
            <w:vAlign w:val="bottom"/>
          </w:tcPr>
          <w:p>
            <w:pPr>
              <w:jc w:val="right"/>
              <w:ind w:right="119"/>
              <w:spacing w:after="0" w:line="203" w:lineRule="exact"/>
              <w:rPr>
                <w:sz w:val="20"/>
                <w:szCs w:val="20"/>
                <w:color w:val="auto"/>
              </w:rPr>
            </w:pPr>
            <w:r>
              <w:rPr>
                <w:rFonts w:ascii="Arial" w:cs="Arial" w:eastAsia="Arial" w:hAnsi="Arial"/>
                <w:sz w:val="20"/>
                <w:szCs w:val="20"/>
                <w:color w:val="231F20"/>
              </w:rPr>
              <w:t>$</w:t>
            </w:r>
          </w:p>
        </w:tc>
        <w:tc>
          <w:tcPr>
            <w:tcW w:w="680" w:type="dxa"/>
            <w:vAlign w:val="bottom"/>
          </w:tcPr>
          <w:p>
            <w:pPr>
              <w:jc w:val="right"/>
              <w:spacing w:after="0" w:line="203" w:lineRule="exact"/>
              <w:rPr>
                <w:sz w:val="20"/>
                <w:szCs w:val="20"/>
                <w:color w:val="auto"/>
              </w:rPr>
            </w:pPr>
            <w:r>
              <w:rPr>
                <w:rFonts w:ascii="Arial" w:cs="Arial" w:eastAsia="Arial" w:hAnsi="Arial"/>
                <w:sz w:val="20"/>
                <w:szCs w:val="20"/>
                <w:color w:val="231F20"/>
              </w:rPr>
              <w:t>(1.2)</w:t>
            </w:r>
          </w:p>
        </w:tc>
      </w:tr>
      <w:tr>
        <w:trPr>
          <w:trHeight w:val="253"/>
        </w:trPr>
        <w:tc>
          <w:tcPr>
            <w:tcW w:w="20" w:type="dxa"/>
            <w:vAlign w:val="bottom"/>
          </w:tcPr>
          <w:p>
            <w:pPr>
              <w:spacing w:after="0"/>
              <w:rPr>
                <w:sz w:val="22"/>
                <w:szCs w:val="22"/>
                <w:color w:val="auto"/>
              </w:rPr>
            </w:pPr>
          </w:p>
        </w:tc>
        <w:tc>
          <w:tcPr>
            <w:tcW w:w="462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 xml:space="preserve">Accrued benefit liability </w:t>
            </w:r>
            <w:r>
              <w:rPr>
                <w:rFonts w:ascii="Times New Roman" w:cs="Times New Roman" w:eastAsia="Times New Roman" w:hAnsi="Times New Roman"/>
                <w:sz w:val="20"/>
                <w:szCs w:val="20"/>
                <w:color w:val="231F20"/>
              </w:rPr>
              <w:t>...............................................</w:t>
            </w:r>
          </w:p>
        </w:tc>
        <w:tc>
          <w:tcPr>
            <w:tcW w:w="38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right"/>
              <w:ind w:right="69"/>
              <w:spacing w:after="0"/>
              <w:rPr>
                <w:sz w:val="20"/>
                <w:szCs w:val="20"/>
                <w:color w:val="auto"/>
              </w:rPr>
            </w:pPr>
            <w:r>
              <w:rPr>
                <w:rFonts w:ascii="Arial" w:cs="Arial" w:eastAsia="Arial" w:hAnsi="Arial"/>
                <w:sz w:val="20"/>
                <w:szCs w:val="20"/>
                <w:color w:val="231F20"/>
              </w:rPr>
              <w:t>(40.4)</w:t>
            </w:r>
          </w:p>
        </w:tc>
        <w:tc>
          <w:tcPr>
            <w:tcW w:w="520" w:type="dxa"/>
            <w:vAlign w:val="bottom"/>
            <w:tcBorders>
              <w:bottom w:val="single" w:sz="8" w:color="231F20"/>
            </w:tcBorders>
          </w:tcPr>
          <w:p>
            <w:pPr>
              <w:spacing w:after="0"/>
              <w:rPr>
                <w:sz w:val="22"/>
                <w:szCs w:val="22"/>
                <w:color w:val="auto"/>
              </w:rPr>
            </w:pPr>
          </w:p>
        </w:tc>
        <w:tc>
          <w:tcPr>
            <w:tcW w:w="700" w:type="dxa"/>
            <w:vAlign w:val="bottom"/>
            <w:tcBorders>
              <w:bottom w:val="single" w:sz="8" w:color="231F20"/>
              <w:right w:val="single" w:sz="8" w:color="231F20"/>
            </w:tcBorders>
          </w:tcPr>
          <w:p>
            <w:pPr>
              <w:jc w:val="right"/>
              <w:ind w:right="45"/>
              <w:spacing w:after="0"/>
              <w:rPr>
                <w:sz w:val="20"/>
                <w:szCs w:val="20"/>
                <w:color w:val="auto"/>
              </w:rPr>
            </w:pPr>
            <w:r>
              <w:rPr>
                <w:rFonts w:ascii="Arial" w:cs="Arial" w:eastAsia="Arial" w:hAnsi="Arial"/>
                <w:sz w:val="20"/>
                <w:szCs w:val="20"/>
                <w:color w:val="231F20"/>
              </w:rPr>
              <w:t>(59.6)</w:t>
            </w:r>
          </w:p>
        </w:tc>
        <w:tc>
          <w:tcPr>
            <w:tcW w:w="3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right w:val="single" w:sz="8" w:color="231F20"/>
            </w:tcBorders>
          </w:tcPr>
          <w:p>
            <w:pPr>
              <w:jc w:val="right"/>
              <w:ind w:right="69"/>
              <w:spacing w:after="0"/>
              <w:rPr>
                <w:sz w:val="20"/>
                <w:szCs w:val="20"/>
                <w:color w:val="auto"/>
              </w:rPr>
            </w:pPr>
            <w:r>
              <w:rPr>
                <w:rFonts w:ascii="Arial" w:cs="Arial" w:eastAsia="Arial" w:hAnsi="Arial"/>
                <w:sz w:val="20"/>
                <w:szCs w:val="20"/>
                <w:color w:val="231F20"/>
              </w:rPr>
              <w:t>(6.9)</w:t>
            </w:r>
          </w:p>
        </w:tc>
        <w:tc>
          <w:tcPr>
            <w:tcW w:w="420" w:type="dxa"/>
            <w:vAlign w:val="bottom"/>
            <w:tcBorders>
              <w:bottom w:val="single" w:sz="8" w:color="231F20"/>
            </w:tcBorders>
          </w:tcPr>
          <w:p>
            <w:pPr>
              <w:spacing w:after="0"/>
              <w:rPr>
                <w:sz w:val="22"/>
                <w:szCs w:val="22"/>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(7.8)</w:t>
            </w:r>
          </w:p>
        </w:tc>
      </w:tr>
      <w:tr>
        <w:trPr>
          <w:trHeight w:val="248"/>
        </w:trPr>
        <w:tc>
          <w:tcPr>
            <w:tcW w:w="20" w:type="dxa"/>
            <w:vAlign w:val="bottom"/>
          </w:tcPr>
          <w:p>
            <w:pPr>
              <w:spacing w:after="0"/>
              <w:rPr>
                <w:sz w:val="21"/>
                <w:szCs w:val="21"/>
                <w:color w:val="auto"/>
              </w:rPr>
            </w:pPr>
          </w:p>
        </w:tc>
        <w:tc>
          <w:tcPr>
            <w:tcW w:w="4620" w:type="dxa"/>
            <w:vAlign w:val="bottom"/>
            <w:tcBorders>
              <w:bottom w:val="single" w:sz="8" w:color="231F20"/>
              <w:right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Net amount recognized </w:t>
            </w:r>
            <w:r>
              <w:rPr>
                <w:rFonts w:ascii="Times New Roman" w:cs="Times New Roman" w:eastAsia="Times New Roman" w:hAnsi="Times New Roman"/>
                <w:sz w:val="20"/>
                <w:szCs w:val="20"/>
                <w:color w:val="231F20"/>
              </w:rPr>
              <w:t>.........................................</w:t>
            </w:r>
          </w:p>
        </w:tc>
        <w:tc>
          <w:tcPr>
            <w:tcW w:w="380" w:type="dxa"/>
            <w:vAlign w:val="bottom"/>
            <w:tcBorders>
              <w:bottom w:val="single" w:sz="8" w:color="231F20"/>
            </w:tcBorders>
          </w:tcPr>
          <w:p>
            <w:pPr>
              <w:jc w:val="right"/>
              <w:ind w:right="79"/>
              <w:spacing w:after="0" w:line="223" w:lineRule="exact"/>
              <w:rPr>
                <w:sz w:val="20"/>
                <w:szCs w:val="20"/>
                <w:color w:val="auto"/>
              </w:rPr>
            </w:pPr>
            <w:r>
              <w:rPr>
                <w:rFonts w:ascii="Arial" w:cs="Arial" w:eastAsia="Arial" w:hAnsi="Arial"/>
                <w:sz w:val="20"/>
                <w:szCs w:val="20"/>
                <w:color w:val="231F20"/>
              </w:rPr>
              <w:t>$</w:t>
            </w:r>
          </w:p>
        </w:tc>
        <w:tc>
          <w:tcPr>
            <w:tcW w:w="860" w:type="dxa"/>
            <w:vAlign w:val="bottom"/>
            <w:tcBorders>
              <w:bottom w:val="single" w:sz="8" w:color="231F20"/>
              <w:right w:val="single" w:sz="8" w:color="231F20"/>
            </w:tcBorders>
          </w:tcPr>
          <w:p>
            <w:pPr>
              <w:jc w:val="right"/>
              <w:ind w:right="69"/>
              <w:spacing w:after="0" w:line="223" w:lineRule="exact"/>
              <w:rPr>
                <w:sz w:val="20"/>
                <w:szCs w:val="20"/>
                <w:color w:val="auto"/>
              </w:rPr>
            </w:pPr>
            <w:r>
              <w:rPr>
                <w:rFonts w:ascii="Arial" w:cs="Arial" w:eastAsia="Arial" w:hAnsi="Arial"/>
                <w:sz w:val="20"/>
                <w:szCs w:val="20"/>
                <w:color w:val="231F20"/>
              </w:rPr>
              <w:t>(41.7)</w:t>
            </w:r>
          </w:p>
        </w:tc>
        <w:tc>
          <w:tcPr>
            <w:tcW w:w="520" w:type="dxa"/>
            <w:vAlign w:val="bottom"/>
            <w:tcBorders>
              <w:bottom w:val="single" w:sz="8" w:color="231F20"/>
            </w:tcBorders>
          </w:tcPr>
          <w:p>
            <w:pPr>
              <w:jc w:val="right"/>
              <w:ind w:right="219"/>
              <w:spacing w:after="0" w:line="223" w:lineRule="exact"/>
              <w:rPr>
                <w:sz w:val="20"/>
                <w:szCs w:val="20"/>
                <w:color w:val="auto"/>
              </w:rPr>
            </w:pPr>
            <w:r>
              <w:rPr>
                <w:rFonts w:ascii="Arial" w:cs="Arial" w:eastAsia="Arial" w:hAnsi="Arial"/>
                <w:sz w:val="20"/>
                <w:szCs w:val="20"/>
                <w:color w:val="231F20"/>
              </w:rPr>
              <w:t>$</w:t>
            </w:r>
          </w:p>
        </w:tc>
        <w:tc>
          <w:tcPr>
            <w:tcW w:w="700" w:type="dxa"/>
            <w:vAlign w:val="bottom"/>
            <w:tcBorders>
              <w:bottom w:val="single" w:sz="8" w:color="231F20"/>
              <w:right w:val="single" w:sz="8" w:color="231F20"/>
            </w:tcBorders>
          </w:tcPr>
          <w:p>
            <w:pPr>
              <w:jc w:val="right"/>
              <w:ind w:right="45"/>
              <w:spacing w:after="0" w:line="223" w:lineRule="exact"/>
              <w:rPr>
                <w:sz w:val="20"/>
                <w:szCs w:val="20"/>
                <w:color w:val="auto"/>
              </w:rPr>
            </w:pPr>
            <w:r>
              <w:rPr>
                <w:rFonts w:ascii="Arial" w:cs="Arial" w:eastAsia="Arial" w:hAnsi="Arial"/>
                <w:sz w:val="20"/>
                <w:szCs w:val="20"/>
                <w:color w:val="231F20"/>
              </w:rPr>
              <w:t>(61.1)</w:t>
            </w:r>
          </w:p>
        </w:tc>
        <w:tc>
          <w:tcPr>
            <w:tcW w:w="3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940" w:type="dxa"/>
            <w:vAlign w:val="bottom"/>
            <w:tcBorders>
              <w:bottom w:val="single" w:sz="8" w:color="231F20"/>
              <w:right w:val="single" w:sz="8" w:color="231F20"/>
            </w:tcBorders>
          </w:tcPr>
          <w:p>
            <w:pPr>
              <w:jc w:val="right"/>
              <w:ind w:right="69"/>
              <w:spacing w:after="0" w:line="223" w:lineRule="exact"/>
              <w:rPr>
                <w:sz w:val="20"/>
                <w:szCs w:val="20"/>
                <w:color w:val="auto"/>
              </w:rPr>
            </w:pPr>
            <w:r>
              <w:rPr>
                <w:rFonts w:ascii="Arial" w:cs="Arial" w:eastAsia="Arial" w:hAnsi="Arial"/>
                <w:sz w:val="20"/>
                <w:szCs w:val="20"/>
                <w:color w:val="231F20"/>
              </w:rPr>
              <w:t>(8.0)</w:t>
            </w:r>
          </w:p>
        </w:tc>
        <w:tc>
          <w:tcPr>
            <w:tcW w:w="420" w:type="dxa"/>
            <w:vAlign w:val="bottom"/>
            <w:tcBorders>
              <w:bottom w:val="single" w:sz="8" w:color="231F20"/>
            </w:tcBorders>
          </w:tcPr>
          <w:p>
            <w:pPr>
              <w:jc w:val="right"/>
              <w:ind w:right="119"/>
              <w:spacing w:after="0" w:line="223" w:lineRule="exact"/>
              <w:rPr>
                <w:sz w:val="20"/>
                <w:szCs w:val="20"/>
                <w:color w:val="auto"/>
              </w:rPr>
            </w:pPr>
            <w:r>
              <w:rPr>
                <w:rFonts w:ascii="Arial" w:cs="Arial" w:eastAsia="Arial" w:hAnsi="Arial"/>
                <w:sz w:val="20"/>
                <w:szCs w:val="20"/>
                <w:color w:val="231F20"/>
              </w:rPr>
              <w:t>$</w:t>
            </w:r>
          </w:p>
        </w:tc>
        <w:tc>
          <w:tcPr>
            <w:tcW w:w="6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(9.0)</w:t>
            </w:r>
          </w:p>
        </w:tc>
      </w:tr>
    </w:tbl>
    <w:p>
      <w:pPr>
        <w:spacing w:after="0" w:line="372"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231F20"/>
        </w:rPr>
        <w:t>As of December 30, 2023, we applied a modified Society of Actuaries MP-2021 mortality tables, resulting in an increase in liabilities by approximately 0.1%.</w:t>
      </w:r>
    </w:p>
    <w:p>
      <w:pPr>
        <w:spacing w:after="0" w:line="37"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color w:val="231F20"/>
        </w:rPr>
        <w:t>The amounts in accumulated other comprehensive loss on the consolidated balance sheets that have not yet been recognized as components of net periodic benefit cost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160" w:type="dxa"/>
            <w:vAlign w:val="bottom"/>
            <w:tcBorders>
              <w:top w:val="single" w:sz="8" w:color="231F20"/>
              <w:bottom w:val="single" w:sz="8" w:color="231F20"/>
            </w:tcBorders>
            <w:gridSpan w:val="3"/>
          </w:tcPr>
          <w:p>
            <w:pPr>
              <w:spacing w:after="0" w:line="184" w:lineRule="exact"/>
              <w:rPr>
                <w:sz w:val="20"/>
                <w:szCs w:val="20"/>
                <w:color w:val="auto"/>
              </w:rPr>
            </w:pPr>
            <w:r>
              <w:rPr>
                <w:rFonts w:ascii="Arial" w:cs="Arial" w:eastAsia="Arial" w:hAnsi="Arial"/>
                <w:sz w:val="14"/>
                <w:szCs w:val="14"/>
                <w:i w:val="1"/>
                <w:iCs w:val="1"/>
                <w:color w:val="231F20"/>
                <w:w w:val="73"/>
              </w:rPr>
              <w:t>(In millions)</w:t>
            </w:r>
            <w:r>
              <w:rPr>
                <w:rFonts w:ascii="Times New Roman" w:cs="Times New Roman" w:eastAsia="Times New Roman" w:hAnsi="Times New Roman"/>
                <w:sz w:val="19"/>
                <w:szCs w:val="19"/>
                <w:color w:val="231F20"/>
                <w:w w:val="73"/>
              </w:rPr>
              <w:t>.......................................................................................................</w:t>
            </w:r>
          </w:p>
        </w:tc>
        <w:tc>
          <w:tcPr>
            <w:tcW w:w="120" w:type="dxa"/>
            <w:vAlign w:val="bottom"/>
            <w:tcBorders>
              <w:top w:val="single" w:sz="8" w:color="231F20"/>
              <w:bottom w:val="single" w:sz="8" w:color="231F20"/>
            </w:tcBorders>
          </w:tcPr>
          <w:p>
            <w:pPr>
              <w:spacing w:after="0"/>
              <w:rPr>
                <w:sz w:val="16"/>
                <w:szCs w:val="16"/>
                <w:color w:val="auto"/>
              </w:rPr>
            </w:pPr>
          </w:p>
        </w:tc>
        <w:tc>
          <w:tcPr>
            <w:tcW w:w="360" w:type="dxa"/>
            <w:vAlign w:val="bottom"/>
            <w:tcBorders>
              <w:top w:val="single" w:sz="8" w:color="231F20"/>
              <w:bottom w:val="single" w:sz="8" w:color="231F20"/>
            </w:tcBorders>
          </w:tcPr>
          <w:p>
            <w:pPr>
              <w:spacing w:after="0"/>
              <w:rPr>
                <w:sz w:val="16"/>
                <w:szCs w:val="16"/>
                <w:color w:val="auto"/>
              </w:rPr>
            </w:pPr>
          </w:p>
        </w:tc>
        <w:tc>
          <w:tcPr>
            <w:tcW w:w="200" w:type="dxa"/>
            <w:vAlign w:val="bottom"/>
            <w:tcBorders>
              <w:top w:val="single" w:sz="8" w:color="231F20"/>
              <w:bottom w:val="single" w:sz="8" w:color="231F20"/>
            </w:tcBorders>
          </w:tcPr>
          <w:p>
            <w:pPr>
              <w:spacing w:after="0"/>
              <w:rPr>
                <w:sz w:val="16"/>
                <w:szCs w:val="16"/>
                <w:color w:val="auto"/>
              </w:rPr>
            </w:pPr>
          </w:p>
        </w:tc>
        <w:tc>
          <w:tcPr>
            <w:tcW w:w="340" w:type="dxa"/>
            <w:vAlign w:val="bottom"/>
            <w:tcBorders>
              <w:top w:val="single" w:sz="8" w:color="231F20"/>
              <w:bottom w:val="single" w:sz="8" w:color="231F20"/>
            </w:tcBorders>
          </w:tcPr>
          <w:p>
            <w:pPr>
              <w:spacing w:after="0"/>
              <w:rPr>
                <w:sz w:val="16"/>
                <w:szCs w:val="16"/>
                <w:color w:val="auto"/>
              </w:rPr>
            </w:pPr>
          </w:p>
        </w:tc>
        <w:tc>
          <w:tcPr>
            <w:tcW w:w="120" w:type="dxa"/>
            <w:vAlign w:val="bottom"/>
            <w:tcBorders>
              <w:top w:val="single" w:sz="8" w:color="231F20"/>
              <w:bottom w:val="single" w:sz="8" w:color="231F20"/>
            </w:tcBorders>
          </w:tcPr>
          <w:p>
            <w:pPr>
              <w:spacing w:after="0"/>
              <w:rPr>
                <w:sz w:val="16"/>
                <w:szCs w:val="16"/>
                <w:color w:val="auto"/>
              </w:rPr>
            </w:pPr>
          </w:p>
        </w:tc>
        <w:tc>
          <w:tcPr>
            <w:tcW w:w="560" w:type="dxa"/>
            <w:vAlign w:val="bottom"/>
            <w:tcBorders>
              <w:top w:val="single" w:sz="8" w:color="231F20"/>
              <w:bottom w:val="single" w:sz="8" w:color="231F20"/>
            </w:tcBorders>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80" w:type="dxa"/>
            <w:vAlign w:val="bottom"/>
            <w:tcBorders>
              <w:top w:val="single" w:sz="8" w:color="231F20"/>
              <w:bottom w:val="single" w:sz="8" w:color="231F20"/>
            </w:tcBorders>
          </w:tcPr>
          <w:p>
            <w:pPr>
              <w:spacing w:after="0"/>
              <w:rPr>
                <w:sz w:val="16"/>
                <w:szCs w:val="16"/>
                <w:color w:val="auto"/>
              </w:rPr>
            </w:pPr>
          </w:p>
        </w:tc>
        <w:tc>
          <w:tcPr>
            <w:tcW w:w="40" w:type="dxa"/>
            <w:vAlign w:val="bottom"/>
            <w:tcBorders>
              <w:top w:val="single" w:sz="8" w:color="231F20"/>
              <w:bottom w:val="single" w:sz="8" w:color="231F20"/>
            </w:tcBorders>
          </w:tcPr>
          <w:p>
            <w:pPr>
              <w:spacing w:after="0"/>
              <w:rPr>
                <w:sz w:val="16"/>
                <w:szCs w:val="16"/>
                <w:color w:val="auto"/>
              </w:rPr>
            </w:pPr>
          </w:p>
        </w:tc>
        <w:tc>
          <w:tcPr>
            <w:tcW w:w="1460" w:type="dxa"/>
            <w:vAlign w:val="bottom"/>
            <w:tcBorders>
              <w:top w:val="single" w:sz="8" w:color="231F20"/>
              <w:bottom w:val="single" w:sz="8" w:color="231F20"/>
              <w:right w:val="single" w:sz="8" w:color="231F20"/>
            </w:tcBorders>
            <w:gridSpan w:val="5"/>
          </w:tcPr>
          <w:p>
            <w:pPr>
              <w:jc w:val="right"/>
              <w:ind w:right="145"/>
              <w:spacing w:after="0"/>
              <w:rPr>
                <w:sz w:val="20"/>
                <w:szCs w:val="20"/>
                <w:color w:val="auto"/>
              </w:rPr>
            </w:pPr>
            <w:r>
              <w:rPr>
                <w:rFonts w:ascii="Arial" w:cs="Arial" w:eastAsia="Arial" w:hAnsi="Arial"/>
                <w:sz w:val="15"/>
                <w:szCs w:val="15"/>
                <w:color w:val="231F20"/>
              </w:rPr>
              <w:t>Pension Benefits</w:t>
            </w:r>
          </w:p>
        </w:tc>
        <w:tc>
          <w:tcPr>
            <w:tcW w:w="60" w:type="dxa"/>
            <w:vAlign w:val="bottom"/>
            <w:tcBorders>
              <w:top w:val="single" w:sz="8" w:color="231F20"/>
              <w:bottom w:val="single" w:sz="8" w:color="231F20"/>
            </w:tcBorders>
          </w:tcPr>
          <w:p>
            <w:pPr>
              <w:spacing w:after="0"/>
              <w:rPr>
                <w:sz w:val="16"/>
                <w:szCs w:val="16"/>
                <w:color w:val="auto"/>
              </w:rPr>
            </w:pPr>
          </w:p>
        </w:tc>
        <w:tc>
          <w:tcPr>
            <w:tcW w:w="120" w:type="dxa"/>
            <w:vAlign w:val="bottom"/>
            <w:tcBorders>
              <w:top w:val="single" w:sz="8" w:color="231F20"/>
              <w:bottom w:val="single" w:sz="8" w:color="231F20"/>
            </w:tcBorders>
          </w:tcPr>
          <w:p>
            <w:pPr>
              <w:spacing w:after="0"/>
              <w:rPr>
                <w:sz w:val="16"/>
                <w:szCs w:val="16"/>
                <w:color w:val="auto"/>
              </w:rPr>
            </w:pPr>
          </w:p>
        </w:tc>
        <w:tc>
          <w:tcPr>
            <w:tcW w:w="1660" w:type="dxa"/>
            <w:vAlign w:val="bottom"/>
            <w:tcBorders>
              <w:top w:val="single" w:sz="8" w:color="231F20"/>
              <w:bottom w:val="single" w:sz="8" w:color="231F20"/>
            </w:tcBorders>
            <w:gridSpan w:val="4"/>
          </w:tcPr>
          <w:p>
            <w:pPr>
              <w:jc w:val="right"/>
              <w:spacing w:after="0"/>
              <w:rPr>
                <w:sz w:val="20"/>
                <w:szCs w:val="20"/>
                <w:color w:val="auto"/>
              </w:rPr>
            </w:pPr>
            <w:r>
              <w:rPr>
                <w:rFonts w:ascii="Arial" w:cs="Arial" w:eastAsia="Arial" w:hAnsi="Arial"/>
                <w:sz w:val="15"/>
                <w:szCs w:val="15"/>
                <w:color w:val="231F20"/>
                <w:w w:val="98"/>
              </w:rPr>
              <w:t>Postretirement Benefits</w:t>
            </w:r>
          </w:p>
        </w:tc>
      </w:tr>
      <w:tr>
        <w:trPr>
          <w:trHeight w:val="202"/>
        </w:trPr>
        <w:tc>
          <w:tcPr>
            <w:tcW w:w="20" w:type="dxa"/>
            <w:vAlign w:val="bottom"/>
          </w:tcPr>
          <w:p>
            <w:pPr>
              <w:spacing w:after="0"/>
              <w:rPr>
                <w:sz w:val="17"/>
                <w:szCs w:val="17"/>
                <w:color w:val="auto"/>
              </w:rPr>
            </w:pPr>
          </w:p>
        </w:tc>
        <w:tc>
          <w:tcPr>
            <w:tcW w:w="6020" w:type="dxa"/>
            <w:vAlign w:val="bottom"/>
            <w:tcBorders>
              <w:right w:val="single" w:sz="8" w:color="231F20"/>
            </w:tcBorders>
            <w:gridSpan w:val="10"/>
          </w:tcPr>
          <w:p>
            <w:pPr>
              <w:ind w:left="280"/>
              <w:spacing w:after="0" w:line="202" w:lineRule="exact"/>
              <w:rPr>
                <w:sz w:val="20"/>
                <w:szCs w:val="20"/>
                <w:color w:val="auto"/>
              </w:rPr>
            </w:pPr>
            <w:r>
              <w:rPr>
                <w:rFonts w:ascii="Arial" w:cs="Arial" w:eastAsia="Arial" w:hAnsi="Arial"/>
                <w:sz w:val="20"/>
                <w:szCs w:val="20"/>
                <w:color w:val="231F20"/>
              </w:rPr>
              <w:t>Net unrecognized actuarial loss (gain) at December 31, 2021</w:t>
            </w:r>
            <w:r>
              <w:rPr>
                <w:rFonts w:ascii="Times New Roman" w:cs="Times New Roman" w:eastAsia="Times New Roman" w:hAnsi="Times New Roman"/>
                <w:sz w:val="20"/>
                <w:szCs w:val="20"/>
                <w:color w:val="231F20"/>
              </w:rPr>
              <w:t>.....</w:t>
            </w:r>
          </w:p>
        </w:tc>
        <w:tc>
          <w:tcPr>
            <w:tcW w:w="80" w:type="dxa"/>
            <w:vAlign w:val="bottom"/>
          </w:tcPr>
          <w:p>
            <w:pPr>
              <w:spacing w:after="0"/>
              <w:rPr>
                <w:sz w:val="17"/>
                <w:szCs w:val="17"/>
                <w:color w:val="auto"/>
              </w:rPr>
            </w:pPr>
          </w:p>
        </w:tc>
        <w:tc>
          <w:tcPr>
            <w:tcW w:w="700" w:type="dxa"/>
            <w:vAlign w:val="bottom"/>
            <w:gridSpan w:val="2"/>
          </w:tcPr>
          <w:p>
            <w:pPr>
              <w:jc w:val="right"/>
              <w:ind w:right="467"/>
              <w:spacing w:after="0" w:line="203" w:lineRule="exact"/>
              <w:rPr>
                <w:sz w:val="20"/>
                <w:szCs w:val="20"/>
                <w:color w:val="auto"/>
              </w:rPr>
            </w:pPr>
            <w:r>
              <w:rPr>
                <w:rFonts w:ascii="Arial" w:cs="Arial" w:eastAsia="Arial" w:hAnsi="Arial"/>
                <w:sz w:val="20"/>
                <w:szCs w:val="20"/>
                <w:color w:val="231F20"/>
              </w:rPr>
              <w:t>$</w:t>
            </w:r>
          </w:p>
        </w:tc>
        <w:tc>
          <w:tcPr>
            <w:tcW w:w="40" w:type="dxa"/>
            <w:vAlign w:val="bottom"/>
          </w:tcPr>
          <w:p>
            <w:pPr>
              <w:spacing w:after="0"/>
              <w:rPr>
                <w:sz w:val="17"/>
                <w:szCs w:val="17"/>
                <w:color w:val="auto"/>
              </w:rPr>
            </w:pPr>
          </w:p>
        </w:tc>
        <w:tc>
          <w:tcPr>
            <w:tcW w:w="760" w:type="dxa"/>
            <w:vAlign w:val="bottom"/>
            <w:tcBorders>
              <w:right w:val="single" w:sz="8" w:color="231F20"/>
            </w:tcBorders>
            <w:gridSpan w:val="3"/>
          </w:tcPr>
          <w:p>
            <w:pPr>
              <w:jc w:val="right"/>
              <w:ind w:right="145"/>
              <w:spacing w:after="0" w:line="203" w:lineRule="exact"/>
              <w:rPr>
                <w:sz w:val="20"/>
                <w:szCs w:val="20"/>
                <w:color w:val="auto"/>
              </w:rPr>
            </w:pPr>
            <w:r>
              <w:rPr>
                <w:rFonts w:ascii="Arial" w:cs="Arial" w:eastAsia="Arial" w:hAnsi="Arial"/>
                <w:sz w:val="20"/>
                <w:szCs w:val="20"/>
                <w:color w:val="231F20"/>
              </w:rPr>
              <w:t>32.4</w:t>
            </w:r>
          </w:p>
        </w:tc>
        <w:tc>
          <w:tcPr>
            <w:tcW w:w="60" w:type="dxa"/>
            <w:vAlign w:val="bottom"/>
          </w:tcPr>
          <w:p>
            <w:pPr>
              <w:spacing w:after="0"/>
              <w:rPr>
                <w:sz w:val="17"/>
                <w:szCs w:val="17"/>
                <w:color w:val="auto"/>
              </w:rPr>
            </w:pPr>
          </w:p>
        </w:tc>
        <w:tc>
          <w:tcPr>
            <w:tcW w:w="380" w:type="dxa"/>
            <w:vAlign w:val="bottom"/>
            <w:gridSpan w:val="2"/>
          </w:tcPr>
          <w:p>
            <w:pPr>
              <w:jc w:val="right"/>
              <w:ind w:right="147"/>
              <w:spacing w:after="0" w:line="203" w:lineRule="exact"/>
              <w:rPr>
                <w:sz w:val="20"/>
                <w:szCs w:val="20"/>
                <w:color w:val="auto"/>
              </w:rPr>
            </w:pPr>
            <w:r>
              <w:rPr>
                <w:rFonts w:ascii="Arial" w:cs="Arial" w:eastAsia="Arial" w:hAnsi="Arial"/>
                <w:sz w:val="20"/>
                <w:szCs w:val="20"/>
                <w:color w:val="231F20"/>
              </w:rPr>
              <w:t>$</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20"/>
                <w:szCs w:val="20"/>
                <w:color w:val="231F20"/>
              </w:rPr>
              <w:t>(0.4)</w:t>
            </w:r>
          </w:p>
        </w:tc>
      </w:tr>
      <w:tr>
        <w:trPr>
          <w:trHeight w:val="233"/>
        </w:trPr>
        <w:tc>
          <w:tcPr>
            <w:tcW w:w="20" w:type="dxa"/>
            <w:vAlign w:val="bottom"/>
          </w:tcPr>
          <w:p>
            <w:pPr>
              <w:spacing w:after="0"/>
              <w:rPr>
                <w:sz w:val="20"/>
                <w:szCs w:val="20"/>
                <w:color w:val="auto"/>
              </w:rPr>
            </w:pPr>
          </w:p>
        </w:tc>
        <w:tc>
          <w:tcPr>
            <w:tcW w:w="4160" w:type="dxa"/>
            <w:vAlign w:val="bottom"/>
            <w:gridSpan w:val="3"/>
          </w:tcPr>
          <w:p>
            <w:pPr>
              <w:ind w:left="560"/>
              <w:spacing w:after="0"/>
              <w:rPr>
                <w:sz w:val="20"/>
                <w:szCs w:val="20"/>
                <w:color w:val="auto"/>
              </w:rPr>
            </w:pPr>
            <w:r>
              <w:rPr>
                <w:rFonts w:ascii="Arial" w:cs="Arial" w:eastAsia="Arial" w:hAnsi="Arial"/>
                <w:sz w:val="19"/>
                <w:szCs w:val="19"/>
                <w:color w:val="231F20"/>
                <w:w w:val="70"/>
              </w:rPr>
              <w:t xml:space="preserve">Recognition of actuarial gain </w:t>
            </w:r>
            <w:r>
              <w:rPr>
                <w:rFonts w:ascii="Times New Roman" w:cs="Times New Roman" w:eastAsia="Times New Roman" w:hAnsi="Times New Roman"/>
                <w:sz w:val="19"/>
                <w:szCs w:val="19"/>
                <w:color w:val="231F20"/>
                <w:w w:val="70"/>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231F20"/>
            </w:tcBorders>
          </w:tcPr>
          <w:p>
            <w:pPr>
              <w:jc w:val="right"/>
              <w:ind w:right="145"/>
              <w:spacing w:after="0"/>
              <w:rPr>
                <w:sz w:val="20"/>
                <w:szCs w:val="20"/>
                <w:color w:val="auto"/>
              </w:rPr>
            </w:pPr>
            <w:r>
              <w:rPr>
                <w:rFonts w:ascii="Arial" w:cs="Arial" w:eastAsia="Arial" w:hAnsi="Arial"/>
                <w:sz w:val="20"/>
                <w:szCs w:val="20"/>
                <w:color w:val="231F20"/>
              </w:rPr>
              <w:t>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231F20"/>
              </w:rPr>
              <w:t>1.0</w:t>
            </w:r>
          </w:p>
        </w:tc>
      </w:tr>
      <w:tr>
        <w:trPr>
          <w:trHeight w:val="253"/>
        </w:trPr>
        <w:tc>
          <w:tcPr>
            <w:tcW w:w="20" w:type="dxa"/>
            <w:vAlign w:val="bottom"/>
          </w:tcPr>
          <w:p>
            <w:pPr>
              <w:spacing w:after="0"/>
              <w:rPr>
                <w:sz w:val="22"/>
                <w:szCs w:val="22"/>
                <w:color w:val="auto"/>
              </w:rPr>
            </w:pPr>
          </w:p>
        </w:tc>
        <w:tc>
          <w:tcPr>
            <w:tcW w:w="4160" w:type="dxa"/>
            <w:vAlign w:val="bottom"/>
            <w:gridSpan w:val="3"/>
          </w:tcPr>
          <w:p>
            <w:pPr>
              <w:ind w:left="560"/>
              <w:spacing w:after="0"/>
              <w:rPr>
                <w:sz w:val="20"/>
                <w:szCs w:val="20"/>
                <w:color w:val="auto"/>
              </w:rPr>
            </w:pPr>
            <w:r>
              <w:rPr>
                <w:rFonts w:ascii="Arial" w:cs="Arial" w:eastAsia="Arial" w:hAnsi="Arial"/>
                <w:sz w:val="19"/>
                <w:szCs w:val="19"/>
                <w:color w:val="231F20"/>
                <w:w w:val="70"/>
              </w:rPr>
              <w:t>Current year actuarial loss (gain)</w:t>
            </w:r>
            <w:r>
              <w:rPr>
                <w:rFonts w:ascii="Times New Roman" w:cs="Times New Roman" w:eastAsia="Times New Roman" w:hAnsi="Times New Roman"/>
                <w:sz w:val="19"/>
                <w:szCs w:val="19"/>
                <w:color w:val="231F20"/>
                <w:w w:val="70"/>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Borders>
              <w:right w:val="single" w:sz="8" w:color="231F20"/>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Borders>
              <w:bottom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right w:val="single" w:sz="8" w:color="231F20"/>
            </w:tcBorders>
            <w:gridSpan w:val="3"/>
          </w:tcPr>
          <w:p>
            <w:pPr>
              <w:jc w:val="right"/>
              <w:ind w:right="145"/>
              <w:spacing w:after="0"/>
              <w:rPr>
                <w:sz w:val="20"/>
                <w:szCs w:val="20"/>
                <w:color w:val="auto"/>
              </w:rPr>
            </w:pPr>
            <w:r>
              <w:rPr>
                <w:rFonts w:ascii="Arial" w:cs="Arial" w:eastAsia="Arial" w:hAnsi="Arial"/>
                <w:sz w:val="20"/>
                <w:szCs w:val="20"/>
                <w:color w:val="231F20"/>
              </w:rPr>
              <w:t>17.0</w:t>
            </w:r>
          </w:p>
        </w:tc>
        <w:tc>
          <w:tcPr>
            <w:tcW w:w="6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(1.1)</w:t>
            </w:r>
          </w:p>
        </w:tc>
      </w:tr>
      <w:tr>
        <w:trPr>
          <w:trHeight w:val="202"/>
        </w:trPr>
        <w:tc>
          <w:tcPr>
            <w:tcW w:w="20" w:type="dxa"/>
            <w:vAlign w:val="bottom"/>
          </w:tcPr>
          <w:p>
            <w:pPr>
              <w:spacing w:after="0"/>
              <w:rPr>
                <w:sz w:val="17"/>
                <w:szCs w:val="17"/>
                <w:color w:val="auto"/>
              </w:rPr>
            </w:pPr>
          </w:p>
        </w:tc>
        <w:tc>
          <w:tcPr>
            <w:tcW w:w="6020" w:type="dxa"/>
            <w:vAlign w:val="bottom"/>
            <w:tcBorders>
              <w:right w:val="single" w:sz="8" w:color="231F20"/>
            </w:tcBorders>
            <w:gridSpan w:val="10"/>
          </w:tcPr>
          <w:p>
            <w:pPr>
              <w:ind w:left="280"/>
              <w:spacing w:after="0" w:line="202" w:lineRule="exact"/>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20"/>
                <w:szCs w:val="20"/>
                <w:color w:val="231F20"/>
              </w:rPr>
              <w:t>Netunrecognizedactuarialloss(gain)atDecember31,2022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jc w:val="right"/>
              <w:ind w:right="467"/>
              <w:spacing w:after="0" w:line="203" w:lineRule="exact"/>
              <w:rPr>
                <w:sz w:val="20"/>
                <w:szCs w:val="20"/>
                <w:color w:val="auto"/>
              </w:rPr>
            </w:pPr>
            <w:r>
              <w:rPr>
                <w:rFonts w:ascii="Arial" w:cs="Arial" w:eastAsia="Arial" w:hAnsi="Arial"/>
                <w:sz w:val="20"/>
                <w:szCs w:val="20"/>
                <w:color w:val="231F20"/>
                <w:w w:val="71"/>
              </w:rPr>
              <w:t>$</w:t>
            </w:r>
          </w:p>
        </w:tc>
        <w:tc>
          <w:tcPr>
            <w:tcW w:w="40" w:type="dxa"/>
            <w:vAlign w:val="bottom"/>
          </w:tcPr>
          <w:p>
            <w:pPr>
              <w:spacing w:after="0"/>
              <w:rPr>
                <w:sz w:val="17"/>
                <w:szCs w:val="17"/>
                <w:color w:val="auto"/>
              </w:rPr>
            </w:pPr>
          </w:p>
        </w:tc>
        <w:tc>
          <w:tcPr>
            <w:tcW w:w="760" w:type="dxa"/>
            <w:vAlign w:val="bottom"/>
            <w:tcBorders>
              <w:right w:val="single" w:sz="8" w:color="231F20"/>
            </w:tcBorders>
            <w:gridSpan w:val="3"/>
          </w:tcPr>
          <w:p>
            <w:pPr>
              <w:jc w:val="right"/>
              <w:ind w:right="145"/>
              <w:spacing w:after="0" w:line="203" w:lineRule="exact"/>
              <w:rPr>
                <w:sz w:val="20"/>
                <w:szCs w:val="20"/>
                <w:color w:val="auto"/>
              </w:rPr>
            </w:pPr>
            <w:r>
              <w:rPr>
                <w:rFonts w:ascii="Arial" w:cs="Arial" w:eastAsia="Arial" w:hAnsi="Arial"/>
                <w:sz w:val="20"/>
                <w:szCs w:val="20"/>
                <w:color w:val="231F20"/>
              </w:rPr>
              <w:t>49.7</w:t>
            </w:r>
          </w:p>
        </w:tc>
        <w:tc>
          <w:tcPr>
            <w:tcW w:w="60" w:type="dxa"/>
            <w:vAlign w:val="bottom"/>
          </w:tcPr>
          <w:p>
            <w:pPr>
              <w:spacing w:after="0"/>
              <w:rPr>
                <w:sz w:val="17"/>
                <w:szCs w:val="17"/>
                <w:color w:val="auto"/>
              </w:rPr>
            </w:pPr>
          </w:p>
        </w:tc>
        <w:tc>
          <w:tcPr>
            <w:tcW w:w="380" w:type="dxa"/>
            <w:vAlign w:val="bottom"/>
            <w:gridSpan w:val="2"/>
          </w:tcPr>
          <w:p>
            <w:pPr>
              <w:jc w:val="right"/>
              <w:ind w:right="147"/>
              <w:spacing w:after="0" w:line="203" w:lineRule="exact"/>
              <w:rPr>
                <w:sz w:val="20"/>
                <w:szCs w:val="20"/>
                <w:color w:val="auto"/>
              </w:rPr>
            </w:pPr>
            <w:r>
              <w:rPr>
                <w:rFonts w:ascii="Arial" w:cs="Arial" w:eastAsia="Arial" w:hAnsi="Arial"/>
                <w:sz w:val="20"/>
                <w:szCs w:val="20"/>
                <w:color w:val="231F20"/>
              </w:rPr>
              <w:t>$</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20"/>
                <w:szCs w:val="20"/>
                <w:color w:val="231F20"/>
              </w:rPr>
              <w:t>(0.5)</w:t>
            </w:r>
          </w:p>
        </w:tc>
      </w:tr>
      <w:tr>
        <w:trPr>
          <w:trHeight w:val="233"/>
        </w:trPr>
        <w:tc>
          <w:tcPr>
            <w:tcW w:w="20" w:type="dxa"/>
            <w:vAlign w:val="bottom"/>
          </w:tcPr>
          <w:p>
            <w:pPr>
              <w:spacing w:after="0"/>
              <w:rPr>
                <w:sz w:val="20"/>
                <w:szCs w:val="20"/>
                <w:color w:val="auto"/>
              </w:rPr>
            </w:pPr>
          </w:p>
        </w:tc>
        <w:tc>
          <w:tcPr>
            <w:tcW w:w="4160" w:type="dxa"/>
            <w:vAlign w:val="bottom"/>
            <w:gridSpan w:val="3"/>
          </w:tcPr>
          <w:p>
            <w:pPr>
              <w:ind w:left="560"/>
              <w:spacing w:after="0"/>
              <w:rPr>
                <w:sz w:val="20"/>
                <w:szCs w:val="20"/>
                <w:color w:val="auto"/>
              </w:rPr>
            </w:pPr>
            <w:r>
              <w:rPr>
                <w:rFonts w:ascii="Arial" w:cs="Arial" w:eastAsia="Arial" w:hAnsi="Arial"/>
                <w:sz w:val="19"/>
                <w:szCs w:val="19"/>
                <w:color w:val="231F20"/>
                <w:w w:val="70"/>
              </w:rPr>
              <w:t xml:space="preserve">Recognition of actuarial gain </w:t>
            </w:r>
            <w:r>
              <w:rPr>
                <w:rFonts w:ascii="Times New Roman" w:cs="Times New Roman" w:eastAsia="Times New Roman" w:hAnsi="Times New Roman"/>
                <w:sz w:val="19"/>
                <w:szCs w:val="19"/>
                <w:color w:val="231F20"/>
                <w:w w:val="70"/>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231F20"/>
            </w:tcBorders>
          </w:tcPr>
          <w:p>
            <w:pPr>
              <w:jc w:val="right"/>
              <w:ind w:right="145"/>
              <w:spacing w:after="0"/>
              <w:rPr>
                <w:sz w:val="20"/>
                <w:szCs w:val="20"/>
                <w:color w:val="auto"/>
              </w:rPr>
            </w:pPr>
            <w:r>
              <w:rPr>
                <w:rFonts w:ascii="Arial" w:cs="Arial" w:eastAsia="Arial" w:hAnsi="Arial"/>
                <w:sz w:val="20"/>
                <w:szCs w:val="20"/>
                <w:color w:val="231F20"/>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231F20"/>
              </w:rPr>
              <w:t>2.6</w:t>
            </w:r>
          </w:p>
        </w:tc>
      </w:tr>
      <w:tr>
        <w:trPr>
          <w:trHeight w:val="233"/>
        </w:trPr>
        <w:tc>
          <w:tcPr>
            <w:tcW w:w="20" w:type="dxa"/>
            <w:vAlign w:val="bottom"/>
          </w:tcPr>
          <w:p>
            <w:pPr>
              <w:spacing w:after="0"/>
              <w:rPr>
                <w:sz w:val="20"/>
                <w:szCs w:val="20"/>
                <w:color w:val="auto"/>
              </w:rPr>
            </w:pPr>
          </w:p>
        </w:tc>
        <w:tc>
          <w:tcPr>
            <w:tcW w:w="4160" w:type="dxa"/>
            <w:vAlign w:val="bottom"/>
            <w:gridSpan w:val="3"/>
          </w:tcPr>
          <w:p>
            <w:pPr>
              <w:ind w:left="560"/>
              <w:spacing w:after="0"/>
              <w:rPr>
                <w:sz w:val="20"/>
                <w:szCs w:val="20"/>
                <w:color w:val="auto"/>
              </w:rPr>
            </w:pPr>
            <w:r>
              <w:rPr>
                <w:rFonts w:ascii="Arial" w:cs="Arial" w:eastAsia="Arial" w:hAnsi="Arial"/>
                <w:sz w:val="18"/>
                <w:szCs w:val="18"/>
                <w:color w:val="231F20"/>
                <w:w w:val="73"/>
              </w:rPr>
              <w:t xml:space="preserve">Current year actuarial (gain) </w:t>
            </w:r>
            <w:r>
              <w:rPr>
                <w:rFonts w:ascii="Times New Roman" w:cs="Times New Roman" w:eastAsia="Times New Roman" w:hAnsi="Times New Roman"/>
                <w:sz w:val="18"/>
                <w:szCs w:val="18"/>
                <w:color w:val="231F20"/>
                <w:w w:val="73"/>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right w:val="single" w:sz="8" w:color="231F20"/>
            </w:tcBorders>
            <w:gridSpan w:val="3"/>
          </w:tcPr>
          <w:p>
            <w:pPr>
              <w:jc w:val="right"/>
              <w:ind w:right="65"/>
              <w:spacing w:after="0"/>
              <w:rPr>
                <w:sz w:val="20"/>
                <w:szCs w:val="20"/>
                <w:color w:val="auto"/>
              </w:rPr>
            </w:pPr>
            <w:r>
              <w:rPr>
                <w:rFonts w:ascii="Arial" w:cs="Arial" w:eastAsia="Arial" w:hAnsi="Arial"/>
                <w:sz w:val="20"/>
                <w:szCs w:val="20"/>
                <w:color w:val="231F20"/>
              </w:rPr>
              <w:t>(12.5)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231F20"/>
              </w:rPr>
              <w:t>(1.5)</w:t>
            </w:r>
          </w:p>
        </w:tc>
      </w:tr>
      <w:tr>
        <w:trPr>
          <w:trHeight w:val="253"/>
        </w:trPr>
        <w:tc>
          <w:tcPr>
            <w:tcW w:w="20" w:type="dxa"/>
            <w:vAlign w:val="bottom"/>
          </w:tcPr>
          <w:p>
            <w:pPr>
              <w:spacing w:after="0"/>
              <w:rPr>
                <w:sz w:val="22"/>
                <w:szCs w:val="22"/>
                <w:color w:val="auto"/>
              </w:rPr>
            </w:pPr>
          </w:p>
        </w:tc>
        <w:tc>
          <w:tcPr>
            <w:tcW w:w="3860" w:type="dxa"/>
            <w:vAlign w:val="bottom"/>
            <w:gridSpan w:val="2"/>
          </w:tcPr>
          <w:p>
            <w:pPr>
              <w:ind w:left="560"/>
              <w:spacing w:after="0"/>
              <w:rPr>
                <w:sz w:val="20"/>
                <w:szCs w:val="20"/>
                <w:color w:val="auto"/>
              </w:rPr>
            </w:pPr>
            <w:r>
              <w:rPr>
                <w:rFonts w:ascii="Arial" w:cs="Arial" w:eastAsia="Arial" w:hAnsi="Arial"/>
                <w:sz w:val="20"/>
                <w:szCs w:val="20"/>
                <w:color w:val="231F20"/>
              </w:rPr>
              <w:t>Net actuarial (loss) due to settlement</w:t>
            </w:r>
          </w:p>
        </w:tc>
        <w:tc>
          <w:tcPr>
            <w:tcW w:w="420" w:type="dxa"/>
            <w:vAlign w:val="bottom"/>
            <w:gridSpan w:val="2"/>
          </w:tcPr>
          <w:p>
            <w:pPr>
              <w:spacing w:after="0"/>
              <w:rPr>
                <w:sz w:val="20"/>
                <w:szCs w:val="20"/>
                <w:color w:val="auto"/>
              </w:rPr>
            </w:pPr>
            <w:r>
              <w:rPr>
                <w:rFonts w:ascii="Times New Roman" w:cs="Times New Roman" w:eastAsia="Times New Roman" w:hAnsi="Times New Roman"/>
                <w:sz w:val="5"/>
                <w:szCs w:val="5"/>
                <w:color w:val="231F20"/>
                <w:w w:val="72"/>
              </w:rPr>
              <w:t>..........................................</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Borders>
              <w:right w:val="single" w:sz="8" w:color="231F20"/>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600" w:type="dxa"/>
            <w:vAlign w:val="bottom"/>
            <w:tcBorders>
              <w:bottom w:val="single" w:sz="8" w:color="231F20"/>
              <w:right w:val="single" w:sz="8" w:color="231F20"/>
            </w:tcBorders>
          </w:tcPr>
          <w:p>
            <w:pPr>
              <w:jc w:val="right"/>
              <w:ind w:right="65"/>
              <w:spacing w:after="0"/>
              <w:rPr>
                <w:sz w:val="20"/>
                <w:szCs w:val="20"/>
                <w:color w:val="auto"/>
              </w:rPr>
            </w:pPr>
            <w:r>
              <w:rPr>
                <w:rFonts w:ascii="Arial" w:cs="Arial" w:eastAsia="Arial" w:hAnsi="Arial"/>
                <w:sz w:val="20"/>
                <w:szCs w:val="20"/>
                <w:color w:val="231F20"/>
              </w:rPr>
              <w:t>(2.0)</w:t>
            </w:r>
          </w:p>
        </w:tc>
        <w:tc>
          <w:tcPr>
            <w:tcW w:w="6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r>
      <w:tr>
        <w:trPr>
          <w:trHeight w:val="248"/>
        </w:trPr>
        <w:tc>
          <w:tcPr>
            <w:tcW w:w="20" w:type="dxa"/>
            <w:vAlign w:val="bottom"/>
          </w:tcPr>
          <w:p>
            <w:pPr>
              <w:spacing w:after="0"/>
              <w:rPr>
                <w:sz w:val="21"/>
                <w:szCs w:val="21"/>
                <w:color w:val="auto"/>
              </w:rPr>
            </w:pPr>
          </w:p>
        </w:tc>
        <w:tc>
          <w:tcPr>
            <w:tcW w:w="5180" w:type="dxa"/>
            <w:vAlign w:val="bottom"/>
            <w:tcBorders>
              <w:bottom w:val="single" w:sz="8" w:color="231F20"/>
            </w:tcBorders>
            <w:gridSpan w:val="7"/>
          </w:tcPr>
          <w:p>
            <w:pPr>
              <w:ind w:left="280"/>
              <w:spacing w:after="0" w:line="223" w:lineRule="exact"/>
              <w:rPr>
                <w:sz w:val="20"/>
                <w:szCs w:val="20"/>
                <w:color w:val="auto"/>
              </w:rPr>
            </w:pPr>
            <w:r>
              <w:rPr>
                <w:rFonts w:ascii="Arial" w:cs="Arial" w:eastAsia="Arial" w:hAnsi="Arial"/>
                <w:sz w:val="20"/>
                <w:szCs w:val="20"/>
                <w:color w:val="231F20"/>
              </w:rPr>
              <w:t>Net unrecognized actuarial loss at December 30, 2023</w:t>
            </w: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
                <w:szCs w:val="2"/>
                <w:color w:val="231F20"/>
                <w:w w:val="99"/>
              </w:rPr>
              <w:t>................</w:t>
            </w:r>
          </w:p>
        </w:tc>
        <w:tc>
          <w:tcPr>
            <w:tcW w:w="5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right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gridSpan w:val="2"/>
          </w:tcPr>
          <w:p>
            <w:pPr>
              <w:jc w:val="right"/>
              <w:ind w:right="467"/>
              <w:spacing w:after="0" w:line="223" w:lineRule="exact"/>
              <w:rPr>
                <w:sz w:val="20"/>
                <w:szCs w:val="20"/>
                <w:color w:val="auto"/>
              </w:rPr>
            </w:pPr>
            <w:r>
              <w:rPr>
                <w:rFonts w:ascii="Arial" w:cs="Arial" w:eastAsia="Arial" w:hAnsi="Arial"/>
                <w:sz w:val="20"/>
                <w:szCs w:val="20"/>
                <w:color w:val="231F20"/>
              </w:rPr>
              <w:t>$</w:t>
            </w:r>
          </w:p>
        </w:tc>
        <w:tc>
          <w:tcPr>
            <w:tcW w:w="4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right w:val="single" w:sz="8" w:color="231F20"/>
            </w:tcBorders>
            <w:gridSpan w:val="3"/>
          </w:tcPr>
          <w:p>
            <w:pPr>
              <w:jc w:val="right"/>
              <w:ind w:right="145"/>
              <w:spacing w:after="0" w:line="223" w:lineRule="exact"/>
              <w:rPr>
                <w:sz w:val="20"/>
                <w:szCs w:val="20"/>
                <w:color w:val="auto"/>
              </w:rPr>
            </w:pPr>
            <w:r>
              <w:rPr>
                <w:rFonts w:ascii="Arial" w:cs="Arial" w:eastAsia="Arial" w:hAnsi="Arial"/>
                <w:sz w:val="20"/>
                <w:szCs w:val="20"/>
                <w:color w:val="231F20"/>
              </w:rPr>
              <w:t>35.2</w:t>
            </w:r>
          </w:p>
        </w:tc>
        <w:tc>
          <w:tcPr>
            <w:tcW w:w="60" w:type="dxa"/>
            <w:vAlign w:val="bottom"/>
            <w:tcBorders>
              <w:bottom w:val="single" w:sz="8" w:color="231F20"/>
            </w:tcBorders>
          </w:tcPr>
          <w:p>
            <w:pPr>
              <w:spacing w:after="0"/>
              <w:rPr>
                <w:sz w:val="21"/>
                <w:szCs w:val="21"/>
                <w:color w:val="auto"/>
              </w:rPr>
            </w:pPr>
          </w:p>
        </w:tc>
        <w:tc>
          <w:tcPr>
            <w:tcW w:w="380" w:type="dxa"/>
            <w:vAlign w:val="bottom"/>
            <w:tcBorders>
              <w:bottom w:val="single" w:sz="8" w:color="231F20"/>
            </w:tcBorders>
            <w:gridSpan w:val="2"/>
          </w:tcPr>
          <w:p>
            <w:pPr>
              <w:jc w:val="right"/>
              <w:ind w:right="147"/>
              <w:spacing w:after="0" w:line="223" w:lineRule="exact"/>
              <w:rPr>
                <w:sz w:val="20"/>
                <w:szCs w:val="20"/>
                <w:color w:val="auto"/>
              </w:rPr>
            </w:pPr>
            <w:r>
              <w:rPr>
                <w:rFonts w:ascii="Arial" w:cs="Arial" w:eastAsia="Arial" w:hAnsi="Arial"/>
                <w:sz w:val="20"/>
                <w:szCs w:val="20"/>
                <w:color w:val="231F20"/>
              </w:rPr>
              <w:t>$</w:t>
            </w:r>
          </w:p>
        </w:tc>
        <w:tc>
          <w:tcPr>
            <w:tcW w:w="64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5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0.6</w:t>
            </w:r>
          </w:p>
        </w:tc>
      </w:tr>
      <w:tr>
        <w:trPr>
          <w:trHeight w:val="436"/>
        </w:trPr>
        <w:tc>
          <w:tcPr>
            <w:tcW w:w="5200" w:type="dxa"/>
            <w:vAlign w:val="bottom"/>
            <w:gridSpan w:val="8"/>
          </w:tcPr>
          <w:p>
            <w:pPr>
              <w:spacing w:after="0"/>
              <w:rPr>
                <w:sz w:val="20"/>
                <w:szCs w:val="20"/>
                <w:color w:val="auto"/>
              </w:rPr>
            </w:pPr>
            <w:r>
              <w:rPr>
                <w:rFonts w:ascii="Arial" w:cs="Arial" w:eastAsia="Arial" w:hAnsi="Arial"/>
                <w:sz w:val="20"/>
                <w:szCs w:val="20"/>
                <w:color w:val="231F20"/>
              </w:rPr>
              <w:t>Components of net periodic benefit cost were as follows: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1"/>
        </w:trPr>
        <w:tc>
          <w:tcPr>
            <w:tcW w:w="20" w:type="dxa"/>
            <w:vAlign w:val="bottom"/>
          </w:tcPr>
          <w:p>
            <w:pPr>
              <w:spacing w:after="0"/>
              <w:rPr>
                <w:sz w:val="13"/>
                <w:szCs w:val="13"/>
                <w:color w:val="auto"/>
              </w:rPr>
            </w:pPr>
          </w:p>
        </w:tc>
        <w:tc>
          <w:tcPr>
            <w:tcW w:w="3800" w:type="dxa"/>
            <w:vAlign w:val="bottom"/>
            <w:tcBorders>
              <w:bottom w:val="single" w:sz="8" w:color="231F20"/>
            </w:tcBorders>
          </w:tcPr>
          <w:p>
            <w:pPr>
              <w:spacing w:after="0"/>
              <w:rPr>
                <w:sz w:val="13"/>
                <w:szCs w:val="13"/>
                <w:color w:val="auto"/>
              </w:rPr>
            </w:pPr>
          </w:p>
        </w:tc>
        <w:tc>
          <w:tcPr>
            <w:tcW w:w="60" w:type="dxa"/>
            <w:vAlign w:val="bottom"/>
            <w:tcBorders>
              <w:bottom w:val="single" w:sz="8" w:color="231F20"/>
            </w:tcBorders>
          </w:tcPr>
          <w:p>
            <w:pPr>
              <w:spacing w:after="0"/>
              <w:rPr>
                <w:sz w:val="13"/>
                <w:szCs w:val="13"/>
                <w:color w:val="auto"/>
              </w:rPr>
            </w:pPr>
          </w:p>
        </w:tc>
        <w:tc>
          <w:tcPr>
            <w:tcW w:w="300" w:type="dxa"/>
            <w:vAlign w:val="bottom"/>
            <w:tcBorders>
              <w:bottom w:val="single" w:sz="8" w:color="231F20"/>
            </w:tcBorders>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360" w:type="dxa"/>
            <w:vAlign w:val="bottom"/>
            <w:tcBorders>
              <w:bottom w:val="single" w:sz="8" w:color="231F20"/>
            </w:tcBorders>
          </w:tcPr>
          <w:p>
            <w:pPr>
              <w:spacing w:after="0"/>
              <w:rPr>
                <w:sz w:val="13"/>
                <w:szCs w:val="13"/>
                <w:color w:val="auto"/>
              </w:rPr>
            </w:pPr>
          </w:p>
        </w:tc>
        <w:tc>
          <w:tcPr>
            <w:tcW w:w="660" w:type="dxa"/>
            <w:vAlign w:val="bottom"/>
            <w:tcBorders>
              <w:bottom w:val="single" w:sz="8" w:color="231F20"/>
            </w:tcBorders>
            <w:gridSpan w:val="3"/>
          </w:tcPr>
          <w:p>
            <w:pPr>
              <w:spacing w:after="0"/>
              <w:rPr>
                <w:sz w:val="13"/>
                <w:szCs w:val="13"/>
                <w:color w:val="auto"/>
              </w:rPr>
            </w:pPr>
          </w:p>
        </w:tc>
        <w:tc>
          <w:tcPr>
            <w:tcW w:w="560" w:type="dxa"/>
            <w:vAlign w:val="bottom"/>
            <w:tcBorders>
              <w:bottom w:val="single" w:sz="8" w:color="231F20"/>
            </w:tcBorders>
          </w:tcPr>
          <w:p>
            <w:pPr>
              <w:spacing w:after="0"/>
              <w:rPr>
                <w:sz w:val="13"/>
                <w:szCs w:val="13"/>
                <w:color w:val="auto"/>
              </w:rPr>
            </w:pPr>
          </w:p>
        </w:tc>
        <w:tc>
          <w:tcPr>
            <w:tcW w:w="160" w:type="dxa"/>
            <w:vAlign w:val="bottom"/>
            <w:tcBorders>
              <w:bottom w:val="single" w:sz="8" w:color="231F20"/>
            </w:tcBorders>
          </w:tcPr>
          <w:p>
            <w:pPr>
              <w:spacing w:after="0"/>
              <w:rPr>
                <w:sz w:val="13"/>
                <w:szCs w:val="13"/>
                <w:color w:val="auto"/>
              </w:rPr>
            </w:pPr>
          </w:p>
        </w:tc>
        <w:tc>
          <w:tcPr>
            <w:tcW w:w="80" w:type="dxa"/>
            <w:vAlign w:val="bottom"/>
            <w:tcBorders>
              <w:bottom w:val="single" w:sz="8" w:color="231F20"/>
            </w:tcBorders>
          </w:tcPr>
          <w:p>
            <w:pPr>
              <w:spacing w:after="0"/>
              <w:rPr>
                <w:sz w:val="13"/>
                <w:szCs w:val="13"/>
                <w:color w:val="auto"/>
              </w:rPr>
            </w:pPr>
          </w:p>
        </w:tc>
        <w:tc>
          <w:tcPr>
            <w:tcW w:w="40" w:type="dxa"/>
            <w:vAlign w:val="bottom"/>
            <w:tcBorders>
              <w:bottom w:val="single" w:sz="8" w:color="231F20"/>
            </w:tcBorders>
          </w:tcPr>
          <w:p>
            <w:pPr>
              <w:spacing w:after="0"/>
              <w:rPr>
                <w:sz w:val="13"/>
                <w:szCs w:val="13"/>
                <w:color w:val="auto"/>
              </w:rPr>
            </w:pPr>
          </w:p>
        </w:tc>
        <w:tc>
          <w:tcPr>
            <w:tcW w:w="660" w:type="dxa"/>
            <w:vAlign w:val="bottom"/>
            <w:tcBorders>
              <w:bottom w:val="single" w:sz="8" w:color="231F20"/>
            </w:tcBorders>
          </w:tcPr>
          <w:p>
            <w:pPr>
              <w:spacing w:after="0"/>
              <w:rPr>
                <w:sz w:val="13"/>
                <w:szCs w:val="13"/>
                <w:color w:val="auto"/>
              </w:rPr>
            </w:pPr>
          </w:p>
        </w:tc>
        <w:tc>
          <w:tcPr>
            <w:tcW w:w="40" w:type="dxa"/>
            <w:vAlign w:val="bottom"/>
            <w:tcBorders>
              <w:bottom w:val="single" w:sz="8" w:color="231F20"/>
            </w:tcBorders>
          </w:tcPr>
          <w:p>
            <w:pPr>
              <w:spacing w:after="0"/>
              <w:rPr>
                <w:sz w:val="13"/>
                <w:szCs w:val="13"/>
                <w:color w:val="auto"/>
              </w:rPr>
            </w:pPr>
          </w:p>
        </w:tc>
        <w:tc>
          <w:tcPr>
            <w:tcW w:w="120" w:type="dxa"/>
            <w:vAlign w:val="bottom"/>
            <w:tcBorders>
              <w:bottom w:val="single" w:sz="8" w:color="231F20"/>
            </w:tcBorders>
          </w:tcPr>
          <w:p>
            <w:pPr>
              <w:spacing w:after="0"/>
              <w:rPr>
                <w:sz w:val="13"/>
                <w:szCs w:val="13"/>
                <w:color w:val="auto"/>
              </w:rPr>
            </w:pPr>
          </w:p>
        </w:tc>
        <w:tc>
          <w:tcPr>
            <w:tcW w:w="40" w:type="dxa"/>
            <w:vAlign w:val="bottom"/>
            <w:tcBorders>
              <w:bottom w:val="single" w:sz="8" w:color="231F20"/>
            </w:tcBorders>
          </w:tcPr>
          <w:p>
            <w:pPr>
              <w:spacing w:after="0"/>
              <w:rPr>
                <w:sz w:val="13"/>
                <w:szCs w:val="13"/>
                <w:color w:val="auto"/>
              </w:rPr>
            </w:pPr>
          </w:p>
        </w:tc>
        <w:tc>
          <w:tcPr>
            <w:tcW w:w="780" w:type="dxa"/>
            <w:vAlign w:val="bottom"/>
            <w:tcBorders>
              <w:bottom w:val="single" w:sz="8" w:color="231F20"/>
            </w:tcBorders>
            <w:gridSpan w:val="3"/>
          </w:tcPr>
          <w:p>
            <w:pPr>
              <w:spacing w:after="0"/>
              <w:rPr>
                <w:sz w:val="13"/>
                <w:szCs w:val="13"/>
                <w:color w:val="auto"/>
              </w:rPr>
            </w:pPr>
          </w:p>
        </w:tc>
        <w:tc>
          <w:tcPr>
            <w:tcW w:w="1140" w:type="dxa"/>
            <w:vAlign w:val="bottom"/>
            <w:tcBorders>
              <w:bottom w:val="single" w:sz="8" w:color="231F20"/>
            </w:tcBorders>
            <w:gridSpan w:val="3"/>
          </w:tcPr>
          <w:p>
            <w:pPr>
              <w:spacing w:after="0"/>
              <w:rPr>
                <w:sz w:val="13"/>
                <w:szCs w:val="13"/>
                <w:color w:val="auto"/>
              </w:rPr>
            </w:pPr>
          </w:p>
        </w:tc>
        <w:tc>
          <w:tcPr>
            <w:tcW w:w="520" w:type="dxa"/>
            <w:vAlign w:val="bottom"/>
            <w:tcBorders>
              <w:bottom w:val="single" w:sz="8" w:color="231F20"/>
            </w:tcBorders>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3800" w:type="dxa"/>
            <w:vAlign w:val="bottom"/>
            <w:tcBorders>
              <w:bottom w:val="single" w:sz="8" w:color="231F20"/>
            </w:tcBorders>
          </w:tcPr>
          <w:p>
            <w:pPr>
              <w:spacing w:after="0"/>
              <w:rPr>
                <w:sz w:val="14"/>
                <w:szCs w:val="14"/>
                <w:color w:val="auto"/>
              </w:rPr>
            </w:pPr>
          </w:p>
        </w:tc>
        <w:tc>
          <w:tcPr>
            <w:tcW w:w="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360" w:type="dxa"/>
            <w:vAlign w:val="bottom"/>
            <w:tcBorders>
              <w:bottom w:val="single" w:sz="8" w:color="231F20"/>
            </w:tcBorders>
          </w:tcPr>
          <w:p>
            <w:pPr>
              <w:spacing w:after="0"/>
              <w:rPr>
                <w:sz w:val="14"/>
                <w:szCs w:val="14"/>
                <w:color w:val="auto"/>
              </w:rPr>
            </w:pPr>
          </w:p>
        </w:tc>
        <w:tc>
          <w:tcPr>
            <w:tcW w:w="1220" w:type="dxa"/>
            <w:vAlign w:val="bottom"/>
            <w:tcBorders>
              <w:bottom w:val="single" w:sz="8" w:color="231F20"/>
            </w:tcBorders>
            <w:gridSpan w:val="4"/>
          </w:tcPr>
          <w:p>
            <w:pPr>
              <w:jc w:val="center"/>
              <w:spacing w:after="0" w:line="165" w:lineRule="exact"/>
              <w:rPr>
                <w:sz w:val="20"/>
                <w:szCs w:val="20"/>
                <w:color w:val="auto"/>
              </w:rPr>
            </w:pPr>
            <w:r>
              <w:rPr>
                <w:rFonts w:ascii="Arial" w:cs="Arial" w:eastAsia="Arial" w:hAnsi="Arial"/>
                <w:sz w:val="15"/>
                <w:szCs w:val="15"/>
                <w:color w:val="231F20"/>
              </w:rPr>
              <w:t>Pension Benefits</w:t>
            </w:r>
          </w:p>
        </w:tc>
        <w:tc>
          <w:tcPr>
            <w:tcW w:w="160" w:type="dxa"/>
            <w:vAlign w:val="bottom"/>
            <w:tcBorders>
              <w:bottom w:val="single" w:sz="8" w:color="231F20"/>
            </w:tcBorders>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40" w:type="dxa"/>
            <w:vAlign w:val="bottom"/>
            <w:tcBorders>
              <w:bottom w:val="single" w:sz="8" w:color="231F20"/>
            </w:tcBorders>
          </w:tcPr>
          <w:p>
            <w:pPr>
              <w:spacing w:after="0"/>
              <w:rPr>
                <w:sz w:val="14"/>
                <w:szCs w:val="14"/>
                <w:color w:val="auto"/>
              </w:rPr>
            </w:pPr>
          </w:p>
        </w:tc>
        <w:tc>
          <w:tcPr>
            <w:tcW w:w="660" w:type="dxa"/>
            <w:vAlign w:val="bottom"/>
            <w:tcBorders>
              <w:bottom w:val="single" w:sz="8" w:color="231F20"/>
              <w:right w:val="single" w:sz="8" w:color="231F20"/>
            </w:tcBorders>
          </w:tcPr>
          <w:p>
            <w:pPr>
              <w:spacing w:after="0"/>
              <w:rPr>
                <w:sz w:val="14"/>
                <w:szCs w:val="14"/>
                <w:color w:val="auto"/>
              </w:rPr>
            </w:pPr>
          </w:p>
        </w:tc>
        <w:tc>
          <w:tcPr>
            <w:tcW w:w="40" w:type="dxa"/>
            <w:vAlign w:val="bottom"/>
            <w:tcBorders>
              <w:bottom w:val="single" w:sz="8" w:color="231F20"/>
            </w:tcBorders>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40" w:type="dxa"/>
            <w:vAlign w:val="bottom"/>
            <w:tcBorders>
              <w:bottom w:val="single" w:sz="8" w:color="231F20"/>
            </w:tcBorders>
          </w:tcPr>
          <w:p>
            <w:pPr>
              <w:spacing w:after="0"/>
              <w:rPr>
                <w:sz w:val="14"/>
                <w:szCs w:val="14"/>
                <w:color w:val="auto"/>
              </w:rPr>
            </w:pPr>
          </w:p>
        </w:tc>
        <w:tc>
          <w:tcPr>
            <w:tcW w:w="1920" w:type="dxa"/>
            <w:vAlign w:val="bottom"/>
            <w:tcBorders>
              <w:bottom w:val="single" w:sz="8" w:color="231F20"/>
            </w:tcBorders>
            <w:gridSpan w:val="6"/>
          </w:tcPr>
          <w:p>
            <w:pPr>
              <w:jc w:val="right"/>
              <w:spacing w:after="0" w:line="165" w:lineRule="exact"/>
              <w:rPr>
                <w:sz w:val="20"/>
                <w:szCs w:val="20"/>
                <w:color w:val="auto"/>
              </w:rPr>
            </w:pPr>
            <w:r>
              <w:rPr>
                <w:rFonts w:ascii="Arial" w:cs="Arial" w:eastAsia="Arial" w:hAnsi="Arial"/>
                <w:sz w:val="15"/>
                <w:szCs w:val="15"/>
                <w:color w:val="231F20"/>
              </w:rPr>
              <w:t>Postretirement Benefits</w:t>
            </w:r>
          </w:p>
        </w:tc>
        <w:tc>
          <w:tcPr>
            <w:tcW w:w="520" w:type="dxa"/>
            <w:vAlign w:val="bottom"/>
            <w:tcBorders>
              <w:bottom w:val="single" w:sz="8" w:color="231F20"/>
            </w:tcBorders>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800" w:type="dxa"/>
            <w:vAlign w:val="bottom"/>
            <w:tcBorders>
              <w:bottom w:val="single" w:sz="8" w:color="231F20"/>
              <w:right w:val="single" w:sz="8" w:color="231F20"/>
            </w:tcBorders>
          </w:tcPr>
          <w:p>
            <w:pPr>
              <w:spacing w:after="0" w:line="165" w:lineRule="exact"/>
              <w:rPr>
                <w:sz w:val="20"/>
                <w:szCs w:val="20"/>
                <w:color w:val="auto"/>
              </w:rPr>
            </w:pPr>
            <w:r>
              <w:rPr>
                <w:rFonts w:ascii="Arial" w:cs="Arial" w:eastAsia="Arial" w:hAnsi="Arial"/>
                <w:sz w:val="14"/>
                <w:szCs w:val="14"/>
                <w:i w:val="1"/>
                <w:iCs w:val="1"/>
                <w:color w:val="231F20"/>
              </w:rPr>
              <w:t>(In millions)</w:t>
            </w:r>
            <w:r>
              <w:rPr>
                <w:rFonts w:ascii="Times New Roman" w:cs="Times New Roman" w:eastAsia="Times New Roman" w:hAnsi="Times New Roman"/>
                <w:sz w:val="19"/>
                <w:szCs w:val="19"/>
                <w:color w:val="231F20"/>
              </w:rPr>
              <w:t>...........................................................</w:t>
            </w:r>
          </w:p>
        </w:tc>
        <w:tc>
          <w:tcPr>
            <w:tcW w:w="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480" w:type="dxa"/>
            <w:vAlign w:val="bottom"/>
            <w:tcBorders>
              <w:bottom w:val="single" w:sz="8" w:color="231F20"/>
            </w:tcBorders>
            <w:gridSpan w:val="2"/>
          </w:tcPr>
          <w:p>
            <w:pPr>
              <w:jc w:val="right"/>
              <w:spacing w:after="0" w:line="165" w:lineRule="exact"/>
              <w:rPr>
                <w:sz w:val="20"/>
                <w:szCs w:val="20"/>
                <w:color w:val="auto"/>
              </w:rPr>
            </w:pPr>
            <w:r>
              <w:rPr>
                <w:rFonts w:ascii="Arial" w:cs="Arial" w:eastAsia="Arial" w:hAnsi="Arial"/>
                <w:sz w:val="15"/>
                <w:szCs w:val="15"/>
                <w:i w:val="1"/>
                <w:iCs w:val="1"/>
                <w:color w:val="231F20"/>
              </w:rPr>
              <w:t>2023</w:t>
            </w:r>
          </w:p>
        </w:tc>
        <w:tc>
          <w:tcPr>
            <w:tcW w:w="200" w:type="dxa"/>
            <w:vAlign w:val="bottom"/>
            <w:tcBorders>
              <w:bottom w:val="single" w:sz="8" w:color="231F20"/>
              <w:right w:val="single" w:sz="8" w:color="231F20"/>
            </w:tcBorders>
          </w:tcPr>
          <w:p>
            <w:pPr>
              <w:spacing w:after="0"/>
              <w:rPr>
                <w:sz w:val="14"/>
                <w:szCs w:val="14"/>
                <w:color w:val="auto"/>
              </w:rPr>
            </w:pPr>
          </w:p>
        </w:tc>
        <w:tc>
          <w:tcPr>
            <w:tcW w:w="340" w:type="dxa"/>
            <w:vAlign w:val="bottom"/>
            <w:tcBorders>
              <w:bottom w:val="single" w:sz="8" w:color="231F20"/>
            </w:tcBorders>
          </w:tcPr>
          <w:p>
            <w:pPr>
              <w:spacing w:after="0"/>
              <w:rPr>
                <w:sz w:val="14"/>
                <w:szCs w:val="14"/>
                <w:color w:val="auto"/>
              </w:rPr>
            </w:pPr>
          </w:p>
        </w:tc>
        <w:tc>
          <w:tcPr>
            <w:tcW w:w="680" w:type="dxa"/>
            <w:vAlign w:val="bottom"/>
            <w:tcBorders>
              <w:bottom w:val="single" w:sz="8" w:color="231F20"/>
            </w:tcBorders>
            <w:gridSpan w:val="2"/>
          </w:tcPr>
          <w:p>
            <w:pPr>
              <w:jc w:val="right"/>
              <w:ind w:right="104"/>
              <w:spacing w:after="0" w:line="165" w:lineRule="exact"/>
              <w:rPr>
                <w:sz w:val="20"/>
                <w:szCs w:val="20"/>
                <w:color w:val="auto"/>
              </w:rPr>
            </w:pPr>
            <w:r>
              <w:rPr>
                <w:rFonts w:ascii="Arial" w:cs="Arial" w:eastAsia="Arial" w:hAnsi="Arial"/>
                <w:sz w:val="15"/>
                <w:szCs w:val="15"/>
                <w:color w:val="231F20"/>
              </w:rPr>
              <w:t>2022</w:t>
            </w:r>
          </w:p>
        </w:tc>
        <w:tc>
          <w:tcPr>
            <w:tcW w:w="160" w:type="dxa"/>
            <w:vAlign w:val="bottom"/>
            <w:tcBorders>
              <w:bottom w:val="single" w:sz="8" w:color="231F20"/>
            </w:tcBorders>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right w:val="single" w:sz="8" w:color="231F20"/>
            </w:tcBorders>
            <w:gridSpan w:val="2"/>
          </w:tcPr>
          <w:p>
            <w:pPr>
              <w:jc w:val="right"/>
              <w:ind w:right="127"/>
              <w:spacing w:after="0" w:line="165" w:lineRule="exact"/>
              <w:rPr>
                <w:sz w:val="20"/>
                <w:szCs w:val="20"/>
                <w:color w:val="auto"/>
              </w:rPr>
            </w:pPr>
            <w:r>
              <w:rPr>
                <w:rFonts w:ascii="Arial" w:cs="Arial" w:eastAsia="Arial" w:hAnsi="Arial"/>
                <w:sz w:val="15"/>
                <w:szCs w:val="15"/>
                <w:color w:val="231F20"/>
              </w:rPr>
              <w:t>2021</w:t>
            </w:r>
          </w:p>
        </w:tc>
        <w:tc>
          <w:tcPr>
            <w:tcW w:w="40" w:type="dxa"/>
            <w:vAlign w:val="bottom"/>
            <w:tcBorders>
              <w:bottom w:val="single" w:sz="8" w:color="231F20"/>
            </w:tcBorders>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40" w:type="dxa"/>
            <w:vAlign w:val="bottom"/>
            <w:tcBorders>
              <w:bottom w:val="single" w:sz="8" w:color="231F20"/>
            </w:tcBorders>
          </w:tcPr>
          <w:p>
            <w:pPr>
              <w:spacing w:after="0"/>
              <w:rPr>
                <w:sz w:val="14"/>
                <w:szCs w:val="14"/>
                <w:color w:val="auto"/>
              </w:rPr>
            </w:pPr>
          </w:p>
        </w:tc>
        <w:tc>
          <w:tcPr>
            <w:tcW w:w="600" w:type="dxa"/>
            <w:vAlign w:val="bottom"/>
            <w:tcBorders>
              <w:bottom w:val="single" w:sz="8" w:color="231F20"/>
            </w:tcBorders>
          </w:tcPr>
          <w:p>
            <w:pPr>
              <w:jc w:val="right"/>
              <w:spacing w:after="0" w:line="165" w:lineRule="exact"/>
              <w:rPr>
                <w:sz w:val="20"/>
                <w:szCs w:val="20"/>
                <w:color w:val="auto"/>
              </w:rPr>
            </w:pPr>
            <w:r>
              <w:rPr>
                <w:rFonts w:ascii="Arial" w:cs="Arial" w:eastAsia="Arial" w:hAnsi="Arial"/>
                <w:sz w:val="15"/>
                <w:szCs w:val="15"/>
                <w:i w:val="1"/>
                <w:iCs w:val="1"/>
                <w:color w:val="231F20"/>
              </w:rPr>
              <w:t>2023</w:t>
            </w:r>
          </w:p>
        </w:tc>
        <w:tc>
          <w:tcPr>
            <w:tcW w:w="60" w:type="dxa"/>
            <w:vAlign w:val="bottom"/>
            <w:tcBorders>
              <w:bottom w:val="single" w:sz="8" w:color="231F20"/>
            </w:tcBorders>
          </w:tcPr>
          <w:p>
            <w:pPr>
              <w:spacing w:after="0"/>
              <w:rPr>
                <w:sz w:val="14"/>
                <w:szCs w:val="14"/>
                <w:color w:val="auto"/>
              </w:rPr>
            </w:pPr>
          </w:p>
        </w:tc>
        <w:tc>
          <w:tcPr>
            <w:tcW w:w="120" w:type="dxa"/>
            <w:vAlign w:val="bottom"/>
            <w:tcBorders>
              <w:bottom w:val="single" w:sz="8" w:color="231F20"/>
              <w:right w:val="single" w:sz="8" w:color="231F20"/>
            </w:tcBorders>
          </w:tcPr>
          <w:p>
            <w:pPr>
              <w:spacing w:after="0"/>
              <w:rPr>
                <w:sz w:val="14"/>
                <w:szCs w:val="14"/>
                <w:color w:val="auto"/>
              </w:rPr>
            </w:pPr>
          </w:p>
        </w:tc>
        <w:tc>
          <w:tcPr>
            <w:tcW w:w="260" w:type="dxa"/>
            <w:vAlign w:val="bottom"/>
            <w:tcBorders>
              <w:bottom w:val="single" w:sz="8" w:color="231F20"/>
            </w:tcBorders>
          </w:tcPr>
          <w:p>
            <w:pPr>
              <w:spacing w:after="0"/>
              <w:rPr>
                <w:sz w:val="14"/>
                <w:szCs w:val="14"/>
                <w:color w:val="auto"/>
              </w:rPr>
            </w:pPr>
          </w:p>
        </w:tc>
        <w:tc>
          <w:tcPr>
            <w:tcW w:w="640" w:type="dxa"/>
            <w:vAlign w:val="bottom"/>
            <w:tcBorders>
              <w:bottom w:val="single" w:sz="8" w:color="231F20"/>
            </w:tcBorders>
          </w:tcPr>
          <w:p>
            <w:pPr>
              <w:jc w:val="right"/>
              <w:ind w:right="83"/>
              <w:spacing w:after="0" w:line="165" w:lineRule="exact"/>
              <w:rPr>
                <w:sz w:val="20"/>
                <w:szCs w:val="20"/>
                <w:color w:val="auto"/>
              </w:rPr>
            </w:pPr>
            <w:r>
              <w:rPr>
                <w:rFonts w:ascii="Arial" w:cs="Arial" w:eastAsia="Arial" w:hAnsi="Arial"/>
                <w:sz w:val="15"/>
                <w:szCs w:val="15"/>
                <w:color w:val="231F20"/>
              </w:rPr>
              <w:t>2022</w:t>
            </w:r>
          </w:p>
        </w:tc>
        <w:tc>
          <w:tcPr>
            <w:tcW w:w="240" w:type="dxa"/>
            <w:vAlign w:val="bottom"/>
            <w:tcBorders>
              <w:bottom w:val="single" w:sz="8" w:color="231F20"/>
            </w:tcBorders>
          </w:tcPr>
          <w:p>
            <w:pPr>
              <w:spacing w:after="0"/>
              <w:rPr>
                <w:sz w:val="14"/>
                <w:szCs w:val="14"/>
                <w:color w:val="auto"/>
              </w:rPr>
            </w:pPr>
          </w:p>
        </w:tc>
        <w:tc>
          <w:tcPr>
            <w:tcW w:w="520" w:type="dxa"/>
            <w:vAlign w:val="bottom"/>
            <w:tcBorders>
              <w:bottom w:val="single" w:sz="8" w:color="231F20"/>
            </w:tcBorders>
          </w:tcPr>
          <w:p>
            <w:pPr>
              <w:jc w:val="right"/>
              <w:spacing w:after="0" w:line="165" w:lineRule="exact"/>
              <w:rPr>
                <w:sz w:val="20"/>
                <w:szCs w:val="20"/>
                <w:color w:val="auto"/>
              </w:rPr>
            </w:pPr>
            <w:r>
              <w:rPr>
                <w:rFonts w:ascii="Arial" w:cs="Arial" w:eastAsia="Arial" w:hAnsi="Arial"/>
                <w:sz w:val="15"/>
                <w:szCs w:val="15"/>
                <w:color w:val="231F20"/>
              </w:rPr>
              <w:t>2021</w:t>
            </w:r>
          </w:p>
        </w:tc>
      </w:tr>
      <w:tr>
        <w:trPr>
          <w:trHeight w:val="202"/>
        </w:trPr>
        <w:tc>
          <w:tcPr>
            <w:tcW w:w="20" w:type="dxa"/>
            <w:vAlign w:val="bottom"/>
          </w:tcPr>
          <w:p>
            <w:pPr>
              <w:spacing w:after="0"/>
              <w:rPr>
                <w:sz w:val="17"/>
                <w:szCs w:val="17"/>
                <w:color w:val="auto"/>
              </w:rPr>
            </w:pPr>
          </w:p>
        </w:tc>
        <w:tc>
          <w:tcPr>
            <w:tcW w:w="3800" w:type="dxa"/>
            <w:vAlign w:val="bottom"/>
            <w:tcBorders>
              <w:right w:val="single" w:sz="8" w:color="231F20"/>
            </w:tcBorders>
          </w:tcPr>
          <w:p>
            <w:pPr>
              <w:ind w:left="140"/>
              <w:spacing w:after="0" w:line="202" w:lineRule="exact"/>
              <w:rPr>
                <w:sz w:val="20"/>
                <w:szCs w:val="20"/>
                <w:color w:val="auto"/>
              </w:rPr>
            </w:pPr>
            <w:r>
              <w:rPr>
                <w:rFonts w:ascii="Arial" w:cs="Arial" w:eastAsia="Arial" w:hAnsi="Arial"/>
                <w:sz w:val="20"/>
                <w:szCs w:val="20"/>
                <w:color w:val="231F20"/>
              </w:rPr>
              <w:t>Service cost</w:t>
            </w:r>
            <w:r>
              <w:rPr>
                <w:rFonts w:ascii="Times New Roman" w:cs="Times New Roman" w:eastAsia="Times New Roman" w:hAnsi="Times New Roman"/>
                <w:sz w:val="20"/>
                <w:szCs w:val="20"/>
                <w:color w:val="231F20"/>
              </w:rPr>
              <w:t>..................................................</w:t>
            </w:r>
          </w:p>
        </w:tc>
        <w:tc>
          <w:tcPr>
            <w:tcW w:w="60" w:type="dxa"/>
            <w:vAlign w:val="bottom"/>
          </w:tcPr>
          <w:p>
            <w:pPr>
              <w:spacing w:after="0"/>
              <w:rPr>
                <w:sz w:val="17"/>
                <w:szCs w:val="17"/>
                <w:color w:val="auto"/>
              </w:rPr>
            </w:pPr>
          </w:p>
        </w:tc>
        <w:tc>
          <w:tcPr>
            <w:tcW w:w="300" w:type="dxa"/>
            <w:vAlign w:val="bottom"/>
          </w:tcPr>
          <w:p>
            <w:pPr>
              <w:ind w:left="20"/>
              <w:spacing w:after="0" w:line="203" w:lineRule="exact"/>
              <w:rPr>
                <w:sz w:val="20"/>
                <w:szCs w:val="20"/>
                <w:color w:val="auto"/>
              </w:rPr>
            </w:pPr>
            <w:r>
              <w:rPr>
                <w:rFonts w:ascii="Arial" w:cs="Arial" w:eastAsia="Arial" w:hAnsi="Arial"/>
                <w:sz w:val="20"/>
                <w:szCs w:val="20"/>
                <w:color w:val="231F20"/>
              </w:rPr>
              <w:t>$</w:t>
            </w:r>
          </w:p>
        </w:tc>
        <w:tc>
          <w:tcPr>
            <w:tcW w:w="480" w:type="dxa"/>
            <w:vAlign w:val="bottom"/>
            <w:gridSpan w:val="2"/>
          </w:tcPr>
          <w:p>
            <w:pPr>
              <w:jc w:val="right"/>
              <w:spacing w:after="0" w:line="203" w:lineRule="exact"/>
              <w:rPr>
                <w:sz w:val="20"/>
                <w:szCs w:val="20"/>
                <w:color w:val="auto"/>
              </w:rPr>
            </w:pPr>
            <w:r>
              <w:rPr>
                <w:rFonts w:ascii="Arial" w:cs="Arial" w:eastAsia="Arial" w:hAnsi="Arial"/>
                <w:sz w:val="20"/>
                <w:szCs w:val="20"/>
                <w:color w:val="231F20"/>
              </w:rPr>
              <w:t>0.1</w:t>
            </w:r>
          </w:p>
        </w:tc>
        <w:tc>
          <w:tcPr>
            <w:tcW w:w="200" w:type="dxa"/>
            <w:vAlign w:val="bottom"/>
            <w:tcBorders>
              <w:right w:val="single" w:sz="8" w:color="231F20"/>
            </w:tcBorders>
          </w:tcPr>
          <w:p>
            <w:pPr>
              <w:spacing w:after="0"/>
              <w:rPr>
                <w:sz w:val="17"/>
                <w:szCs w:val="17"/>
                <w:color w:val="auto"/>
              </w:rPr>
            </w:pPr>
          </w:p>
        </w:tc>
        <w:tc>
          <w:tcPr>
            <w:tcW w:w="340" w:type="dxa"/>
            <w:vAlign w:val="bottom"/>
          </w:tcPr>
          <w:p>
            <w:pPr>
              <w:jc w:val="right"/>
              <w:ind w:right="67"/>
              <w:spacing w:after="0" w:line="203" w:lineRule="exact"/>
              <w:rPr>
                <w:sz w:val="20"/>
                <w:szCs w:val="20"/>
                <w:color w:val="auto"/>
              </w:rPr>
            </w:pPr>
            <w:r>
              <w:rPr>
                <w:rFonts w:ascii="Arial" w:cs="Arial" w:eastAsia="Arial" w:hAnsi="Arial"/>
                <w:sz w:val="20"/>
                <w:szCs w:val="20"/>
                <w:color w:val="231F20"/>
              </w:rPr>
              <w:t>$</w:t>
            </w:r>
          </w:p>
        </w:tc>
        <w:tc>
          <w:tcPr>
            <w:tcW w:w="680" w:type="dxa"/>
            <w:vAlign w:val="bottom"/>
            <w:gridSpan w:val="2"/>
          </w:tcPr>
          <w:p>
            <w:pPr>
              <w:jc w:val="right"/>
              <w:ind w:right="104"/>
              <w:spacing w:after="0" w:line="203" w:lineRule="exact"/>
              <w:rPr>
                <w:sz w:val="20"/>
                <w:szCs w:val="20"/>
                <w:color w:val="auto"/>
              </w:rPr>
            </w:pPr>
            <w:r>
              <w:rPr>
                <w:rFonts w:ascii="Arial" w:cs="Arial" w:eastAsia="Arial" w:hAnsi="Arial"/>
                <w:sz w:val="20"/>
                <w:szCs w:val="20"/>
                <w:color w:val="231F20"/>
              </w:rPr>
              <w:t>0.2</w:t>
            </w:r>
          </w:p>
        </w:tc>
        <w:tc>
          <w:tcPr>
            <w:tcW w:w="160" w:type="dxa"/>
            <w:vAlign w:val="bottom"/>
          </w:tcPr>
          <w:p>
            <w:pPr>
              <w:jc w:val="right"/>
              <w:spacing w:after="0" w:line="203" w:lineRule="exact"/>
              <w:rPr>
                <w:sz w:val="20"/>
                <w:szCs w:val="20"/>
                <w:color w:val="auto"/>
              </w:rPr>
            </w:pPr>
            <w:r>
              <w:rPr>
                <w:rFonts w:ascii="Arial" w:cs="Arial" w:eastAsia="Arial" w:hAnsi="Arial"/>
                <w:sz w:val="20"/>
                <w:szCs w:val="20"/>
                <w:color w:val="231F20"/>
                <w:w w:val="71"/>
              </w:rPr>
              <w:t>$</w:t>
            </w:r>
          </w:p>
        </w:tc>
        <w:tc>
          <w:tcPr>
            <w:tcW w:w="80" w:type="dxa"/>
            <w:vAlign w:val="bottom"/>
          </w:tcPr>
          <w:p>
            <w:pPr>
              <w:spacing w:after="0"/>
              <w:rPr>
                <w:sz w:val="17"/>
                <w:szCs w:val="17"/>
                <w:color w:val="auto"/>
              </w:rPr>
            </w:pPr>
          </w:p>
        </w:tc>
        <w:tc>
          <w:tcPr>
            <w:tcW w:w="700" w:type="dxa"/>
            <w:vAlign w:val="bottom"/>
            <w:tcBorders>
              <w:right w:val="single" w:sz="8" w:color="231F20"/>
            </w:tcBorders>
            <w:gridSpan w:val="2"/>
          </w:tcPr>
          <w:p>
            <w:pPr>
              <w:jc w:val="right"/>
              <w:ind w:right="107"/>
              <w:spacing w:after="0" w:line="203" w:lineRule="exact"/>
              <w:rPr>
                <w:sz w:val="20"/>
                <w:szCs w:val="20"/>
                <w:color w:val="auto"/>
              </w:rPr>
            </w:pPr>
            <w:r>
              <w:rPr>
                <w:rFonts w:ascii="Arial" w:cs="Arial" w:eastAsia="Arial" w:hAnsi="Arial"/>
                <w:sz w:val="20"/>
                <w:szCs w:val="20"/>
                <w:color w:val="231F20"/>
              </w:rPr>
              <w:t>0.4</w:t>
            </w:r>
          </w:p>
        </w:tc>
        <w:tc>
          <w:tcPr>
            <w:tcW w:w="40" w:type="dxa"/>
            <w:vAlign w:val="bottom"/>
          </w:tcPr>
          <w:p>
            <w:pPr>
              <w:spacing w:after="0"/>
              <w:rPr>
                <w:sz w:val="17"/>
                <w:szCs w:val="17"/>
                <w:color w:val="auto"/>
              </w:rPr>
            </w:pPr>
          </w:p>
        </w:tc>
        <w:tc>
          <w:tcPr>
            <w:tcW w:w="160" w:type="dxa"/>
            <w:vAlign w:val="bottom"/>
            <w:gridSpan w:val="2"/>
          </w:tcPr>
          <w:p>
            <w:pPr>
              <w:jc w:val="right"/>
              <w:ind w:right="20"/>
              <w:spacing w:after="0" w:line="203" w:lineRule="exact"/>
              <w:rPr>
                <w:sz w:val="20"/>
                <w:szCs w:val="20"/>
                <w:color w:val="auto"/>
              </w:rPr>
            </w:pPr>
            <w:r>
              <w:rPr>
                <w:rFonts w:ascii="Arial" w:cs="Arial" w:eastAsia="Arial" w:hAnsi="Arial"/>
                <w:sz w:val="20"/>
                <w:szCs w:val="20"/>
                <w:color w:val="231F20"/>
              </w:rPr>
              <w:t>$</w:t>
            </w:r>
          </w:p>
        </w:tc>
        <w:tc>
          <w:tcPr>
            <w:tcW w:w="600" w:type="dxa"/>
            <w:vAlign w:val="bottom"/>
          </w:tcPr>
          <w:p>
            <w:pPr>
              <w:jc w:val="right"/>
              <w:spacing w:after="0" w:line="203" w:lineRule="exact"/>
              <w:rPr>
                <w:sz w:val="20"/>
                <w:szCs w:val="20"/>
                <w:color w:val="auto"/>
              </w:rPr>
            </w:pPr>
            <w:r>
              <w:rPr>
                <w:rFonts w:ascii="Arial" w:cs="Arial" w:eastAsia="Arial" w:hAnsi="Arial"/>
                <w:sz w:val="20"/>
                <w:szCs w:val="20"/>
                <w:color w:val="231F20"/>
              </w:rPr>
              <w:t>0.4</w:t>
            </w:r>
          </w:p>
        </w:tc>
        <w:tc>
          <w:tcPr>
            <w:tcW w:w="60" w:type="dxa"/>
            <w:vAlign w:val="bottom"/>
          </w:tcPr>
          <w:p>
            <w:pPr>
              <w:spacing w:after="0"/>
              <w:rPr>
                <w:sz w:val="17"/>
                <w:szCs w:val="17"/>
                <w:color w:val="auto"/>
              </w:rPr>
            </w:pPr>
          </w:p>
        </w:tc>
        <w:tc>
          <w:tcPr>
            <w:tcW w:w="120" w:type="dxa"/>
            <w:vAlign w:val="bottom"/>
            <w:tcBorders>
              <w:right w:val="single" w:sz="8" w:color="231F20"/>
            </w:tcBorders>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640" w:type="dxa"/>
            <w:vAlign w:val="bottom"/>
          </w:tcPr>
          <w:p>
            <w:pPr>
              <w:jc w:val="right"/>
              <w:ind w:right="83"/>
              <w:spacing w:after="0" w:line="203" w:lineRule="exact"/>
              <w:rPr>
                <w:sz w:val="20"/>
                <w:szCs w:val="20"/>
                <w:color w:val="auto"/>
              </w:rPr>
            </w:pPr>
            <w:r>
              <w:rPr>
                <w:rFonts w:ascii="Arial" w:cs="Arial" w:eastAsia="Arial" w:hAnsi="Arial"/>
                <w:sz w:val="20"/>
                <w:szCs w:val="20"/>
                <w:color w:val="231F20"/>
              </w:rPr>
              <w:t>0.4</w:t>
            </w:r>
          </w:p>
        </w:tc>
        <w:tc>
          <w:tcPr>
            <w:tcW w:w="240" w:type="dxa"/>
            <w:vAlign w:val="bottom"/>
          </w:tcPr>
          <w:p>
            <w:pPr>
              <w:jc w:val="right"/>
              <w:ind w:right="7"/>
              <w:spacing w:after="0" w:line="203" w:lineRule="exact"/>
              <w:rPr>
                <w:sz w:val="20"/>
                <w:szCs w:val="20"/>
                <w:color w:val="auto"/>
              </w:rPr>
            </w:pPr>
            <w:r>
              <w:rPr>
                <w:rFonts w:ascii="Arial" w:cs="Arial" w:eastAsia="Arial" w:hAnsi="Arial"/>
                <w:sz w:val="20"/>
                <w:szCs w:val="20"/>
                <w:color w:val="231F20"/>
              </w:rPr>
              <w:t>$</w:t>
            </w:r>
          </w:p>
        </w:tc>
        <w:tc>
          <w:tcPr>
            <w:tcW w:w="520" w:type="dxa"/>
            <w:vAlign w:val="bottom"/>
          </w:tcPr>
          <w:p>
            <w:pPr>
              <w:jc w:val="right"/>
              <w:spacing w:after="0" w:line="203" w:lineRule="exact"/>
              <w:rPr>
                <w:sz w:val="20"/>
                <w:szCs w:val="20"/>
                <w:color w:val="auto"/>
              </w:rPr>
            </w:pPr>
            <w:r>
              <w:rPr>
                <w:rFonts w:ascii="Arial" w:cs="Arial" w:eastAsia="Arial" w:hAnsi="Arial"/>
                <w:sz w:val="20"/>
                <w:szCs w:val="20"/>
                <w:color w:val="231F20"/>
              </w:rPr>
              <w:t>0.2</w:t>
            </w:r>
          </w:p>
        </w:tc>
      </w:tr>
      <w:tr>
        <w:trPr>
          <w:trHeight w:val="233"/>
        </w:trPr>
        <w:tc>
          <w:tcPr>
            <w:tcW w:w="20" w:type="dxa"/>
            <w:vAlign w:val="bottom"/>
          </w:tcPr>
          <w:p>
            <w:pPr>
              <w:spacing w:after="0"/>
              <w:rPr>
                <w:sz w:val="20"/>
                <w:szCs w:val="20"/>
                <w:color w:val="auto"/>
              </w:rPr>
            </w:pPr>
          </w:p>
        </w:tc>
        <w:tc>
          <w:tcPr>
            <w:tcW w:w="3800" w:type="dxa"/>
            <w:vAlign w:val="bottom"/>
            <w:tcBorders>
              <w:right w:val="single" w:sz="8" w:color="231F20"/>
            </w:tcBorders>
          </w:tcPr>
          <w:p>
            <w:pPr>
              <w:ind w:left="140"/>
              <w:spacing w:after="0"/>
              <w:rPr>
                <w:sz w:val="20"/>
                <w:szCs w:val="20"/>
                <w:color w:val="auto"/>
              </w:rPr>
            </w:pPr>
            <w:r>
              <w:rPr>
                <w:rFonts w:ascii="Arial" w:cs="Arial" w:eastAsia="Arial" w:hAnsi="Arial"/>
                <w:sz w:val="20"/>
                <w:szCs w:val="20"/>
                <w:color w:val="231F20"/>
              </w:rPr>
              <w:t>Interest cost</w:t>
            </w: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20"/>
                <w:szCs w:val="20"/>
                <w:color w:val="231F20"/>
              </w:rPr>
              <w:t>27.2</w:t>
            </w:r>
          </w:p>
        </w:tc>
        <w:tc>
          <w:tcPr>
            <w:tcW w:w="200" w:type="dxa"/>
            <w:vAlign w:val="bottom"/>
            <w:tcBorders>
              <w:right w:val="single" w:sz="8" w:color="231F20"/>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ind w:right="104"/>
              <w:spacing w:after="0"/>
              <w:rPr>
                <w:sz w:val="20"/>
                <w:szCs w:val="20"/>
                <w:color w:val="auto"/>
              </w:rPr>
            </w:pPr>
            <w:r>
              <w:rPr>
                <w:rFonts w:ascii="Arial" w:cs="Arial" w:eastAsia="Arial" w:hAnsi="Arial"/>
                <w:sz w:val="20"/>
                <w:szCs w:val="20"/>
                <w:color w:val="231F20"/>
              </w:rPr>
              <w:t>20.4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231F20"/>
            </w:tcBorders>
            <w:gridSpan w:val="2"/>
          </w:tcPr>
          <w:p>
            <w:pPr>
              <w:jc w:val="right"/>
              <w:ind w:right="107"/>
              <w:spacing w:after="0"/>
              <w:rPr>
                <w:sz w:val="20"/>
                <w:szCs w:val="20"/>
                <w:color w:val="auto"/>
              </w:rPr>
            </w:pPr>
            <w:r>
              <w:rPr>
                <w:rFonts w:ascii="Arial" w:cs="Arial" w:eastAsia="Arial" w:hAnsi="Arial"/>
                <w:sz w:val="20"/>
                <w:szCs w:val="20"/>
                <w:color w:val="231F20"/>
              </w:rPr>
              <w:t>19.3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231F20"/>
              </w:rPr>
              <w:t>0.5</w:t>
            </w:r>
          </w:p>
        </w:tc>
        <w:tc>
          <w:tcPr>
            <w:tcW w:w="6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83"/>
              <w:spacing w:after="0"/>
              <w:rPr>
                <w:sz w:val="20"/>
                <w:szCs w:val="20"/>
                <w:color w:val="auto"/>
              </w:rPr>
            </w:pPr>
            <w:r>
              <w:rPr>
                <w:rFonts w:ascii="Arial" w:cs="Arial" w:eastAsia="Arial" w:hAnsi="Arial"/>
                <w:sz w:val="20"/>
                <w:szCs w:val="20"/>
                <w:color w:val="231F20"/>
              </w:rPr>
              <w:t>0.4</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231F20"/>
              </w:rPr>
              <w:t>0.2</w:t>
            </w:r>
          </w:p>
        </w:tc>
      </w:tr>
      <w:tr>
        <w:trPr>
          <w:trHeight w:val="233"/>
        </w:trPr>
        <w:tc>
          <w:tcPr>
            <w:tcW w:w="20" w:type="dxa"/>
            <w:vAlign w:val="bottom"/>
          </w:tcPr>
          <w:p>
            <w:pPr>
              <w:spacing w:after="0"/>
              <w:rPr>
                <w:sz w:val="20"/>
                <w:szCs w:val="20"/>
                <w:color w:val="auto"/>
              </w:rPr>
            </w:pPr>
          </w:p>
        </w:tc>
        <w:tc>
          <w:tcPr>
            <w:tcW w:w="3800" w:type="dxa"/>
            <w:vAlign w:val="bottom"/>
            <w:tcBorders>
              <w:right w:val="single" w:sz="8" w:color="231F20"/>
            </w:tcBorders>
          </w:tcPr>
          <w:p>
            <w:pPr>
              <w:ind w:left="140"/>
              <w:spacing w:after="0"/>
              <w:rPr>
                <w:sz w:val="20"/>
                <w:szCs w:val="20"/>
                <w:color w:val="auto"/>
              </w:rPr>
            </w:pPr>
            <w:r>
              <w:rPr>
                <w:rFonts w:ascii="Arial" w:cs="Arial" w:eastAsia="Arial" w:hAnsi="Arial"/>
                <w:sz w:val="20"/>
                <w:szCs w:val="20"/>
                <w:color w:val="231F20"/>
              </w:rPr>
              <w:t xml:space="preserve">Expected return on plan assets </w:t>
            </w: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right w:val="single" w:sz="8" w:color="231F20"/>
            </w:tcBorders>
            <w:gridSpan w:val="3"/>
          </w:tcPr>
          <w:p>
            <w:pPr>
              <w:jc w:val="right"/>
              <w:ind w:right="45"/>
              <w:spacing w:after="0"/>
              <w:rPr>
                <w:sz w:val="20"/>
                <w:szCs w:val="20"/>
                <w:color w:val="auto"/>
              </w:rPr>
            </w:pPr>
            <w:r>
              <w:rPr>
                <w:rFonts w:ascii="Arial" w:cs="Arial" w:eastAsia="Arial" w:hAnsi="Arial"/>
                <w:sz w:val="20"/>
                <w:szCs w:val="20"/>
                <w:color w:val="231F20"/>
                <w:w w:val="99"/>
              </w:rPr>
              <w:t>(28.6)</w:t>
            </w:r>
          </w:p>
        </w:tc>
        <w:tc>
          <w:tcPr>
            <w:tcW w:w="340" w:type="dxa"/>
            <w:vAlign w:val="bottom"/>
          </w:tcPr>
          <w:p>
            <w:pPr>
              <w:spacing w:after="0"/>
              <w:rPr>
                <w:sz w:val="20"/>
                <w:szCs w:val="20"/>
                <w:color w:val="auto"/>
              </w:rPr>
            </w:pPr>
          </w:p>
        </w:tc>
        <w:tc>
          <w:tcPr>
            <w:tcW w:w="680" w:type="dxa"/>
            <w:vAlign w:val="bottom"/>
            <w:gridSpan w:val="2"/>
          </w:tcPr>
          <w:p>
            <w:pPr>
              <w:jc w:val="right"/>
              <w:ind w:right="24"/>
              <w:spacing w:after="0"/>
              <w:rPr>
                <w:sz w:val="20"/>
                <w:szCs w:val="20"/>
                <w:color w:val="auto"/>
              </w:rPr>
            </w:pPr>
            <w:r>
              <w:rPr>
                <w:rFonts w:ascii="Arial" w:cs="Arial" w:eastAsia="Arial" w:hAnsi="Arial"/>
                <w:sz w:val="20"/>
                <w:szCs w:val="20"/>
                <w:color w:val="231F20"/>
              </w:rPr>
              <w:t>(28.1)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231F20"/>
            </w:tcBorders>
            <w:gridSpan w:val="2"/>
          </w:tcPr>
          <w:p>
            <w:pPr>
              <w:jc w:val="right"/>
              <w:ind w:right="47"/>
              <w:spacing w:after="0"/>
              <w:rPr>
                <w:sz w:val="20"/>
                <w:szCs w:val="20"/>
                <w:color w:val="auto"/>
              </w:rPr>
            </w:pPr>
            <w:r>
              <w:rPr>
                <w:rFonts w:ascii="Arial" w:cs="Arial" w:eastAsia="Arial" w:hAnsi="Arial"/>
                <w:sz w:val="20"/>
                <w:szCs w:val="20"/>
                <w:color w:val="231F20"/>
              </w:rPr>
              <w:t>(27.4)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20"/>
                <w:szCs w:val="20"/>
                <w:color w:val="231F20"/>
              </w:rPr>
              <w:t>—</w:t>
            </w:r>
          </w:p>
        </w:tc>
        <w:tc>
          <w:tcPr>
            <w:tcW w:w="120" w:type="dxa"/>
            <w:vAlign w:val="bottom"/>
            <w:tcBorders>
              <w:right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83"/>
              <w:spacing w:after="0"/>
              <w:rPr>
                <w:sz w:val="20"/>
                <w:szCs w:val="20"/>
                <w:color w:val="auto"/>
              </w:rPr>
            </w:pPr>
            <w:r>
              <w:rPr>
                <w:rFonts w:ascii="Arial" w:cs="Arial" w:eastAsia="Arial" w:hAnsi="Arial"/>
                <w:sz w:val="20"/>
                <w:szCs w:val="20"/>
                <w:color w:val="231F20"/>
              </w:rPr>
              <w:t>—</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231F20"/>
              </w:rPr>
              <w:t>—</w:t>
            </w:r>
          </w:p>
        </w:tc>
      </w:tr>
      <w:tr>
        <w:trPr>
          <w:trHeight w:val="233"/>
        </w:trPr>
        <w:tc>
          <w:tcPr>
            <w:tcW w:w="20" w:type="dxa"/>
            <w:vAlign w:val="bottom"/>
          </w:tcPr>
          <w:p>
            <w:pPr>
              <w:spacing w:after="0"/>
              <w:rPr>
                <w:sz w:val="20"/>
                <w:szCs w:val="20"/>
                <w:color w:val="auto"/>
              </w:rPr>
            </w:pPr>
          </w:p>
        </w:tc>
        <w:tc>
          <w:tcPr>
            <w:tcW w:w="3800" w:type="dxa"/>
            <w:vAlign w:val="bottom"/>
            <w:tcBorders>
              <w:right w:val="single" w:sz="8" w:color="231F20"/>
            </w:tcBorders>
          </w:tcPr>
          <w:p>
            <w:pPr>
              <w:ind w:left="140"/>
              <w:spacing w:after="0"/>
              <w:rPr>
                <w:sz w:val="20"/>
                <w:szCs w:val="20"/>
                <w:color w:val="auto"/>
              </w:rPr>
            </w:pPr>
            <w:r>
              <w:rPr>
                <w:rFonts w:ascii="Arial" w:cs="Arial" w:eastAsia="Arial" w:hAnsi="Arial"/>
                <w:sz w:val="20"/>
                <w:szCs w:val="20"/>
                <w:color w:val="231F20"/>
              </w:rPr>
              <w:t>Recognition of actuarial losses (gains)</w:t>
            </w:r>
            <w:r>
              <w:rPr>
                <w:rFonts w:ascii="Times New Roman" w:cs="Times New Roman" w:eastAsia="Times New Roman" w:hAnsi="Times New Roman"/>
                <w:sz w:val="20"/>
                <w:szCs w:val="20"/>
                <w:color w:val="231F20"/>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231F20"/>
              </w:rPr>
              <w:t>—</w:t>
            </w:r>
          </w:p>
        </w:tc>
        <w:tc>
          <w:tcPr>
            <w:tcW w:w="200" w:type="dxa"/>
            <w:vAlign w:val="bottom"/>
            <w:tcBorders>
              <w:right w:val="single" w:sz="8" w:color="231F20"/>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ind w:right="24"/>
              <w:spacing w:after="0"/>
              <w:rPr>
                <w:sz w:val="20"/>
                <w:szCs w:val="20"/>
                <w:color w:val="auto"/>
              </w:rPr>
            </w:pPr>
            <w:r>
              <w:rPr>
                <w:rFonts w:ascii="Arial" w:cs="Arial" w:eastAsia="Arial" w:hAnsi="Arial"/>
                <w:sz w:val="20"/>
                <w:szCs w:val="20"/>
                <w:color w:val="231F20"/>
              </w:rPr>
              <w:t>(0.3)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right w:val="single" w:sz="8" w:color="231F20"/>
            </w:tcBorders>
            <w:gridSpan w:val="2"/>
          </w:tcPr>
          <w:p>
            <w:pPr>
              <w:jc w:val="right"/>
              <w:ind w:right="107"/>
              <w:spacing w:after="0"/>
              <w:rPr>
                <w:sz w:val="20"/>
                <w:szCs w:val="20"/>
                <w:color w:val="auto"/>
              </w:rPr>
            </w:pPr>
            <w:r>
              <w:rPr>
                <w:rFonts w:ascii="Arial" w:cs="Arial" w:eastAsia="Arial" w:hAnsi="Arial"/>
                <w:sz w:val="20"/>
                <w:szCs w:val="20"/>
                <w:color w:val="231F20"/>
              </w:rPr>
              <w:t>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20"/>
                <w:szCs w:val="20"/>
                <w:color w:val="231F20"/>
              </w:rPr>
              <w:t>(2.6)</w:t>
            </w:r>
          </w:p>
        </w:tc>
        <w:tc>
          <w:tcPr>
            <w:tcW w:w="120" w:type="dxa"/>
            <w:vAlign w:val="bottom"/>
            <w:tcBorders>
              <w:right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3"/>
              <w:spacing w:after="0"/>
              <w:rPr>
                <w:sz w:val="20"/>
                <w:szCs w:val="20"/>
                <w:color w:val="auto"/>
              </w:rPr>
            </w:pPr>
            <w:r>
              <w:rPr>
                <w:rFonts w:ascii="Arial" w:cs="Arial" w:eastAsia="Arial" w:hAnsi="Arial"/>
                <w:sz w:val="20"/>
                <w:szCs w:val="20"/>
                <w:color w:val="231F20"/>
              </w:rPr>
              <w:t>(1.0)</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231F20"/>
              </w:rPr>
              <w:t>(0.5)</w:t>
            </w:r>
          </w:p>
        </w:tc>
      </w:tr>
      <w:tr>
        <w:trPr>
          <w:trHeight w:val="253"/>
        </w:trPr>
        <w:tc>
          <w:tcPr>
            <w:tcW w:w="20" w:type="dxa"/>
            <w:vAlign w:val="bottom"/>
          </w:tcPr>
          <w:p>
            <w:pPr>
              <w:spacing w:after="0"/>
              <w:rPr>
                <w:sz w:val="22"/>
                <w:szCs w:val="22"/>
                <w:color w:val="auto"/>
              </w:rPr>
            </w:pPr>
          </w:p>
        </w:tc>
        <w:tc>
          <w:tcPr>
            <w:tcW w:w="3800" w:type="dxa"/>
            <w:vAlign w:val="bottom"/>
            <w:tcBorders>
              <w:bottom w:val="single" w:sz="8" w:color="231F20"/>
              <w:right w:val="single" w:sz="8" w:color="231F20"/>
            </w:tcBorders>
          </w:tcPr>
          <w:p>
            <w:pPr>
              <w:ind w:left="140"/>
              <w:spacing w:after="0"/>
              <w:rPr>
                <w:sz w:val="20"/>
                <w:szCs w:val="20"/>
                <w:color w:val="auto"/>
              </w:rPr>
            </w:pPr>
            <w:r>
              <w:rPr>
                <w:rFonts w:ascii="Arial" w:cs="Arial" w:eastAsia="Arial" w:hAnsi="Arial"/>
                <w:sz w:val="20"/>
                <w:szCs w:val="20"/>
                <w:color w:val="231F20"/>
                <w:w w:val="99"/>
              </w:rPr>
              <w:t xml:space="preserve">Settlement loss </w:t>
            </w:r>
            <w:r>
              <w:rPr>
                <w:rFonts w:ascii="Times New Roman" w:cs="Times New Roman" w:eastAsia="Times New Roman" w:hAnsi="Times New Roman"/>
                <w:sz w:val="20"/>
                <w:szCs w:val="20"/>
                <w:color w:val="231F20"/>
                <w:w w:val="99"/>
              </w:rPr>
              <w:t>............................................</w:t>
            </w:r>
          </w:p>
        </w:tc>
        <w:tc>
          <w:tcPr>
            <w:tcW w:w="60" w:type="dxa"/>
            <w:vAlign w:val="bottom"/>
            <w:tcBorders>
              <w:bottom w:val="single" w:sz="8" w:color="231F20"/>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480" w:type="dxa"/>
            <w:vAlign w:val="bottom"/>
            <w:tcBorders>
              <w:bottom w:val="single" w:sz="8" w:color="231F20"/>
            </w:tcBorders>
            <w:gridSpan w:val="2"/>
          </w:tcPr>
          <w:p>
            <w:pPr>
              <w:jc w:val="right"/>
              <w:spacing w:after="0"/>
              <w:rPr>
                <w:sz w:val="20"/>
                <w:szCs w:val="20"/>
                <w:color w:val="auto"/>
              </w:rPr>
            </w:pPr>
            <w:r>
              <w:rPr>
                <w:rFonts w:ascii="Arial" w:cs="Arial" w:eastAsia="Arial" w:hAnsi="Arial"/>
                <w:sz w:val="20"/>
                <w:szCs w:val="20"/>
                <w:color w:val="231F20"/>
              </w:rPr>
              <w:t>2.0</w:t>
            </w:r>
          </w:p>
        </w:tc>
        <w:tc>
          <w:tcPr>
            <w:tcW w:w="200" w:type="dxa"/>
            <w:vAlign w:val="bottom"/>
            <w:tcBorders>
              <w:bottom w:val="single" w:sz="8" w:color="231F20"/>
              <w:right w:val="single" w:sz="8" w:color="231F20"/>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560" w:type="dxa"/>
            <w:vAlign w:val="bottom"/>
            <w:tcBorders>
              <w:bottom w:val="single" w:sz="8" w:color="231F20"/>
            </w:tcBorders>
          </w:tcPr>
          <w:p>
            <w:pPr>
              <w:jc w:val="right"/>
              <w:ind w:right="104"/>
              <w:spacing w:after="0"/>
              <w:rPr>
                <w:sz w:val="20"/>
                <w:szCs w:val="20"/>
                <w:color w:val="auto"/>
              </w:rPr>
            </w:pPr>
            <w:r>
              <w:rPr>
                <w:rFonts w:ascii="Arial" w:cs="Arial" w:eastAsia="Arial" w:hAnsi="Arial"/>
                <w:sz w:val="20"/>
                <w:szCs w:val="20"/>
                <w:color w:val="231F20"/>
              </w:rPr>
              <w:t>—</w:t>
            </w:r>
          </w:p>
        </w:tc>
        <w:tc>
          <w:tcPr>
            <w:tcW w:w="160" w:type="dxa"/>
            <w:vAlign w:val="bottom"/>
            <w:tcBorders>
              <w:bottom w:val="single" w:sz="8" w:color="231F20"/>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right w:val="single" w:sz="8" w:color="231F20"/>
            </w:tcBorders>
          </w:tcPr>
          <w:p>
            <w:pPr>
              <w:jc w:val="right"/>
              <w:ind w:right="107"/>
              <w:spacing w:after="0"/>
              <w:rPr>
                <w:sz w:val="20"/>
                <w:szCs w:val="20"/>
                <w:color w:val="auto"/>
              </w:rPr>
            </w:pPr>
            <w:r>
              <w:rPr>
                <w:rFonts w:ascii="Arial" w:cs="Arial" w:eastAsia="Arial" w:hAnsi="Arial"/>
                <w:sz w:val="20"/>
                <w:szCs w:val="20"/>
                <w:color w:val="231F20"/>
              </w:rPr>
              <w:t>—</w:t>
            </w:r>
          </w:p>
        </w:tc>
        <w:tc>
          <w:tcPr>
            <w:tcW w:w="40" w:type="dxa"/>
            <w:vAlign w:val="bottom"/>
            <w:tcBorders>
              <w:bottom w:val="single" w:sz="8" w:color="231F20"/>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gridSpan w:val="2"/>
          </w:tcPr>
          <w:p>
            <w:pPr>
              <w:jc w:val="right"/>
              <w:ind w:right="120"/>
              <w:spacing w:after="0"/>
              <w:rPr>
                <w:sz w:val="20"/>
                <w:szCs w:val="20"/>
                <w:color w:val="auto"/>
              </w:rPr>
            </w:pPr>
            <w:r>
              <w:rPr>
                <w:rFonts w:ascii="Arial" w:cs="Arial" w:eastAsia="Arial" w:hAnsi="Arial"/>
                <w:sz w:val="20"/>
                <w:szCs w:val="20"/>
                <w:color w:val="231F20"/>
              </w:rPr>
              <w:t>—</w:t>
            </w:r>
          </w:p>
        </w:tc>
        <w:tc>
          <w:tcPr>
            <w:tcW w:w="120" w:type="dxa"/>
            <w:vAlign w:val="bottom"/>
            <w:tcBorders>
              <w:bottom w:val="single" w:sz="8" w:color="231F20"/>
              <w:right w:val="single" w:sz="8" w:color="231F20"/>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ind w:right="83"/>
              <w:spacing w:after="0"/>
              <w:rPr>
                <w:sz w:val="20"/>
                <w:szCs w:val="20"/>
                <w:color w:val="auto"/>
              </w:rPr>
            </w:pPr>
            <w:r>
              <w:rPr>
                <w:rFonts w:ascii="Arial" w:cs="Arial" w:eastAsia="Arial" w:hAnsi="Arial"/>
                <w:sz w:val="20"/>
                <w:szCs w:val="20"/>
                <w:color w:val="231F20"/>
              </w:rPr>
              <w:t>—</w:t>
            </w:r>
          </w:p>
        </w:tc>
        <w:tc>
          <w:tcPr>
            <w:tcW w:w="240" w:type="dxa"/>
            <w:vAlign w:val="bottom"/>
            <w:tcBorders>
              <w:bottom w:val="single" w:sz="8" w:color="231F20"/>
            </w:tcBorders>
          </w:tcPr>
          <w:p>
            <w:pPr>
              <w:spacing w:after="0"/>
              <w:rPr>
                <w:sz w:val="22"/>
                <w:szCs w:val="22"/>
                <w:color w:val="auto"/>
              </w:rPr>
            </w:pP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r>
      <w:tr>
        <w:trPr>
          <w:trHeight w:val="248"/>
        </w:trPr>
        <w:tc>
          <w:tcPr>
            <w:tcW w:w="20" w:type="dxa"/>
            <w:vAlign w:val="bottom"/>
          </w:tcPr>
          <w:p>
            <w:pPr>
              <w:spacing w:after="0"/>
              <w:rPr>
                <w:sz w:val="21"/>
                <w:szCs w:val="21"/>
                <w:color w:val="auto"/>
              </w:rPr>
            </w:pPr>
          </w:p>
        </w:tc>
        <w:tc>
          <w:tcPr>
            <w:tcW w:w="3800" w:type="dxa"/>
            <w:vAlign w:val="bottom"/>
            <w:tcBorders>
              <w:bottom w:val="single" w:sz="8" w:color="231F20"/>
              <w:right w:val="single" w:sz="8" w:color="231F20"/>
            </w:tcBorders>
          </w:tcPr>
          <w:p>
            <w:pPr>
              <w:ind w:left="140"/>
              <w:spacing w:after="0" w:line="223" w:lineRule="exact"/>
              <w:rPr>
                <w:sz w:val="20"/>
                <w:szCs w:val="20"/>
                <w:color w:val="auto"/>
              </w:rPr>
            </w:pPr>
            <w:r>
              <w:rPr>
                <w:rFonts w:ascii="Arial" w:cs="Arial" w:eastAsia="Arial" w:hAnsi="Arial"/>
                <w:sz w:val="20"/>
                <w:szCs w:val="20"/>
                <w:color w:val="231F20"/>
              </w:rPr>
              <w:t>Net periodic benefit (income) cost</w:t>
            </w:r>
            <w:r>
              <w:rPr>
                <w:rFonts w:ascii="Times New Roman" w:cs="Times New Roman" w:eastAsia="Times New Roman" w:hAnsi="Times New Roman"/>
                <w:sz w:val="20"/>
                <w:szCs w:val="20"/>
                <w:color w:val="231F20"/>
              </w:rPr>
              <w:t>............</w:t>
            </w:r>
          </w:p>
        </w:tc>
        <w:tc>
          <w:tcPr>
            <w:tcW w:w="6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ind w:left="20"/>
              <w:spacing w:after="0" w:line="223" w:lineRule="exact"/>
              <w:rPr>
                <w:sz w:val="20"/>
                <w:szCs w:val="20"/>
                <w:color w:val="auto"/>
              </w:rPr>
            </w:pPr>
            <w:r>
              <w:rPr>
                <w:rFonts w:ascii="Arial" w:cs="Arial" w:eastAsia="Arial" w:hAnsi="Arial"/>
                <w:sz w:val="20"/>
                <w:szCs w:val="20"/>
                <w:color w:val="231F20"/>
              </w:rPr>
              <w:t>$</w:t>
            </w:r>
          </w:p>
        </w:tc>
        <w:tc>
          <w:tcPr>
            <w:tcW w:w="480" w:type="dxa"/>
            <w:vAlign w:val="bottom"/>
            <w:tcBorders>
              <w:bottom w:val="single" w:sz="8" w:color="231F20"/>
            </w:tcBorders>
            <w:gridSpan w:val="2"/>
          </w:tcPr>
          <w:p>
            <w:pPr>
              <w:jc w:val="right"/>
              <w:spacing w:after="0" w:line="223" w:lineRule="exact"/>
              <w:rPr>
                <w:sz w:val="20"/>
                <w:szCs w:val="20"/>
                <w:color w:val="auto"/>
              </w:rPr>
            </w:pPr>
            <w:r>
              <w:rPr>
                <w:rFonts w:ascii="Arial" w:cs="Arial" w:eastAsia="Arial" w:hAnsi="Arial"/>
                <w:sz w:val="20"/>
                <w:szCs w:val="20"/>
                <w:color w:val="231F20"/>
              </w:rPr>
              <w:t>0.7</w:t>
            </w:r>
          </w:p>
        </w:tc>
        <w:tc>
          <w:tcPr>
            <w:tcW w:w="200" w:type="dxa"/>
            <w:vAlign w:val="bottom"/>
            <w:tcBorders>
              <w:bottom w:val="single" w:sz="8" w:color="231F20"/>
              <w:right w:val="single" w:sz="8" w:color="231F20"/>
            </w:tcBorders>
          </w:tcPr>
          <w:p>
            <w:pPr>
              <w:spacing w:after="0"/>
              <w:rPr>
                <w:sz w:val="21"/>
                <w:szCs w:val="21"/>
                <w:color w:val="auto"/>
              </w:rPr>
            </w:pPr>
          </w:p>
        </w:tc>
        <w:tc>
          <w:tcPr>
            <w:tcW w:w="340" w:type="dxa"/>
            <w:vAlign w:val="bottom"/>
            <w:tcBorders>
              <w:bottom w:val="single" w:sz="8" w:color="231F20"/>
            </w:tcBorders>
          </w:tcPr>
          <w:p>
            <w:pPr>
              <w:jc w:val="right"/>
              <w:ind w:right="67"/>
              <w:spacing w:after="0" w:line="223" w:lineRule="exact"/>
              <w:rPr>
                <w:sz w:val="20"/>
                <w:szCs w:val="20"/>
                <w:color w:val="auto"/>
              </w:rPr>
            </w:pPr>
            <w:r>
              <w:rPr>
                <w:rFonts w:ascii="Arial" w:cs="Arial" w:eastAsia="Arial" w:hAnsi="Arial"/>
                <w:sz w:val="20"/>
                <w:szCs w:val="20"/>
                <w:color w:val="231F20"/>
              </w:rPr>
              <w:t>$</w:t>
            </w:r>
          </w:p>
        </w:tc>
        <w:tc>
          <w:tcPr>
            <w:tcW w:w="680" w:type="dxa"/>
            <w:vAlign w:val="bottom"/>
            <w:tcBorders>
              <w:bottom w:val="single" w:sz="8" w:color="231F20"/>
            </w:tcBorders>
            <w:gridSpan w:val="2"/>
          </w:tcPr>
          <w:p>
            <w:pPr>
              <w:jc w:val="right"/>
              <w:ind w:right="24"/>
              <w:spacing w:after="0" w:line="223" w:lineRule="exact"/>
              <w:rPr>
                <w:sz w:val="20"/>
                <w:szCs w:val="20"/>
                <w:color w:val="auto"/>
              </w:rPr>
            </w:pPr>
            <w:r>
              <w:rPr>
                <w:rFonts w:ascii="Arial" w:cs="Arial" w:eastAsia="Arial" w:hAnsi="Arial"/>
                <w:sz w:val="20"/>
                <w:szCs w:val="20"/>
                <w:color w:val="231F20"/>
              </w:rPr>
              <w:t>(7.8)</w:t>
            </w:r>
          </w:p>
        </w:tc>
        <w:tc>
          <w:tcPr>
            <w:tcW w:w="1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w w:val="71"/>
              </w:rPr>
              <w:t>$</w:t>
            </w:r>
          </w:p>
        </w:tc>
        <w:tc>
          <w:tcPr>
            <w:tcW w:w="8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right w:val="single" w:sz="8" w:color="231F20"/>
            </w:tcBorders>
            <w:gridSpan w:val="2"/>
          </w:tcPr>
          <w:p>
            <w:pPr>
              <w:jc w:val="right"/>
              <w:ind w:right="47"/>
              <w:spacing w:after="0" w:line="223" w:lineRule="exact"/>
              <w:rPr>
                <w:sz w:val="20"/>
                <w:szCs w:val="20"/>
                <w:color w:val="auto"/>
              </w:rPr>
            </w:pPr>
            <w:r>
              <w:rPr>
                <w:rFonts w:ascii="Arial" w:cs="Arial" w:eastAsia="Arial" w:hAnsi="Arial"/>
                <w:sz w:val="20"/>
                <w:szCs w:val="20"/>
                <w:color w:val="231F20"/>
              </w:rPr>
              <w:t>(6.6)</w:t>
            </w:r>
          </w:p>
        </w:tc>
        <w:tc>
          <w:tcPr>
            <w:tcW w:w="4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gridSpan w:val="2"/>
          </w:tcPr>
          <w:p>
            <w:pPr>
              <w:jc w:val="right"/>
              <w:ind w:right="20"/>
              <w:spacing w:after="0" w:line="223" w:lineRule="exact"/>
              <w:rPr>
                <w:sz w:val="20"/>
                <w:szCs w:val="20"/>
                <w:color w:val="auto"/>
              </w:rPr>
            </w:pPr>
            <w:r>
              <w:rPr>
                <w:rFonts w:ascii="Arial" w:cs="Arial" w:eastAsia="Arial" w:hAnsi="Arial"/>
                <w:sz w:val="20"/>
                <w:szCs w:val="20"/>
                <w:color w:val="231F20"/>
              </w:rPr>
              <w:t>$</w:t>
            </w:r>
          </w:p>
        </w:tc>
        <w:tc>
          <w:tcPr>
            <w:tcW w:w="660" w:type="dxa"/>
            <w:vAlign w:val="bottom"/>
            <w:tcBorders>
              <w:bottom w:val="single" w:sz="8" w:color="231F20"/>
            </w:tcBorders>
            <w:gridSpan w:val="2"/>
          </w:tcPr>
          <w:p>
            <w:pPr>
              <w:jc w:val="right"/>
              <w:ind w:right="60"/>
              <w:spacing w:after="0" w:line="223" w:lineRule="exact"/>
              <w:rPr>
                <w:sz w:val="20"/>
                <w:szCs w:val="20"/>
                <w:color w:val="auto"/>
              </w:rPr>
            </w:pPr>
            <w:r>
              <w:rPr>
                <w:rFonts w:ascii="Arial" w:cs="Arial" w:eastAsia="Arial" w:hAnsi="Arial"/>
                <w:sz w:val="20"/>
                <w:szCs w:val="20"/>
                <w:color w:val="231F20"/>
              </w:rPr>
              <w:t>(1.7)</w:t>
            </w:r>
          </w:p>
        </w:tc>
        <w:tc>
          <w:tcPr>
            <w:tcW w:w="120" w:type="dxa"/>
            <w:vAlign w:val="bottom"/>
            <w:tcBorders>
              <w:bottom w:val="single" w:sz="8" w:color="231F20"/>
              <w:right w:val="single" w:sz="8" w:color="231F20"/>
            </w:tcBorders>
          </w:tcPr>
          <w:p>
            <w:pPr>
              <w:spacing w:after="0"/>
              <w:rPr>
                <w:sz w:val="21"/>
                <w:szCs w:val="21"/>
                <w:color w:val="auto"/>
              </w:rPr>
            </w:pPr>
          </w:p>
        </w:tc>
        <w:tc>
          <w:tcPr>
            <w:tcW w:w="2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640" w:type="dxa"/>
            <w:vAlign w:val="bottom"/>
            <w:tcBorders>
              <w:bottom w:val="single" w:sz="8" w:color="231F20"/>
            </w:tcBorders>
          </w:tcPr>
          <w:p>
            <w:pPr>
              <w:jc w:val="right"/>
              <w:ind w:right="23"/>
              <w:spacing w:after="0" w:line="223" w:lineRule="exact"/>
              <w:rPr>
                <w:sz w:val="20"/>
                <w:szCs w:val="20"/>
                <w:color w:val="auto"/>
              </w:rPr>
            </w:pPr>
            <w:r>
              <w:rPr>
                <w:rFonts w:ascii="Arial" w:cs="Arial" w:eastAsia="Arial" w:hAnsi="Arial"/>
                <w:sz w:val="20"/>
                <w:szCs w:val="20"/>
                <w:color w:val="231F20"/>
              </w:rPr>
              <w:t>(0.2)</w:t>
            </w:r>
          </w:p>
        </w:tc>
        <w:tc>
          <w:tcPr>
            <w:tcW w:w="240" w:type="dxa"/>
            <w:vAlign w:val="bottom"/>
            <w:tcBorders>
              <w:bottom w:val="single" w:sz="8" w:color="231F20"/>
            </w:tcBorders>
          </w:tcPr>
          <w:p>
            <w:pPr>
              <w:jc w:val="right"/>
              <w:ind w:right="7"/>
              <w:spacing w:after="0" w:line="223" w:lineRule="exact"/>
              <w:rPr>
                <w:sz w:val="20"/>
                <w:szCs w:val="20"/>
                <w:color w:val="auto"/>
              </w:rPr>
            </w:pPr>
            <w:r>
              <w:rPr>
                <w:rFonts w:ascii="Arial" w:cs="Arial" w:eastAsia="Arial" w:hAnsi="Arial"/>
                <w:sz w:val="20"/>
                <w:szCs w:val="20"/>
                <w:color w:val="231F20"/>
              </w:rPr>
              <w:t>$</w:t>
            </w:r>
          </w:p>
        </w:tc>
        <w:tc>
          <w:tcPr>
            <w:tcW w:w="5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(0.1)</w:t>
            </w:r>
          </w:p>
        </w:tc>
      </w:tr>
      <w:tr>
        <w:trPr>
          <w:trHeight w:val="419"/>
        </w:trPr>
        <w:tc>
          <w:tcPr>
            <w:tcW w:w="20" w:type="dxa"/>
            <w:vAlign w:val="bottom"/>
          </w:tcPr>
          <w:p>
            <w:pPr>
              <w:spacing w:after="0"/>
              <w:rPr>
                <w:sz w:val="24"/>
                <w:szCs w:val="24"/>
                <w:color w:val="auto"/>
              </w:rPr>
            </w:pPr>
          </w:p>
        </w:tc>
        <w:tc>
          <w:tcPr>
            <w:tcW w:w="380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60" w:type="dxa"/>
            <w:vAlign w:val="bottom"/>
            <w:tcBorders>
              <w:bottom w:val="single" w:sz="8" w:color="231F20"/>
            </w:tcBorders>
            <w:gridSpan w:val="5"/>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66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1920" w:type="dxa"/>
            <w:vAlign w:val="bottom"/>
            <w:tcBorders>
              <w:bottom w:val="single" w:sz="8" w:color="231F20"/>
            </w:tcBorders>
            <w:gridSpan w:val="6"/>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3800" w:type="dxa"/>
            <w:vAlign w:val="bottom"/>
            <w:tcBorders>
              <w:bottom w:val="single" w:sz="8" w:color="231F20"/>
            </w:tcBorders>
          </w:tcPr>
          <w:p>
            <w:pPr>
              <w:spacing w:after="0"/>
              <w:rPr>
                <w:sz w:val="14"/>
                <w:szCs w:val="14"/>
                <w:color w:val="auto"/>
              </w:rPr>
            </w:pPr>
          </w:p>
        </w:tc>
        <w:tc>
          <w:tcPr>
            <w:tcW w:w="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360" w:type="dxa"/>
            <w:vAlign w:val="bottom"/>
            <w:tcBorders>
              <w:bottom w:val="single" w:sz="8" w:color="231F20"/>
            </w:tcBorders>
          </w:tcPr>
          <w:p>
            <w:pPr>
              <w:spacing w:after="0"/>
              <w:rPr>
                <w:sz w:val="14"/>
                <w:szCs w:val="14"/>
                <w:color w:val="auto"/>
              </w:rPr>
            </w:pPr>
          </w:p>
        </w:tc>
        <w:tc>
          <w:tcPr>
            <w:tcW w:w="200" w:type="dxa"/>
            <w:vAlign w:val="bottom"/>
            <w:tcBorders>
              <w:bottom w:val="single" w:sz="8" w:color="231F20"/>
            </w:tcBorders>
          </w:tcPr>
          <w:p>
            <w:pPr>
              <w:spacing w:after="0"/>
              <w:rPr>
                <w:sz w:val="14"/>
                <w:szCs w:val="14"/>
                <w:color w:val="auto"/>
              </w:rPr>
            </w:pPr>
          </w:p>
        </w:tc>
        <w:tc>
          <w:tcPr>
            <w:tcW w:w="1260" w:type="dxa"/>
            <w:vAlign w:val="bottom"/>
            <w:tcBorders>
              <w:bottom w:val="single" w:sz="8" w:color="231F20"/>
            </w:tcBorders>
            <w:gridSpan w:val="5"/>
          </w:tcPr>
          <w:p>
            <w:pPr>
              <w:ind w:left="80"/>
              <w:spacing w:after="0" w:line="165" w:lineRule="exact"/>
              <w:rPr>
                <w:sz w:val="20"/>
                <w:szCs w:val="20"/>
                <w:color w:val="auto"/>
              </w:rPr>
            </w:pPr>
            <w:r>
              <w:rPr>
                <w:rFonts w:ascii="Arial" w:cs="Arial" w:eastAsia="Arial" w:hAnsi="Arial"/>
                <w:sz w:val="15"/>
                <w:szCs w:val="15"/>
                <w:color w:val="231F20"/>
              </w:rPr>
              <w:t>Pension Benefits</w:t>
            </w:r>
          </w:p>
        </w:tc>
        <w:tc>
          <w:tcPr>
            <w:tcW w:w="40" w:type="dxa"/>
            <w:vAlign w:val="bottom"/>
            <w:tcBorders>
              <w:bottom w:val="single" w:sz="8" w:color="231F20"/>
            </w:tcBorders>
          </w:tcPr>
          <w:p>
            <w:pPr>
              <w:spacing w:after="0"/>
              <w:rPr>
                <w:sz w:val="14"/>
                <w:szCs w:val="14"/>
                <w:color w:val="auto"/>
              </w:rPr>
            </w:pPr>
          </w:p>
        </w:tc>
        <w:tc>
          <w:tcPr>
            <w:tcW w:w="660" w:type="dxa"/>
            <w:vAlign w:val="bottom"/>
            <w:tcBorders>
              <w:bottom w:val="single" w:sz="8" w:color="231F20"/>
            </w:tcBorders>
          </w:tcPr>
          <w:p>
            <w:pPr>
              <w:spacing w:after="0"/>
              <w:rPr>
                <w:sz w:val="14"/>
                <w:szCs w:val="14"/>
                <w:color w:val="auto"/>
              </w:rPr>
            </w:pPr>
          </w:p>
        </w:tc>
        <w:tc>
          <w:tcPr>
            <w:tcW w:w="40" w:type="dxa"/>
            <w:vAlign w:val="bottom"/>
            <w:tcBorders>
              <w:bottom w:val="single" w:sz="8" w:color="231F20"/>
            </w:tcBorders>
          </w:tcPr>
          <w:p>
            <w:pPr>
              <w:spacing w:after="0"/>
              <w:rPr>
                <w:sz w:val="14"/>
                <w:szCs w:val="14"/>
                <w:color w:val="auto"/>
              </w:rPr>
            </w:pPr>
          </w:p>
        </w:tc>
        <w:tc>
          <w:tcPr>
            <w:tcW w:w="120" w:type="dxa"/>
            <w:vAlign w:val="bottom"/>
            <w:tcBorders>
              <w:bottom w:val="single" w:sz="8" w:color="231F20"/>
              <w:right w:val="single" w:sz="8" w:color="231F20"/>
            </w:tcBorders>
          </w:tcPr>
          <w:p>
            <w:pPr>
              <w:spacing w:after="0"/>
              <w:rPr>
                <w:sz w:val="14"/>
                <w:szCs w:val="14"/>
                <w:color w:val="auto"/>
              </w:rPr>
            </w:pPr>
          </w:p>
        </w:tc>
        <w:tc>
          <w:tcPr>
            <w:tcW w:w="40" w:type="dxa"/>
            <w:vAlign w:val="bottom"/>
            <w:tcBorders>
              <w:bottom w:val="single" w:sz="8" w:color="231F20"/>
            </w:tcBorders>
          </w:tcPr>
          <w:p>
            <w:pPr>
              <w:spacing w:after="0"/>
              <w:rPr>
                <w:sz w:val="14"/>
                <w:szCs w:val="14"/>
                <w:color w:val="auto"/>
              </w:rPr>
            </w:pPr>
          </w:p>
        </w:tc>
        <w:tc>
          <w:tcPr>
            <w:tcW w:w="1920" w:type="dxa"/>
            <w:vAlign w:val="bottom"/>
            <w:tcBorders>
              <w:bottom w:val="single" w:sz="8" w:color="231F20"/>
            </w:tcBorders>
            <w:gridSpan w:val="6"/>
          </w:tcPr>
          <w:p>
            <w:pPr>
              <w:jc w:val="right"/>
              <w:spacing w:after="0" w:line="165" w:lineRule="exact"/>
              <w:rPr>
                <w:sz w:val="20"/>
                <w:szCs w:val="20"/>
                <w:color w:val="auto"/>
              </w:rPr>
            </w:pPr>
            <w:r>
              <w:rPr>
                <w:rFonts w:ascii="Arial" w:cs="Arial" w:eastAsia="Arial" w:hAnsi="Arial"/>
                <w:sz w:val="15"/>
                <w:szCs w:val="15"/>
                <w:color w:val="231F20"/>
              </w:rPr>
              <w:t>Postretirement Benefits</w:t>
            </w:r>
          </w:p>
        </w:tc>
        <w:tc>
          <w:tcPr>
            <w:tcW w:w="520" w:type="dxa"/>
            <w:vAlign w:val="bottom"/>
            <w:tcBorders>
              <w:bottom w:val="single" w:sz="8" w:color="231F20"/>
            </w:tcBorders>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800" w:type="dxa"/>
            <w:vAlign w:val="bottom"/>
            <w:tcBorders>
              <w:bottom w:val="single" w:sz="8" w:color="231F20"/>
            </w:tcBorders>
          </w:tcPr>
          <w:p>
            <w:pPr>
              <w:spacing w:after="0"/>
              <w:rPr>
                <w:sz w:val="14"/>
                <w:szCs w:val="14"/>
                <w:color w:val="auto"/>
              </w:rPr>
            </w:pPr>
          </w:p>
        </w:tc>
        <w:tc>
          <w:tcPr>
            <w:tcW w:w="60" w:type="dxa"/>
            <w:vAlign w:val="bottom"/>
            <w:tcBorders>
              <w:bottom w:val="single" w:sz="8" w:color="231F20"/>
            </w:tcBorders>
          </w:tcPr>
          <w:p>
            <w:pPr>
              <w:spacing w:after="0"/>
              <w:rPr>
                <w:sz w:val="14"/>
                <w:szCs w:val="14"/>
                <w:color w:val="auto"/>
              </w:rPr>
            </w:pPr>
          </w:p>
        </w:tc>
        <w:tc>
          <w:tcPr>
            <w:tcW w:w="300" w:type="dxa"/>
            <w:vAlign w:val="bottom"/>
            <w:tcBorders>
              <w:bottom w:val="single" w:sz="8" w:color="231F20"/>
            </w:tcBorders>
          </w:tcPr>
          <w:p>
            <w:pPr>
              <w:spacing w:after="0"/>
              <w:rPr>
                <w:sz w:val="14"/>
                <w:szCs w:val="14"/>
                <w:color w:val="auto"/>
              </w:rPr>
            </w:pPr>
          </w:p>
        </w:tc>
        <w:tc>
          <w:tcPr>
            <w:tcW w:w="120" w:type="dxa"/>
            <w:vAlign w:val="bottom"/>
            <w:tcBorders>
              <w:bottom w:val="single" w:sz="8" w:color="231F20"/>
              <w:right w:val="single" w:sz="8" w:color="231F20"/>
            </w:tcBorders>
          </w:tcPr>
          <w:p>
            <w:pPr>
              <w:spacing w:after="0"/>
              <w:rPr>
                <w:sz w:val="14"/>
                <w:szCs w:val="14"/>
                <w:color w:val="auto"/>
              </w:rPr>
            </w:pPr>
          </w:p>
        </w:tc>
        <w:tc>
          <w:tcPr>
            <w:tcW w:w="900" w:type="dxa"/>
            <w:vAlign w:val="bottom"/>
            <w:tcBorders>
              <w:bottom w:val="single" w:sz="8" w:color="231F20"/>
            </w:tcBorders>
            <w:gridSpan w:val="3"/>
          </w:tcPr>
          <w:p>
            <w:pPr>
              <w:jc w:val="right"/>
              <w:ind w:right="127"/>
              <w:spacing w:after="0" w:line="165" w:lineRule="exact"/>
              <w:rPr>
                <w:sz w:val="20"/>
                <w:szCs w:val="20"/>
                <w:color w:val="auto"/>
              </w:rPr>
            </w:pPr>
            <w:r>
              <w:rPr>
                <w:rFonts w:ascii="Arial" w:cs="Arial" w:eastAsia="Arial" w:hAnsi="Arial"/>
                <w:sz w:val="15"/>
                <w:szCs w:val="15"/>
                <w:i w:val="1"/>
                <w:iCs w:val="1"/>
                <w:color w:val="231F20"/>
              </w:rPr>
              <w:t>2023</w:t>
            </w:r>
          </w:p>
        </w:tc>
        <w:tc>
          <w:tcPr>
            <w:tcW w:w="120" w:type="dxa"/>
            <w:vAlign w:val="bottom"/>
            <w:tcBorders>
              <w:bottom w:val="single" w:sz="8" w:color="231F20"/>
              <w:right w:val="single" w:sz="8" w:color="231F20"/>
            </w:tcBorders>
          </w:tcPr>
          <w:p>
            <w:pPr>
              <w:spacing w:after="0"/>
              <w:rPr>
                <w:sz w:val="14"/>
                <w:szCs w:val="14"/>
                <w:color w:val="auto"/>
              </w:rPr>
            </w:pPr>
          </w:p>
        </w:tc>
        <w:tc>
          <w:tcPr>
            <w:tcW w:w="560" w:type="dxa"/>
            <w:vAlign w:val="bottom"/>
            <w:tcBorders>
              <w:bottom w:val="single" w:sz="8" w:color="231F20"/>
            </w:tcBorders>
          </w:tcPr>
          <w:p>
            <w:pPr>
              <w:jc w:val="right"/>
              <w:spacing w:after="0" w:line="165" w:lineRule="exact"/>
              <w:rPr>
                <w:sz w:val="20"/>
                <w:szCs w:val="20"/>
                <w:color w:val="auto"/>
              </w:rPr>
            </w:pPr>
            <w:r>
              <w:rPr>
                <w:rFonts w:ascii="Arial" w:cs="Arial" w:eastAsia="Arial" w:hAnsi="Arial"/>
                <w:sz w:val="15"/>
                <w:szCs w:val="15"/>
                <w:color w:val="231F20"/>
              </w:rPr>
              <w:t>2022</w:t>
            </w:r>
          </w:p>
        </w:tc>
        <w:tc>
          <w:tcPr>
            <w:tcW w:w="160" w:type="dxa"/>
            <w:vAlign w:val="bottom"/>
            <w:tcBorders>
              <w:bottom w:val="single" w:sz="8" w:color="231F20"/>
            </w:tcBorders>
          </w:tcPr>
          <w:p>
            <w:pPr>
              <w:spacing w:after="0"/>
              <w:rPr>
                <w:sz w:val="14"/>
                <w:szCs w:val="14"/>
                <w:color w:val="auto"/>
              </w:rPr>
            </w:pPr>
          </w:p>
        </w:tc>
        <w:tc>
          <w:tcPr>
            <w:tcW w:w="80" w:type="dxa"/>
            <w:vAlign w:val="bottom"/>
            <w:tcBorders>
              <w:bottom w:val="single" w:sz="8" w:color="231F20"/>
            </w:tcBorders>
          </w:tcPr>
          <w:p>
            <w:pPr>
              <w:spacing w:after="0"/>
              <w:rPr>
                <w:sz w:val="14"/>
                <w:szCs w:val="14"/>
                <w:color w:val="auto"/>
              </w:rPr>
            </w:pPr>
          </w:p>
        </w:tc>
        <w:tc>
          <w:tcPr>
            <w:tcW w:w="700" w:type="dxa"/>
            <w:vAlign w:val="bottom"/>
            <w:tcBorders>
              <w:bottom w:val="single" w:sz="8" w:color="231F20"/>
            </w:tcBorders>
            <w:gridSpan w:val="2"/>
          </w:tcPr>
          <w:p>
            <w:pPr>
              <w:jc w:val="right"/>
              <w:ind w:right="87"/>
              <w:spacing w:after="0" w:line="165" w:lineRule="exact"/>
              <w:rPr>
                <w:sz w:val="20"/>
                <w:szCs w:val="20"/>
                <w:color w:val="auto"/>
              </w:rPr>
            </w:pPr>
            <w:r>
              <w:rPr>
                <w:rFonts w:ascii="Arial" w:cs="Arial" w:eastAsia="Arial" w:hAnsi="Arial"/>
                <w:sz w:val="15"/>
                <w:szCs w:val="15"/>
                <w:color w:val="231F20"/>
              </w:rPr>
              <w:t>2021</w:t>
            </w:r>
          </w:p>
        </w:tc>
        <w:tc>
          <w:tcPr>
            <w:tcW w:w="40" w:type="dxa"/>
            <w:vAlign w:val="bottom"/>
            <w:tcBorders>
              <w:bottom w:val="single" w:sz="8" w:color="231F20"/>
            </w:tcBorders>
          </w:tcPr>
          <w:p>
            <w:pPr>
              <w:spacing w:after="0"/>
              <w:rPr>
                <w:sz w:val="14"/>
                <w:szCs w:val="14"/>
                <w:color w:val="auto"/>
              </w:rPr>
            </w:pPr>
          </w:p>
        </w:tc>
        <w:tc>
          <w:tcPr>
            <w:tcW w:w="120" w:type="dxa"/>
            <w:vAlign w:val="bottom"/>
            <w:tcBorders>
              <w:bottom w:val="single" w:sz="8" w:color="231F20"/>
              <w:right w:val="single" w:sz="8" w:color="231F20"/>
            </w:tcBorders>
          </w:tcPr>
          <w:p>
            <w:pPr>
              <w:spacing w:after="0"/>
              <w:rPr>
                <w:sz w:val="14"/>
                <w:szCs w:val="14"/>
                <w:color w:val="auto"/>
              </w:rPr>
            </w:pPr>
          </w:p>
        </w:tc>
        <w:tc>
          <w:tcPr>
            <w:tcW w:w="40" w:type="dxa"/>
            <w:vAlign w:val="bottom"/>
            <w:tcBorders>
              <w:bottom w:val="single" w:sz="8" w:color="231F20"/>
            </w:tcBorders>
          </w:tcPr>
          <w:p>
            <w:pPr>
              <w:spacing w:after="0"/>
              <w:rPr>
                <w:sz w:val="14"/>
                <w:szCs w:val="14"/>
                <w:color w:val="auto"/>
              </w:rPr>
            </w:pPr>
          </w:p>
        </w:tc>
        <w:tc>
          <w:tcPr>
            <w:tcW w:w="600" w:type="dxa"/>
            <w:vAlign w:val="bottom"/>
            <w:tcBorders>
              <w:bottom w:val="single" w:sz="8" w:color="231F20"/>
            </w:tcBorders>
          </w:tcPr>
          <w:p>
            <w:pPr>
              <w:jc w:val="right"/>
              <w:ind w:right="45"/>
              <w:spacing w:after="0" w:line="165" w:lineRule="exact"/>
              <w:rPr>
                <w:sz w:val="20"/>
                <w:szCs w:val="20"/>
                <w:color w:val="auto"/>
              </w:rPr>
            </w:pPr>
            <w:r>
              <w:rPr>
                <w:rFonts w:ascii="Arial" w:cs="Arial" w:eastAsia="Arial" w:hAnsi="Arial"/>
                <w:sz w:val="15"/>
                <w:szCs w:val="15"/>
                <w:i w:val="1"/>
                <w:iCs w:val="1"/>
                <w:color w:val="231F20"/>
              </w:rPr>
              <w:t>2023</w:t>
            </w:r>
          </w:p>
        </w:tc>
        <w:tc>
          <w:tcPr>
            <w:tcW w:w="60" w:type="dxa"/>
            <w:vAlign w:val="bottom"/>
            <w:tcBorders>
              <w:bottom w:val="single" w:sz="8" w:color="231F20"/>
            </w:tcBorders>
          </w:tcPr>
          <w:p>
            <w:pPr>
              <w:spacing w:after="0"/>
              <w:rPr>
                <w:sz w:val="14"/>
                <w:szCs w:val="14"/>
                <w:color w:val="auto"/>
              </w:rPr>
            </w:pPr>
          </w:p>
        </w:tc>
        <w:tc>
          <w:tcPr>
            <w:tcW w:w="120" w:type="dxa"/>
            <w:vAlign w:val="bottom"/>
            <w:tcBorders>
              <w:bottom w:val="single" w:sz="8" w:color="231F20"/>
              <w:right w:val="single" w:sz="8" w:color="231F20"/>
            </w:tcBorders>
          </w:tcPr>
          <w:p>
            <w:pPr>
              <w:spacing w:after="0"/>
              <w:rPr>
                <w:sz w:val="14"/>
                <w:szCs w:val="14"/>
                <w:color w:val="auto"/>
              </w:rPr>
            </w:pPr>
          </w:p>
        </w:tc>
        <w:tc>
          <w:tcPr>
            <w:tcW w:w="260" w:type="dxa"/>
            <w:vAlign w:val="bottom"/>
            <w:tcBorders>
              <w:bottom w:val="single" w:sz="8" w:color="231F20"/>
            </w:tcBorders>
          </w:tcPr>
          <w:p>
            <w:pPr>
              <w:spacing w:after="0"/>
              <w:rPr>
                <w:sz w:val="14"/>
                <w:szCs w:val="14"/>
                <w:color w:val="auto"/>
              </w:rPr>
            </w:pPr>
          </w:p>
        </w:tc>
        <w:tc>
          <w:tcPr>
            <w:tcW w:w="640" w:type="dxa"/>
            <w:vAlign w:val="bottom"/>
            <w:tcBorders>
              <w:bottom w:val="single" w:sz="8" w:color="231F20"/>
            </w:tcBorders>
          </w:tcPr>
          <w:p>
            <w:pPr>
              <w:jc w:val="right"/>
              <w:ind w:right="123"/>
              <w:spacing w:after="0" w:line="165" w:lineRule="exact"/>
              <w:rPr>
                <w:sz w:val="20"/>
                <w:szCs w:val="20"/>
                <w:color w:val="auto"/>
              </w:rPr>
            </w:pPr>
            <w:r>
              <w:rPr>
                <w:rFonts w:ascii="Arial" w:cs="Arial" w:eastAsia="Arial" w:hAnsi="Arial"/>
                <w:sz w:val="15"/>
                <w:szCs w:val="15"/>
                <w:color w:val="231F20"/>
              </w:rPr>
              <w:t>2022</w:t>
            </w:r>
          </w:p>
        </w:tc>
        <w:tc>
          <w:tcPr>
            <w:tcW w:w="760" w:type="dxa"/>
            <w:vAlign w:val="bottom"/>
            <w:tcBorders>
              <w:bottom w:val="single" w:sz="8" w:color="231F20"/>
            </w:tcBorders>
            <w:gridSpan w:val="2"/>
          </w:tcPr>
          <w:p>
            <w:pPr>
              <w:jc w:val="right"/>
              <w:ind w:right="140"/>
              <w:spacing w:after="0" w:line="165" w:lineRule="exact"/>
              <w:rPr>
                <w:sz w:val="20"/>
                <w:szCs w:val="20"/>
                <w:color w:val="auto"/>
              </w:rPr>
            </w:pPr>
            <w:r>
              <w:rPr>
                <w:rFonts w:ascii="Arial" w:cs="Arial" w:eastAsia="Arial" w:hAnsi="Arial"/>
                <w:sz w:val="15"/>
                <w:szCs w:val="15"/>
                <w:color w:val="231F20"/>
              </w:rPr>
              <w:t>2021</w:t>
            </w:r>
          </w:p>
        </w:tc>
      </w:tr>
      <w:tr>
        <w:trPr>
          <w:trHeight w:val="203"/>
        </w:trPr>
        <w:tc>
          <w:tcPr>
            <w:tcW w:w="20" w:type="dxa"/>
            <w:vAlign w:val="bottom"/>
          </w:tcPr>
          <w:p>
            <w:pPr>
              <w:spacing w:after="0"/>
              <w:rPr>
                <w:sz w:val="17"/>
                <w:szCs w:val="17"/>
                <w:color w:val="auto"/>
              </w:rPr>
            </w:pPr>
          </w:p>
        </w:tc>
        <w:tc>
          <w:tcPr>
            <w:tcW w:w="3860" w:type="dxa"/>
            <w:vAlign w:val="bottom"/>
            <w:gridSpan w:val="2"/>
          </w:tcPr>
          <w:p>
            <w:pPr>
              <w:ind w:left="140"/>
              <w:spacing w:after="0" w:line="204" w:lineRule="exact"/>
              <w:rPr>
                <w:sz w:val="20"/>
                <w:szCs w:val="20"/>
                <w:color w:val="auto"/>
              </w:rPr>
            </w:pPr>
            <w:r>
              <w:rPr>
                <w:rFonts w:ascii="Arial" w:cs="Arial" w:eastAsia="Arial" w:hAnsi="Arial"/>
                <w:sz w:val="20"/>
                <w:szCs w:val="20"/>
                <w:color w:val="231F20"/>
              </w:rPr>
              <w:t>Weighted-Average Assumptions Used to</w:t>
            </w:r>
          </w:p>
        </w:tc>
        <w:tc>
          <w:tcPr>
            <w:tcW w:w="300" w:type="dxa"/>
            <w:vAlign w:val="bottom"/>
          </w:tcPr>
          <w:p>
            <w:pPr>
              <w:spacing w:after="0"/>
              <w:rPr>
                <w:sz w:val="17"/>
                <w:szCs w:val="17"/>
                <w:color w:val="auto"/>
              </w:rPr>
            </w:pPr>
          </w:p>
        </w:tc>
        <w:tc>
          <w:tcPr>
            <w:tcW w:w="120" w:type="dxa"/>
            <w:vAlign w:val="bottom"/>
            <w:tcBorders>
              <w:right w:val="single" w:sz="8" w:color="231F20"/>
            </w:tcBorders>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right w:val="single" w:sz="8" w:color="231F20"/>
            </w:tcBorders>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231F20"/>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right w:val="single" w:sz="8" w:color="231F20"/>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3860" w:type="dxa"/>
            <w:vAlign w:val="bottom"/>
            <w:gridSpan w:val="2"/>
          </w:tcPr>
          <w:p>
            <w:pPr>
              <w:ind w:left="300"/>
              <w:spacing w:after="0"/>
              <w:rPr>
                <w:sz w:val="20"/>
                <w:szCs w:val="20"/>
                <w:color w:val="auto"/>
              </w:rPr>
            </w:pPr>
            <w:r>
              <w:rPr>
                <w:rFonts w:ascii="Arial" w:cs="Arial" w:eastAsia="Arial" w:hAnsi="Arial"/>
                <w:sz w:val="20"/>
                <w:szCs w:val="20"/>
                <w:color w:val="231F20"/>
              </w:rPr>
              <w:t>Determine Benefit Obligations:</w:t>
            </w:r>
          </w:p>
        </w:tc>
        <w:tc>
          <w:tcPr>
            <w:tcW w:w="30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4160" w:type="dxa"/>
            <w:vAlign w:val="bottom"/>
            <w:gridSpan w:val="3"/>
          </w:tcPr>
          <w:p>
            <w:pPr>
              <w:ind w:left="560"/>
              <w:spacing w:after="0"/>
              <w:rPr>
                <w:sz w:val="20"/>
                <w:szCs w:val="20"/>
                <w:color w:val="auto"/>
              </w:rPr>
            </w:pPr>
            <w:r>
              <w:rPr>
                <w:rFonts w:ascii="Arial" w:cs="Arial" w:eastAsia="Arial" w:hAnsi="Arial"/>
                <w:sz w:val="20"/>
                <w:szCs w:val="20"/>
                <w:color w:val="231F20"/>
                <w:w w:val="97"/>
              </w:rPr>
              <w:t xml:space="preserve">Discount rate </w:t>
            </w:r>
            <w:r>
              <w:rPr>
                <w:rFonts w:ascii="Times New Roman" w:cs="Times New Roman" w:eastAsia="Times New Roman" w:hAnsi="Times New Roman"/>
                <w:sz w:val="20"/>
                <w:szCs w:val="20"/>
                <w:color w:val="231F20"/>
                <w:w w:val="97"/>
              </w:rPr>
              <w:t>.................................................</w:t>
            </w:r>
          </w:p>
        </w:tc>
        <w:tc>
          <w:tcPr>
            <w:tcW w:w="12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20"/>
                <w:szCs w:val="20"/>
                <w:color w:val="231F20"/>
              </w:rPr>
              <w:t>5.0%</w:t>
            </w:r>
          </w:p>
        </w:tc>
        <w:tc>
          <w:tcPr>
            <w:tcW w:w="120" w:type="dxa"/>
            <w:vAlign w:val="bottom"/>
            <w:tcBorders>
              <w:right w:val="single" w:sz="8" w:color="231F20"/>
            </w:tcBorders>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20"/>
                <w:szCs w:val="20"/>
                <w:color w:val="231F20"/>
              </w:rPr>
              <w:t>5.2%</w:t>
            </w: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231F20"/>
              </w:rPr>
              <w:t>2.9%</w:t>
            </w:r>
          </w:p>
        </w:tc>
        <w:tc>
          <w:tcPr>
            <w:tcW w:w="120" w:type="dxa"/>
            <w:vAlign w:val="bottom"/>
            <w:tcBorders>
              <w:right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20"/>
                <w:szCs w:val="20"/>
                <w:color w:val="231F20"/>
              </w:rPr>
              <w:t>6.0%</w:t>
            </w:r>
          </w:p>
        </w:tc>
        <w:tc>
          <w:tcPr>
            <w:tcW w:w="120" w:type="dxa"/>
            <w:vAlign w:val="bottom"/>
            <w:tcBorders>
              <w:right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231F20"/>
              </w:rPr>
              <w:t>5.8%</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231F20"/>
                <w:w w:val="96"/>
              </w:rPr>
              <w:t>3.9%</w:t>
            </w:r>
          </w:p>
        </w:tc>
      </w:tr>
      <w:tr>
        <w:trPr>
          <w:trHeight w:val="233"/>
        </w:trPr>
        <w:tc>
          <w:tcPr>
            <w:tcW w:w="20" w:type="dxa"/>
            <w:vAlign w:val="bottom"/>
          </w:tcPr>
          <w:p>
            <w:pPr>
              <w:spacing w:after="0"/>
              <w:rPr>
                <w:sz w:val="20"/>
                <w:szCs w:val="20"/>
                <w:color w:val="auto"/>
              </w:rPr>
            </w:pPr>
          </w:p>
        </w:tc>
        <w:tc>
          <w:tcPr>
            <w:tcW w:w="3860" w:type="dxa"/>
            <w:vAlign w:val="bottom"/>
            <w:gridSpan w:val="2"/>
          </w:tcPr>
          <w:p>
            <w:pPr>
              <w:ind w:left="140"/>
              <w:spacing w:after="0"/>
              <w:rPr>
                <w:sz w:val="20"/>
                <w:szCs w:val="20"/>
                <w:color w:val="auto"/>
              </w:rPr>
            </w:pPr>
            <w:r>
              <w:rPr>
                <w:rFonts w:ascii="Arial" w:cs="Arial" w:eastAsia="Arial" w:hAnsi="Arial"/>
                <w:sz w:val="20"/>
                <w:szCs w:val="20"/>
                <w:color w:val="231F20"/>
              </w:rPr>
              <w:t>Weighted-Average Assumptions Used to</w:t>
            </w:r>
          </w:p>
        </w:tc>
        <w:tc>
          <w:tcPr>
            <w:tcW w:w="30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1"/>
        </w:trPr>
        <w:tc>
          <w:tcPr>
            <w:tcW w:w="20" w:type="dxa"/>
            <w:vAlign w:val="bottom"/>
          </w:tcPr>
          <w:p>
            <w:pPr>
              <w:spacing w:after="0"/>
              <w:rPr>
                <w:sz w:val="20"/>
                <w:szCs w:val="20"/>
                <w:color w:val="auto"/>
              </w:rPr>
            </w:pPr>
          </w:p>
        </w:tc>
        <w:tc>
          <w:tcPr>
            <w:tcW w:w="3860" w:type="dxa"/>
            <w:vAlign w:val="bottom"/>
            <w:gridSpan w:val="2"/>
          </w:tcPr>
          <w:p>
            <w:pPr>
              <w:ind w:left="300"/>
              <w:spacing w:after="0"/>
              <w:rPr>
                <w:sz w:val="20"/>
                <w:szCs w:val="20"/>
                <w:color w:val="auto"/>
              </w:rPr>
            </w:pPr>
            <w:r>
              <w:rPr>
                <w:rFonts w:ascii="Arial" w:cs="Arial" w:eastAsia="Arial" w:hAnsi="Arial"/>
                <w:sz w:val="20"/>
                <w:szCs w:val="20"/>
                <w:color w:val="231F20"/>
              </w:rPr>
              <w:t>Determine Net Cost:</w:t>
            </w:r>
          </w:p>
        </w:tc>
        <w:tc>
          <w:tcPr>
            <w:tcW w:w="30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4160" w:type="dxa"/>
            <w:vAlign w:val="bottom"/>
            <w:gridSpan w:val="3"/>
          </w:tcPr>
          <w:p>
            <w:pPr>
              <w:ind w:left="560"/>
              <w:spacing w:after="0"/>
              <w:rPr>
                <w:sz w:val="20"/>
                <w:szCs w:val="20"/>
                <w:color w:val="auto"/>
              </w:rPr>
            </w:pPr>
            <w:r>
              <w:rPr>
                <w:rFonts w:ascii="Arial" w:cs="Arial" w:eastAsia="Arial" w:hAnsi="Arial"/>
                <w:sz w:val="20"/>
                <w:szCs w:val="20"/>
                <w:color w:val="231F20"/>
                <w:w w:val="97"/>
              </w:rPr>
              <w:t xml:space="preserve">Discount rate </w:t>
            </w:r>
            <w:r>
              <w:rPr>
                <w:rFonts w:ascii="Times New Roman" w:cs="Times New Roman" w:eastAsia="Times New Roman" w:hAnsi="Times New Roman"/>
                <w:sz w:val="20"/>
                <w:szCs w:val="20"/>
                <w:color w:val="231F20"/>
                <w:w w:val="97"/>
              </w:rPr>
              <w:t>.................................................</w:t>
            </w:r>
          </w:p>
        </w:tc>
        <w:tc>
          <w:tcPr>
            <w:tcW w:w="12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20"/>
                <w:szCs w:val="20"/>
                <w:color w:val="231F20"/>
              </w:rPr>
              <w:t>5.2%</w:t>
            </w:r>
          </w:p>
        </w:tc>
        <w:tc>
          <w:tcPr>
            <w:tcW w:w="120" w:type="dxa"/>
            <w:vAlign w:val="bottom"/>
            <w:tcBorders>
              <w:right w:val="single" w:sz="8" w:color="231F20"/>
            </w:tcBorders>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20"/>
                <w:szCs w:val="20"/>
                <w:color w:val="231F20"/>
              </w:rPr>
              <w:t>2.9%</w:t>
            </w: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231F20"/>
              </w:rPr>
              <w:t>2.6%</w:t>
            </w:r>
          </w:p>
        </w:tc>
        <w:tc>
          <w:tcPr>
            <w:tcW w:w="120" w:type="dxa"/>
            <w:vAlign w:val="bottom"/>
            <w:tcBorders>
              <w:right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20"/>
                <w:szCs w:val="20"/>
                <w:color w:val="231F20"/>
              </w:rPr>
              <w:t>5.8%</w:t>
            </w:r>
          </w:p>
        </w:tc>
        <w:tc>
          <w:tcPr>
            <w:tcW w:w="120" w:type="dxa"/>
            <w:vAlign w:val="bottom"/>
            <w:tcBorders>
              <w:right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231F20"/>
              </w:rPr>
              <w:t>3.9%</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231F20"/>
                <w:w w:val="96"/>
              </w:rPr>
              <w:t>5.9%</w:t>
            </w:r>
          </w:p>
        </w:tc>
      </w:tr>
      <w:tr>
        <w:trPr>
          <w:trHeight w:val="231"/>
        </w:trPr>
        <w:tc>
          <w:tcPr>
            <w:tcW w:w="20" w:type="dxa"/>
            <w:vAlign w:val="bottom"/>
          </w:tcPr>
          <w:p>
            <w:pPr>
              <w:spacing w:after="0"/>
              <w:rPr>
                <w:sz w:val="20"/>
                <w:szCs w:val="20"/>
                <w:color w:val="auto"/>
              </w:rPr>
            </w:pPr>
          </w:p>
        </w:tc>
        <w:tc>
          <w:tcPr>
            <w:tcW w:w="4280" w:type="dxa"/>
            <w:vAlign w:val="bottom"/>
            <w:tcBorders>
              <w:right w:val="single" w:sz="8" w:color="231F20"/>
            </w:tcBorders>
            <w:gridSpan w:val="4"/>
          </w:tcPr>
          <w:p>
            <w:pPr>
              <w:ind w:left="560"/>
              <w:spacing w:after="0"/>
              <w:rPr>
                <w:sz w:val="20"/>
                <w:szCs w:val="20"/>
                <w:color w:val="auto"/>
              </w:rPr>
            </w:pPr>
            <w:r>
              <w:rPr>
                <w:rFonts w:ascii="Arial" w:cs="Arial" w:eastAsia="Arial" w:hAnsi="Arial"/>
                <w:sz w:val="20"/>
                <w:szCs w:val="20"/>
                <w:color w:val="231F20"/>
              </w:rPr>
              <w:t>Expected long-term rate of return on plan</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right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3"/>
        </w:trPr>
        <w:tc>
          <w:tcPr>
            <w:tcW w:w="20" w:type="dxa"/>
            <w:vAlign w:val="bottom"/>
          </w:tcPr>
          <w:p>
            <w:pPr>
              <w:spacing w:after="0"/>
              <w:rPr>
                <w:sz w:val="22"/>
                <w:szCs w:val="22"/>
                <w:color w:val="auto"/>
              </w:rPr>
            </w:pPr>
          </w:p>
        </w:tc>
        <w:tc>
          <w:tcPr>
            <w:tcW w:w="4160" w:type="dxa"/>
            <w:vAlign w:val="bottom"/>
            <w:tcBorders>
              <w:bottom w:val="single" w:sz="8" w:color="231F20"/>
            </w:tcBorders>
            <w:gridSpan w:val="3"/>
          </w:tcPr>
          <w:p>
            <w:pPr>
              <w:ind w:left="560"/>
              <w:spacing w:after="0"/>
              <w:rPr>
                <w:sz w:val="20"/>
                <w:szCs w:val="20"/>
                <w:color w:val="auto"/>
              </w:rPr>
            </w:pPr>
            <w:r>
              <w:rPr>
                <w:rFonts w:ascii="Arial" w:cs="Arial" w:eastAsia="Arial" w:hAnsi="Arial"/>
                <w:sz w:val="20"/>
                <w:szCs w:val="20"/>
                <w:color w:val="231F20"/>
                <w:w w:val="97"/>
              </w:rPr>
              <w:t xml:space="preserve">assets </w:t>
            </w:r>
            <w:r>
              <w:rPr>
                <w:rFonts w:ascii="Times New Roman" w:cs="Times New Roman" w:eastAsia="Times New Roman" w:hAnsi="Times New Roman"/>
                <w:sz w:val="20"/>
                <w:szCs w:val="20"/>
                <w:color w:val="231F20"/>
                <w:w w:val="97"/>
              </w:rPr>
              <w:t>.............................................................</w:t>
            </w:r>
          </w:p>
        </w:tc>
        <w:tc>
          <w:tcPr>
            <w:tcW w:w="120" w:type="dxa"/>
            <w:vAlign w:val="bottom"/>
            <w:tcBorders>
              <w:bottom w:val="single" w:sz="8" w:color="231F20"/>
              <w:right w:val="single" w:sz="8" w:color="231F20"/>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gridSpan w:val="2"/>
          </w:tcPr>
          <w:p>
            <w:pPr>
              <w:jc w:val="right"/>
              <w:spacing w:after="0"/>
              <w:rPr>
                <w:sz w:val="20"/>
                <w:szCs w:val="20"/>
                <w:color w:val="auto"/>
              </w:rPr>
            </w:pPr>
            <w:r>
              <w:rPr>
                <w:rFonts w:ascii="Arial" w:cs="Arial" w:eastAsia="Arial" w:hAnsi="Arial"/>
                <w:sz w:val="20"/>
                <w:szCs w:val="20"/>
                <w:color w:val="231F20"/>
              </w:rPr>
              <w:t>6.1%</w:t>
            </w:r>
          </w:p>
        </w:tc>
        <w:tc>
          <w:tcPr>
            <w:tcW w:w="120" w:type="dxa"/>
            <w:vAlign w:val="bottom"/>
            <w:tcBorders>
              <w:bottom w:val="single" w:sz="8" w:color="231F20"/>
              <w:right w:val="single" w:sz="8" w:color="231F20"/>
            </w:tcBorders>
          </w:tcPr>
          <w:p>
            <w:pPr>
              <w:spacing w:after="0"/>
              <w:rPr>
                <w:sz w:val="22"/>
                <w:szCs w:val="22"/>
                <w:color w:val="auto"/>
              </w:rPr>
            </w:pPr>
          </w:p>
        </w:tc>
        <w:tc>
          <w:tcPr>
            <w:tcW w:w="800" w:type="dxa"/>
            <w:vAlign w:val="bottom"/>
            <w:tcBorders>
              <w:bottom w:val="single" w:sz="8" w:color="231F20"/>
            </w:tcBorders>
            <w:gridSpan w:val="3"/>
          </w:tcPr>
          <w:p>
            <w:pPr>
              <w:jc w:val="right"/>
              <w:ind w:right="100"/>
              <w:spacing w:after="0"/>
              <w:rPr>
                <w:sz w:val="20"/>
                <w:szCs w:val="20"/>
                <w:color w:val="auto"/>
              </w:rPr>
            </w:pPr>
            <w:r>
              <w:rPr>
                <w:rFonts w:ascii="Arial" w:cs="Arial" w:eastAsia="Arial" w:hAnsi="Arial"/>
                <w:sz w:val="20"/>
                <w:szCs w:val="20"/>
                <w:color w:val="231F20"/>
              </w:rPr>
              <w:t>4.4%</w:t>
            </w:r>
          </w:p>
        </w:tc>
        <w:tc>
          <w:tcPr>
            <w:tcW w:w="740" w:type="dxa"/>
            <w:vAlign w:val="bottom"/>
            <w:tcBorders>
              <w:bottom w:val="single" w:sz="8" w:color="231F20"/>
            </w:tcBorders>
            <w:gridSpan w:val="3"/>
          </w:tcPr>
          <w:p>
            <w:pPr>
              <w:jc w:val="right"/>
              <w:ind w:right="40"/>
              <w:spacing w:after="0"/>
              <w:rPr>
                <w:sz w:val="20"/>
                <w:szCs w:val="20"/>
                <w:color w:val="auto"/>
              </w:rPr>
            </w:pPr>
            <w:r>
              <w:rPr>
                <w:rFonts w:ascii="Arial" w:cs="Arial" w:eastAsia="Arial" w:hAnsi="Arial"/>
                <w:sz w:val="20"/>
                <w:szCs w:val="20"/>
                <w:color w:val="231F20"/>
              </w:rPr>
              <w:t>4.4%</w:t>
            </w:r>
          </w:p>
        </w:tc>
        <w:tc>
          <w:tcPr>
            <w:tcW w:w="120" w:type="dxa"/>
            <w:vAlign w:val="bottom"/>
            <w:tcBorders>
              <w:bottom w:val="single" w:sz="8" w:color="231F20"/>
              <w:right w:val="single" w:sz="8" w:color="231F20"/>
            </w:tcBorders>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660" w:type="dxa"/>
            <w:vAlign w:val="bottom"/>
            <w:tcBorders>
              <w:bottom w:val="single" w:sz="8" w:color="231F20"/>
            </w:tcBorders>
            <w:gridSpan w:val="2"/>
          </w:tcPr>
          <w:p>
            <w:pPr>
              <w:jc w:val="right"/>
              <w:ind w:right="200"/>
              <w:spacing w:after="0"/>
              <w:rPr>
                <w:sz w:val="20"/>
                <w:szCs w:val="20"/>
                <w:color w:val="auto"/>
              </w:rPr>
            </w:pPr>
            <w:r>
              <w:rPr>
                <w:rFonts w:ascii="Arial" w:cs="Arial" w:eastAsia="Arial" w:hAnsi="Arial"/>
                <w:sz w:val="20"/>
                <w:szCs w:val="20"/>
                <w:color w:val="231F20"/>
              </w:rPr>
              <w:t>—</w:t>
            </w:r>
          </w:p>
        </w:tc>
        <w:tc>
          <w:tcPr>
            <w:tcW w:w="120" w:type="dxa"/>
            <w:vAlign w:val="bottom"/>
            <w:tcBorders>
              <w:bottom w:val="single" w:sz="8" w:color="231F20"/>
              <w:right w:val="single" w:sz="8" w:color="231F20"/>
            </w:tcBorders>
          </w:tcPr>
          <w:p>
            <w:pPr>
              <w:spacing w:after="0"/>
              <w:rPr>
                <w:sz w:val="22"/>
                <w:szCs w:val="22"/>
                <w:color w:val="auto"/>
              </w:rPr>
            </w:pPr>
          </w:p>
        </w:tc>
        <w:tc>
          <w:tcPr>
            <w:tcW w:w="260" w:type="dxa"/>
            <w:vAlign w:val="bottom"/>
            <w:tcBorders>
              <w:bottom w:val="single" w:sz="8" w:color="231F20"/>
            </w:tcBorders>
          </w:tcPr>
          <w:p>
            <w:pPr>
              <w:spacing w:after="0"/>
              <w:rPr>
                <w:sz w:val="22"/>
                <w:szCs w:val="22"/>
                <w:color w:val="auto"/>
              </w:rPr>
            </w:pPr>
          </w:p>
        </w:tc>
        <w:tc>
          <w:tcPr>
            <w:tcW w:w="640" w:type="dxa"/>
            <w:vAlign w:val="bottom"/>
            <w:tcBorders>
              <w:bottom w:val="single" w:sz="8" w:color="231F20"/>
            </w:tcBorders>
          </w:tcPr>
          <w:p>
            <w:pPr>
              <w:jc w:val="right"/>
              <w:ind w:right="123"/>
              <w:spacing w:after="0"/>
              <w:rPr>
                <w:sz w:val="20"/>
                <w:szCs w:val="20"/>
                <w:color w:val="auto"/>
              </w:rPr>
            </w:pPr>
            <w:r>
              <w:rPr>
                <w:rFonts w:ascii="Arial" w:cs="Arial" w:eastAsia="Arial" w:hAnsi="Arial"/>
                <w:sz w:val="20"/>
                <w:szCs w:val="20"/>
                <w:color w:val="231F20"/>
              </w:rPr>
              <w:t>—</w:t>
            </w:r>
          </w:p>
        </w:tc>
        <w:tc>
          <w:tcPr>
            <w:tcW w:w="240" w:type="dxa"/>
            <w:vAlign w:val="bottom"/>
            <w:tcBorders>
              <w:bottom w:val="single" w:sz="8" w:color="231F20"/>
            </w:tcBorders>
          </w:tcPr>
          <w:p>
            <w:pPr>
              <w:spacing w:after="0"/>
              <w:rPr>
                <w:sz w:val="22"/>
                <w:szCs w:val="22"/>
                <w:color w:val="auto"/>
              </w:rPr>
            </w:pPr>
          </w:p>
        </w:tc>
        <w:tc>
          <w:tcPr>
            <w:tcW w:w="520" w:type="dxa"/>
            <w:vAlign w:val="bottom"/>
            <w:tcBorders>
              <w:bottom w:val="single" w:sz="8" w:color="231F20"/>
            </w:tcBorders>
          </w:tcPr>
          <w:p>
            <w:pPr>
              <w:jc w:val="right"/>
              <w:ind w:right="140"/>
              <w:spacing w:after="0"/>
              <w:rPr>
                <w:sz w:val="20"/>
                <w:szCs w:val="20"/>
                <w:color w:val="auto"/>
              </w:rPr>
            </w:pPr>
            <w:r>
              <w:rPr>
                <w:rFonts w:ascii="Arial" w:cs="Arial" w:eastAsia="Arial" w:hAnsi="Arial"/>
                <w:sz w:val="20"/>
                <w:szCs w:val="20"/>
                <w:color w:val="231F20"/>
              </w:rPr>
              <w:t>—</w:t>
            </w:r>
          </w:p>
        </w:tc>
      </w:tr>
    </w:tbl>
    <w:p>
      <w:pPr>
        <w:spacing w:after="0" w:line="200" w:lineRule="exact"/>
        <w:rPr>
          <w:sz w:val="20"/>
          <w:szCs w:val="20"/>
          <w:color w:val="auto"/>
        </w:rPr>
      </w:pP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79</w:t>
      </w:r>
    </w:p>
    <w:p>
      <w:pPr>
        <w:sectPr>
          <w:pgSz w:w="12240" w:h="15840" w:orient="portrait"/>
          <w:cols w:equalWidth="0" w:num="1">
            <w:col w:w="9460"/>
          </w:cols>
          <w:pgMar w:left="1380" w:top="1346" w:right="1400" w:bottom="95" w:gutter="0" w:footer="0" w:header="0"/>
          <w:type w:val="continuous"/>
        </w:sectPr>
      </w:pPr>
    </w:p>
    <w:bookmarkStart w:id="87" w:name="page88"/>
    <w:bookmarkEnd w:id="87"/>
    <w:p>
      <w:pPr>
        <w:ind w:left="6860"/>
        <w:spacing w:after="0"/>
        <w:rPr>
          <w:sz w:val="20"/>
          <w:szCs w:val="20"/>
          <w:color w:val="auto"/>
        </w:rPr>
      </w:pPr>
      <w:r>
        <w:rPr>
          <w:rFonts w:ascii="Arial" w:cs="Arial" w:eastAsia="Arial" w:hAnsi="Arial"/>
          <w:sz w:val="15"/>
          <w:szCs w:val="15"/>
          <w:color w:val="231F20"/>
        </w:rPr>
        <mc:AlternateContent>
          <mc:Choice Requires="wps">
            <w:drawing>
              <wp:anchor simplePos="0" relativeHeight="251657728" behindDoc="1" locked="0" layoutInCell="0" allowOverlap="1">
                <wp:simplePos x="0" y="0"/>
                <wp:positionH relativeFrom="page">
                  <wp:posOffset>886460</wp:posOffset>
                </wp:positionH>
                <wp:positionV relativeFrom="page">
                  <wp:posOffset>869950</wp:posOffset>
                </wp:positionV>
                <wp:extent cx="599884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884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9.8pt,68.5pt" to="542.15pt,68.5pt" o:allowincell="f" strokecolor="#231F20" strokeweight="0.506pt">
                <w10:wrap anchorx="page" anchory="page"/>
              </v:line>
            </w:pict>
          </mc:Fallback>
        </mc:AlternateContent>
        <w:t>Postretirement Benefits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5840" w:type="dxa"/>
            <w:vAlign w:val="bottom"/>
            <w:tcBorders>
              <w:top w:val="single" w:sz="8" w:color="231F20"/>
              <w:bottom w:val="single" w:sz="8" w:color="231F20"/>
              <w:right w:val="single" w:sz="8" w:color="231F20"/>
            </w:tcBorders>
          </w:tcPr>
          <w:p>
            <w:pPr>
              <w:spacing w:after="0"/>
              <w:rPr>
                <w:sz w:val="14"/>
                <w:szCs w:val="14"/>
                <w:color w:val="auto"/>
              </w:rPr>
            </w:pPr>
          </w:p>
        </w:tc>
        <w:tc>
          <w:tcPr>
            <w:tcW w:w="1880" w:type="dxa"/>
            <w:vAlign w:val="bottom"/>
            <w:tcBorders>
              <w:top w:val="single" w:sz="8" w:color="231F20"/>
              <w:bottom w:val="single" w:sz="8" w:color="231F20"/>
              <w:right w:val="single" w:sz="8" w:color="231F20"/>
            </w:tcBorders>
          </w:tcPr>
          <w:p>
            <w:pPr>
              <w:jc w:val="right"/>
              <w:ind w:right="542"/>
              <w:spacing w:after="0" w:line="165" w:lineRule="exact"/>
              <w:rPr>
                <w:sz w:val="20"/>
                <w:szCs w:val="20"/>
                <w:color w:val="auto"/>
              </w:rPr>
            </w:pPr>
            <w:r>
              <w:rPr>
                <w:rFonts w:ascii="Arial" w:cs="Arial" w:eastAsia="Arial" w:hAnsi="Arial"/>
                <w:sz w:val="15"/>
                <w:szCs w:val="15"/>
                <w:i w:val="1"/>
                <w:iCs w:val="1"/>
                <w:color w:val="231F20"/>
              </w:rPr>
              <w:t>2023</w:t>
            </w:r>
          </w:p>
        </w:tc>
        <w:tc>
          <w:tcPr>
            <w:tcW w:w="1720" w:type="dxa"/>
            <w:vAlign w:val="bottom"/>
            <w:tcBorders>
              <w:top w:val="single" w:sz="8" w:color="231F20"/>
              <w:bottom w:val="single" w:sz="8" w:color="231F20"/>
            </w:tcBorders>
          </w:tcPr>
          <w:p>
            <w:pPr>
              <w:jc w:val="right"/>
              <w:ind w:right="382"/>
              <w:spacing w:after="0" w:line="165" w:lineRule="exact"/>
              <w:rPr>
                <w:sz w:val="20"/>
                <w:szCs w:val="20"/>
                <w:color w:val="auto"/>
              </w:rPr>
            </w:pPr>
            <w:r>
              <w:rPr>
                <w:rFonts w:ascii="Arial" w:cs="Arial" w:eastAsia="Arial" w:hAnsi="Arial"/>
                <w:sz w:val="15"/>
                <w:szCs w:val="15"/>
                <w:color w:val="231F20"/>
              </w:rPr>
              <w:t>2022</w:t>
            </w:r>
          </w:p>
        </w:tc>
      </w:tr>
      <w:tr>
        <w:trPr>
          <w:trHeight w:val="203"/>
        </w:trPr>
        <w:tc>
          <w:tcPr>
            <w:tcW w:w="5840" w:type="dxa"/>
            <w:vAlign w:val="bottom"/>
            <w:tcBorders>
              <w:right w:val="single" w:sz="8" w:color="231F20"/>
            </w:tcBorders>
          </w:tcPr>
          <w:p>
            <w:pPr>
              <w:spacing w:after="0" w:line="204" w:lineRule="exact"/>
              <w:rPr>
                <w:sz w:val="20"/>
                <w:szCs w:val="20"/>
                <w:color w:val="auto"/>
              </w:rPr>
            </w:pPr>
            <w:r>
              <w:rPr>
                <w:rFonts w:ascii="Arial" w:cs="Arial" w:eastAsia="Arial" w:hAnsi="Arial"/>
                <w:sz w:val="20"/>
                <w:szCs w:val="20"/>
                <w:color w:val="231F20"/>
              </w:rPr>
              <w:t>Assumed Health Care Cost Trend Rates Used to Determine</w:t>
            </w:r>
          </w:p>
        </w:tc>
        <w:tc>
          <w:tcPr>
            <w:tcW w:w="1880" w:type="dxa"/>
            <w:vAlign w:val="bottom"/>
            <w:tcBorders>
              <w:right w:val="single" w:sz="8" w:color="231F20"/>
            </w:tcBorders>
          </w:tcPr>
          <w:p>
            <w:pPr>
              <w:spacing w:after="0"/>
              <w:rPr>
                <w:sz w:val="17"/>
                <w:szCs w:val="17"/>
                <w:color w:val="auto"/>
              </w:rPr>
            </w:pPr>
          </w:p>
        </w:tc>
        <w:tc>
          <w:tcPr>
            <w:tcW w:w="1720" w:type="dxa"/>
            <w:vAlign w:val="bottom"/>
          </w:tcPr>
          <w:p>
            <w:pPr>
              <w:spacing w:after="0"/>
              <w:rPr>
                <w:sz w:val="17"/>
                <w:szCs w:val="17"/>
                <w:color w:val="auto"/>
              </w:rPr>
            </w:pPr>
          </w:p>
        </w:tc>
      </w:tr>
      <w:tr>
        <w:trPr>
          <w:trHeight w:val="231"/>
        </w:trPr>
        <w:tc>
          <w:tcPr>
            <w:tcW w:w="5840" w:type="dxa"/>
            <w:vAlign w:val="bottom"/>
            <w:tcBorders>
              <w:right w:val="single" w:sz="8" w:color="231F20"/>
            </w:tcBorders>
          </w:tcPr>
          <w:p>
            <w:pPr>
              <w:ind w:left="160"/>
              <w:spacing w:after="0"/>
              <w:rPr>
                <w:sz w:val="20"/>
                <w:szCs w:val="20"/>
                <w:color w:val="auto"/>
              </w:rPr>
            </w:pPr>
            <w:r>
              <w:rPr>
                <w:rFonts w:ascii="Arial" w:cs="Arial" w:eastAsia="Arial" w:hAnsi="Arial"/>
                <w:sz w:val="20"/>
                <w:szCs w:val="20"/>
                <w:color w:val="231F20"/>
              </w:rPr>
              <w:t>Benefit Obligations:</w:t>
            </w:r>
          </w:p>
        </w:tc>
        <w:tc>
          <w:tcPr>
            <w:tcW w:w="1880" w:type="dxa"/>
            <w:vAlign w:val="bottom"/>
            <w:tcBorders>
              <w:right w:val="single" w:sz="8" w:color="231F20"/>
            </w:tcBorders>
          </w:tcPr>
          <w:p>
            <w:pPr>
              <w:spacing w:after="0"/>
              <w:rPr>
                <w:sz w:val="20"/>
                <w:szCs w:val="20"/>
                <w:color w:val="auto"/>
              </w:rPr>
            </w:pPr>
          </w:p>
        </w:tc>
        <w:tc>
          <w:tcPr>
            <w:tcW w:w="1720" w:type="dxa"/>
            <w:vAlign w:val="bottom"/>
          </w:tcPr>
          <w:p>
            <w:pPr>
              <w:spacing w:after="0"/>
              <w:rPr>
                <w:sz w:val="20"/>
                <w:szCs w:val="20"/>
                <w:color w:val="auto"/>
              </w:rPr>
            </w:pPr>
          </w:p>
        </w:tc>
      </w:tr>
      <w:tr>
        <w:trPr>
          <w:trHeight w:val="257"/>
        </w:trPr>
        <w:tc>
          <w:tcPr>
            <w:tcW w:w="5840" w:type="dxa"/>
            <w:vAlign w:val="bottom"/>
            <w:tcBorders>
              <w:right w:val="single" w:sz="8" w:color="231F20"/>
            </w:tcBorders>
          </w:tcPr>
          <w:p>
            <w:pPr>
              <w:ind w:left="420"/>
              <w:spacing w:after="0"/>
              <w:rPr>
                <w:sz w:val="20"/>
                <w:szCs w:val="20"/>
                <w:color w:val="auto"/>
              </w:rPr>
            </w:pPr>
            <w:r>
              <w:rPr>
                <w:rFonts w:ascii="Arial" w:cs="Arial" w:eastAsia="Arial" w:hAnsi="Arial"/>
                <w:sz w:val="20"/>
                <w:szCs w:val="20"/>
                <w:color w:val="231F20"/>
              </w:rPr>
              <w:t xml:space="preserve">Health care cost trend rate assumed for next year </w:t>
            </w:r>
            <w:r>
              <w:rPr>
                <w:rFonts w:ascii="Times New Roman" w:cs="Times New Roman" w:eastAsia="Times New Roman" w:hAnsi="Times New Roman"/>
                <w:sz w:val="20"/>
                <w:szCs w:val="20"/>
                <w:color w:val="231F20"/>
              </w:rPr>
              <w:t>................</w:t>
            </w:r>
          </w:p>
        </w:tc>
        <w:tc>
          <w:tcPr>
            <w:tcW w:w="1880" w:type="dxa"/>
            <w:vAlign w:val="bottom"/>
            <w:tcBorders>
              <w:right w:val="single" w:sz="8" w:color="231F20"/>
            </w:tcBorders>
          </w:tcPr>
          <w:p>
            <w:pPr>
              <w:jc w:val="right"/>
              <w:ind w:right="142"/>
              <w:spacing w:after="0" w:line="257" w:lineRule="exact"/>
              <w:rPr>
                <w:sz w:val="20"/>
                <w:szCs w:val="20"/>
                <w:color w:val="auto"/>
              </w:rPr>
            </w:pPr>
            <w:r>
              <w:rPr>
                <w:rFonts w:ascii="Arial" w:cs="Arial" w:eastAsia="Arial" w:hAnsi="Arial"/>
                <w:sz w:val="20"/>
                <w:szCs w:val="20"/>
                <w:color w:val="231F20"/>
              </w:rPr>
              <w:t>7.3/6.9 %</w:t>
            </w:r>
            <w:r>
              <w:rPr>
                <w:rFonts w:ascii="Arial" w:cs="Arial" w:eastAsia="Arial" w:hAnsi="Arial"/>
                <w:sz w:val="28"/>
                <w:szCs w:val="28"/>
                <w:color w:val="231F20"/>
                <w:vertAlign w:val="superscript"/>
              </w:rPr>
              <w:t>(a)</w:t>
            </w:r>
          </w:p>
        </w:tc>
        <w:tc>
          <w:tcPr>
            <w:tcW w:w="1720" w:type="dxa"/>
            <w:vAlign w:val="bottom"/>
          </w:tcPr>
          <w:p>
            <w:pPr>
              <w:jc w:val="right"/>
              <w:ind w:right="2"/>
              <w:spacing w:after="0" w:line="257" w:lineRule="exact"/>
              <w:rPr>
                <w:sz w:val="20"/>
                <w:szCs w:val="20"/>
                <w:color w:val="auto"/>
              </w:rPr>
            </w:pPr>
            <w:r>
              <w:rPr>
                <w:rFonts w:ascii="Arial" w:cs="Arial" w:eastAsia="Arial" w:hAnsi="Arial"/>
                <w:sz w:val="20"/>
                <w:szCs w:val="20"/>
                <w:color w:val="231F20"/>
              </w:rPr>
              <w:t xml:space="preserve">5.8/6.3% </w:t>
            </w:r>
            <w:r>
              <w:rPr>
                <w:rFonts w:ascii="Arial" w:cs="Arial" w:eastAsia="Arial" w:hAnsi="Arial"/>
                <w:sz w:val="28"/>
                <w:szCs w:val="28"/>
                <w:color w:val="231F20"/>
                <w:vertAlign w:val="superscript"/>
              </w:rPr>
              <w:t>(a)</w:t>
            </w:r>
          </w:p>
        </w:tc>
      </w:tr>
      <w:tr>
        <w:trPr>
          <w:trHeight w:val="231"/>
        </w:trPr>
        <w:tc>
          <w:tcPr>
            <w:tcW w:w="5840" w:type="dxa"/>
            <w:vAlign w:val="bottom"/>
            <w:tcBorders>
              <w:right w:val="single" w:sz="8" w:color="231F20"/>
            </w:tcBorders>
          </w:tcPr>
          <w:p>
            <w:pPr>
              <w:ind w:left="420"/>
              <w:spacing w:after="0"/>
              <w:rPr>
                <w:sz w:val="20"/>
                <w:szCs w:val="20"/>
                <w:color w:val="auto"/>
              </w:rPr>
            </w:pPr>
            <w:r>
              <w:rPr>
                <w:rFonts w:ascii="Arial" w:cs="Arial" w:eastAsia="Arial" w:hAnsi="Arial"/>
                <w:sz w:val="20"/>
                <w:szCs w:val="20"/>
                <w:color w:val="231F20"/>
              </w:rPr>
              <w:t>Rate that the cost trend rate is assumed to decline</w:t>
            </w:r>
          </w:p>
        </w:tc>
        <w:tc>
          <w:tcPr>
            <w:tcW w:w="1880" w:type="dxa"/>
            <w:vAlign w:val="bottom"/>
            <w:tcBorders>
              <w:right w:val="single" w:sz="8" w:color="231F20"/>
            </w:tcBorders>
          </w:tcPr>
          <w:p>
            <w:pPr>
              <w:spacing w:after="0"/>
              <w:rPr>
                <w:sz w:val="20"/>
                <w:szCs w:val="20"/>
                <w:color w:val="auto"/>
              </w:rPr>
            </w:pPr>
          </w:p>
        </w:tc>
        <w:tc>
          <w:tcPr>
            <w:tcW w:w="1720" w:type="dxa"/>
            <w:vAlign w:val="bottom"/>
          </w:tcPr>
          <w:p>
            <w:pPr>
              <w:spacing w:after="0"/>
              <w:rPr>
                <w:sz w:val="20"/>
                <w:szCs w:val="20"/>
                <w:color w:val="auto"/>
              </w:rPr>
            </w:pPr>
          </w:p>
        </w:tc>
      </w:tr>
      <w:tr>
        <w:trPr>
          <w:trHeight w:val="233"/>
        </w:trPr>
        <w:tc>
          <w:tcPr>
            <w:tcW w:w="5840" w:type="dxa"/>
            <w:vAlign w:val="bottom"/>
            <w:tcBorders>
              <w:right w:val="single" w:sz="8" w:color="231F20"/>
            </w:tcBorders>
          </w:tcPr>
          <w:p>
            <w:pPr>
              <w:ind w:left="580"/>
              <w:spacing w:after="0"/>
              <w:rPr>
                <w:sz w:val="20"/>
                <w:szCs w:val="20"/>
                <w:color w:val="auto"/>
              </w:rPr>
            </w:pPr>
            <w:r>
              <w:rPr>
                <w:rFonts w:ascii="Arial" w:cs="Arial" w:eastAsia="Arial" w:hAnsi="Arial"/>
                <w:sz w:val="20"/>
                <w:szCs w:val="20"/>
                <w:color w:val="231F20"/>
              </w:rPr>
              <w:t xml:space="preserve">(the ultimate trend rate) </w:t>
            </w:r>
            <w:r>
              <w:rPr>
                <w:rFonts w:ascii="Times New Roman" w:cs="Times New Roman" w:eastAsia="Times New Roman" w:hAnsi="Times New Roman"/>
                <w:sz w:val="20"/>
                <w:szCs w:val="20"/>
                <w:color w:val="231F20"/>
              </w:rPr>
              <w:t>...........................................................</w:t>
            </w:r>
          </w:p>
        </w:tc>
        <w:tc>
          <w:tcPr>
            <w:tcW w:w="1880" w:type="dxa"/>
            <w:vAlign w:val="bottom"/>
            <w:tcBorders>
              <w:right w:val="single" w:sz="8" w:color="231F20"/>
            </w:tcBorders>
          </w:tcPr>
          <w:p>
            <w:pPr>
              <w:jc w:val="right"/>
              <w:ind w:right="322"/>
              <w:spacing w:after="0"/>
              <w:rPr>
                <w:sz w:val="20"/>
                <w:szCs w:val="20"/>
                <w:color w:val="auto"/>
              </w:rPr>
            </w:pPr>
            <w:r>
              <w:rPr>
                <w:rFonts w:ascii="Arial" w:cs="Arial" w:eastAsia="Arial" w:hAnsi="Arial"/>
                <w:sz w:val="20"/>
                <w:szCs w:val="20"/>
                <w:color w:val="231F20"/>
              </w:rPr>
              <w:t>4.5 %</w:t>
            </w:r>
          </w:p>
        </w:tc>
        <w:tc>
          <w:tcPr>
            <w:tcW w:w="1720" w:type="dxa"/>
            <w:vAlign w:val="bottom"/>
          </w:tcPr>
          <w:p>
            <w:pPr>
              <w:jc w:val="right"/>
              <w:ind w:right="202"/>
              <w:spacing w:after="0"/>
              <w:rPr>
                <w:sz w:val="20"/>
                <w:szCs w:val="20"/>
                <w:color w:val="auto"/>
              </w:rPr>
            </w:pPr>
            <w:r>
              <w:rPr>
                <w:rFonts w:ascii="Arial" w:cs="Arial" w:eastAsia="Arial" w:hAnsi="Arial"/>
                <w:sz w:val="20"/>
                <w:szCs w:val="20"/>
                <w:color w:val="231F20"/>
              </w:rPr>
              <w:t>4.5%</w:t>
            </w:r>
          </w:p>
        </w:tc>
      </w:tr>
      <w:tr>
        <w:trPr>
          <w:trHeight w:val="234"/>
        </w:trPr>
        <w:tc>
          <w:tcPr>
            <w:tcW w:w="5840" w:type="dxa"/>
            <w:vAlign w:val="bottom"/>
            <w:tcBorders>
              <w:right w:val="single" w:sz="8" w:color="231F20"/>
            </w:tcBorders>
          </w:tcPr>
          <w:p>
            <w:pPr>
              <w:ind w:left="420"/>
              <w:spacing w:after="0"/>
              <w:rPr>
                <w:sz w:val="20"/>
                <w:szCs w:val="20"/>
                <w:color w:val="auto"/>
              </w:rPr>
            </w:pPr>
            <w:r>
              <w:rPr>
                <w:rFonts w:ascii="Arial" w:cs="Arial" w:eastAsia="Arial" w:hAnsi="Arial"/>
                <w:sz w:val="20"/>
                <w:szCs w:val="20"/>
                <w:color w:val="231F20"/>
              </w:rPr>
              <w:t>Year that the rate reaches the ultimate trend rate</w:t>
            </w:r>
            <w:r>
              <w:rPr>
                <w:rFonts w:ascii="Times New Roman" w:cs="Times New Roman" w:eastAsia="Times New Roman" w:hAnsi="Times New Roman"/>
                <w:sz w:val="20"/>
                <w:szCs w:val="20"/>
                <w:color w:val="231F20"/>
              </w:rPr>
              <w:t>..................</w:t>
            </w:r>
          </w:p>
        </w:tc>
        <w:tc>
          <w:tcPr>
            <w:tcW w:w="1880" w:type="dxa"/>
            <w:vAlign w:val="bottom"/>
            <w:tcBorders>
              <w:right w:val="single" w:sz="8" w:color="231F20"/>
            </w:tcBorders>
          </w:tcPr>
          <w:p>
            <w:pPr>
              <w:jc w:val="right"/>
              <w:ind w:right="542"/>
              <w:spacing w:after="0"/>
              <w:rPr>
                <w:sz w:val="20"/>
                <w:szCs w:val="20"/>
                <w:color w:val="auto"/>
              </w:rPr>
            </w:pPr>
            <w:r>
              <w:rPr>
                <w:rFonts w:ascii="Arial" w:cs="Arial" w:eastAsia="Arial" w:hAnsi="Arial"/>
                <w:sz w:val="20"/>
                <w:szCs w:val="20"/>
                <w:color w:val="231F20"/>
              </w:rPr>
              <w:t>2033</w:t>
            </w:r>
          </w:p>
        </w:tc>
        <w:tc>
          <w:tcPr>
            <w:tcW w:w="1720" w:type="dxa"/>
            <w:vAlign w:val="bottom"/>
          </w:tcPr>
          <w:p>
            <w:pPr>
              <w:jc w:val="right"/>
              <w:ind w:right="382"/>
              <w:spacing w:after="0"/>
              <w:rPr>
                <w:sz w:val="20"/>
                <w:szCs w:val="20"/>
                <w:color w:val="auto"/>
              </w:rPr>
            </w:pPr>
            <w:r>
              <w:rPr>
                <w:rFonts w:ascii="Arial" w:cs="Arial" w:eastAsia="Arial" w:hAnsi="Arial"/>
                <w:sz w:val="20"/>
                <w:szCs w:val="20"/>
                <w:color w:val="231F20"/>
              </w:rPr>
              <w:t>2028</w:t>
            </w:r>
          </w:p>
        </w:tc>
      </w:tr>
      <w:tr>
        <w:trPr>
          <w:trHeight w:val="233"/>
        </w:trPr>
        <w:tc>
          <w:tcPr>
            <w:tcW w:w="58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Assumed Health Care Cost Trend Rates Used to Determine</w:t>
            </w:r>
          </w:p>
        </w:tc>
        <w:tc>
          <w:tcPr>
            <w:tcW w:w="1880" w:type="dxa"/>
            <w:vAlign w:val="bottom"/>
            <w:tcBorders>
              <w:right w:val="single" w:sz="8" w:color="231F20"/>
            </w:tcBorders>
          </w:tcPr>
          <w:p>
            <w:pPr>
              <w:spacing w:after="0"/>
              <w:rPr>
                <w:sz w:val="20"/>
                <w:szCs w:val="20"/>
                <w:color w:val="auto"/>
              </w:rPr>
            </w:pPr>
          </w:p>
        </w:tc>
        <w:tc>
          <w:tcPr>
            <w:tcW w:w="1720" w:type="dxa"/>
            <w:vAlign w:val="bottom"/>
          </w:tcPr>
          <w:p>
            <w:pPr>
              <w:spacing w:after="0"/>
              <w:rPr>
                <w:sz w:val="20"/>
                <w:szCs w:val="20"/>
                <w:color w:val="auto"/>
              </w:rPr>
            </w:pPr>
          </w:p>
        </w:tc>
      </w:tr>
      <w:tr>
        <w:trPr>
          <w:trHeight w:val="231"/>
        </w:trPr>
        <w:tc>
          <w:tcPr>
            <w:tcW w:w="5840" w:type="dxa"/>
            <w:vAlign w:val="bottom"/>
            <w:tcBorders>
              <w:right w:val="single" w:sz="8" w:color="231F20"/>
            </w:tcBorders>
          </w:tcPr>
          <w:p>
            <w:pPr>
              <w:ind w:left="100"/>
              <w:spacing w:after="0"/>
              <w:rPr>
                <w:sz w:val="20"/>
                <w:szCs w:val="20"/>
                <w:color w:val="auto"/>
              </w:rPr>
            </w:pPr>
            <w:r>
              <w:rPr>
                <w:rFonts w:ascii="Arial" w:cs="Arial" w:eastAsia="Arial" w:hAnsi="Arial"/>
                <w:sz w:val="20"/>
                <w:szCs w:val="20"/>
                <w:color w:val="231F20"/>
              </w:rPr>
              <w:t>Net Cost:</w:t>
            </w:r>
          </w:p>
        </w:tc>
        <w:tc>
          <w:tcPr>
            <w:tcW w:w="1880" w:type="dxa"/>
            <w:vAlign w:val="bottom"/>
            <w:tcBorders>
              <w:right w:val="single" w:sz="8" w:color="231F20"/>
            </w:tcBorders>
          </w:tcPr>
          <w:p>
            <w:pPr>
              <w:spacing w:after="0"/>
              <w:rPr>
                <w:sz w:val="20"/>
                <w:szCs w:val="20"/>
                <w:color w:val="auto"/>
              </w:rPr>
            </w:pPr>
          </w:p>
        </w:tc>
        <w:tc>
          <w:tcPr>
            <w:tcW w:w="1720" w:type="dxa"/>
            <w:vAlign w:val="bottom"/>
          </w:tcPr>
          <w:p>
            <w:pPr>
              <w:spacing w:after="0"/>
              <w:rPr>
                <w:sz w:val="20"/>
                <w:szCs w:val="20"/>
                <w:color w:val="auto"/>
              </w:rPr>
            </w:pPr>
          </w:p>
        </w:tc>
      </w:tr>
      <w:tr>
        <w:trPr>
          <w:trHeight w:val="257"/>
        </w:trPr>
        <w:tc>
          <w:tcPr>
            <w:tcW w:w="5840" w:type="dxa"/>
            <w:vAlign w:val="bottom"/>
            <w:tcBorders>
              <w:right w:val="single" w:sz="8" w:color="231F20"/>
            </w:tcBorders>
          </w:tcPr>
          <w:p>
            <w:pPr>
              <w:ind w:left="420"/>
              <w:spacing w:after="0"/>
              <w:rPr>
                <w:sz w:val="20"/>
                <w:szCs w:val="20"/>
                <w:color w:val="auto"/>
              </w:rPr>
            </w:pPr>
            <w:r>
              <w:rPr>
                <w:rFonts w:ascii="Arial" w:cs="Arial" w:eastAsia="Arial" w:hAnsi="Arial"/>
                <w:sz w:val="20"/>
                <w:szCs w:val="20"/>
                <w:color w:val="231F20"/>
              </w:rPr>
              <w:t xml:space="preserve">Health care cost trend rate assumed for next year </w:t>
            </w:r>
            <w:r>
              <w:rPr>
                <w:rFonts w:ascii="Times New Roman" w:cs="Times New Roman" w:eastAsia="Times New Roman" w:hAnsi="Times New Roman"/>
                <w:sz w:val="20"/>
                <w:szCs w:val="20"/>
                <w:color w:val="231F20"/>
              </w:rPr>
              <w:t>................</w:t>
            </w:r>
          </w:p>
        </w:tc>
        <w:tc>
          <w:tcPr>
            <w:tcW w:w="1880" w:type="dxa"/>
            <w:vAlign w:val="bottom"/>
            <w:tcBorders>
              <w:right w:val="single" w:sz="8" w:color="231F20"/>
            </w:tcBorders>
          </w:tcPr>
          <w:p>
            <w:pPr>
              <w:jc w:val="right"/>
              <w:ind w:right="142"/>
              <w:spacing w:after="0" w:line="257" w:lineRule="exact"/>
              <w:rPr>
                <w:sz w:val="20"/>
                <w:szCs w:val="20"/>
                <w:color w:val="auto"/>
              </w:rPr>
            </w:pPr>
            <w:r>
              <w:rPr>
                <w:rFonts w:ascii="Arial" w:cs="Arial" w:eastAsia="Arial" w:hAnsi="Arial"/>
                <w:sz w:val="20"/>
                <w:szCs w:val="20"/>
                <w:color w:val="231F20"/>
              </w:rPr>
              <w:t>5.8/6.3 %</w:t>
            </w:r>
            <w:r>
              <w:rPr>
                <w:rFonts w:ascii="Arial" w:cs="Arial" w:eastAsia="Arial" w:hAnsi="Arial"/>
                <w:sz w:val="28"/>
                <w:szCs w:val="28"/>
                <w:color w:val="231F20"/>
                <w:vertAlign w:val="superscript"/>
              </w:rPr>
              <w:t>(a)</w:t>
            </w:r>
          </w:p>
        </w:tc>
        <w:tc>
          <w:tcPr>
            <w:tcW w:w="1720" w:type="dxa"/>
            <w:vAlign w:val="bottom"/>
          </w:tcPr>
          <w:p>
            <w:pPr>
              <w:jc w:val="right"/>
              <w:ind w:right="2"/>
              <w:spacing w:after="0" w:line="257" w:lineRule="exact"/>
              <w:rPr>
                <w:sz w:val="20"/>
                <w:szCs w:val="20"/>
                <w:color w:val="auto"/>
              </w:rPr>
            </w:pPr>
            <w:r>
              <w:rPr>
                <w:rFonts w:ascii="Arial" w:cs="Arial" w:eastAsia="Arial" w:hAnsi="Arial"/>
                <w:sz w:val="20"/>
                <w:szCs w:val="20"/>
                <w:color w:val="231F20"/>
              </w:rPr>
              <w:t xml:space="preserve">6.0/6.5% </w:t>
            </w:r>
            <w:r>
              <w:rPr>
                <w:rFonts w:ascii="Arial" w:cs="Arial" w:eastAsia="Arial" w:hAnsi="Arial"/>
                <w:sz w:val="28"/>
                <w:szCs w:val="28"/>
                <w:color w:val="231F20"/>
                <w:vertAlign w:val="superscript"/>
              </w:rPr>
              <w:t>(a)</w:t>
            </w:r>
          </w:p>
        </w:tc>
      </w:tr>
      <w:tr>
        <w:trPr>
          <w:trHeight w:val="231"/>
        </w:trPr>
        <w:tc>
          <w:tcPr>
            <w:tcW w:w="5840" w:type="dxa"/>
            <w:vAlign w:val="bottom"/>
            <w:tcBorders>
              <w:right w:val="single" w:sz="8" w:color="231F20"/>
            </w:tcBorders>
          </w:tcPr>
          <w:p>
            <w:pPr>
              <w:ind w:left="420"/>
              <w:spacing w:after="0"/>
              <w:rPr>
                <w:sz w:val="20"/>
                <w:szCs w:val="20"/>
                <w:color w:val="auto"/>
              </w:rPr>
            </w:pPr>
            <w:r>
              <w:rPr>
                <w:rFonts w:ascii="Arial" w:cs="Arial" w:eastAsia="Arial" w:hAnsi="Arial"/>
                <w:sz w:val="20"/>
                <w:szCs w:val="20"/>
                <w:color w:val="231F20"/>
              </w:rPr>
              <w:t>Rate that the cost trend rate is assumed to decline</w:t>
            </w:r>
          </w:p>
        </w:tc>
        <w:tc>
          <w:tcPr>
            <w:tcW w:w="1880" w:type="dxa"/>
            <w:vAlign w:val="bottom"/>
            <w:tcBorders>
              <w:right w:val="single" w:sz="8" w:color="231F20"/>
            </w:tcBorders>
          </w:tcPr>
          <w:p>
            <w:pPr>
              <w:spacing w:after="0"/>
              <w:rPr>
                <w:sz w:val="20"/>
                <w:szCs w:val="20"/>
                <w:color w:val="auto"/>
              </w:rPr>
            </w:pPr>
          </w:p>
        </w:tc>
        <w:tc>
          <w:tcPr>
            <w:tcW w:w="1720" w:type="dxa"/>
            <w:vAlign w:val="bottom"/>
          </w:tcPr>
          <w:p>
            <w:pPr>
              <w:spacing w:after="0"/>
              <w:rPr>
                <w:sz w:val="20"/>
                <w:szCs w:val="20"/>
                <w:color w:val="auto"/>
              </w:rPr>
            </w:pPr>
          </w:p>
        </w:tc>
      </w:tr>
      <w:tr>
        <w:trPr>
          <w:trHeight w:val="233"/>
        </w:trPr>
        <w:tc>
          <w:tcPr>
            <w:tcW w:w="5840" w:type="dxa"/>
            <w:vAlign w:val="bottom"/>
            <w:tcBorders>
              <w:right w:val="single" w:sz="8" w:color="231F20"/>
            </w:tcBorders>
          </w:tcPr>
          <w:p>
            <w:pPr>
              <w:ind w:left="580"/>
              <w:spacing w:after="0"/>
              <w:rPr>
                <w:sz w:val="20"/>
                <w:szCs w:val="20"/>
                <w:color w:val="auto"/>
              </w:rPr>
            </w:pPr>
            <w:r>
              <w:rPr>
                <w:rFonts w:ascii="Arial" w:cs="Arial" w:eastAsia="Arial" w:hAnsi="Arial"/>
                <w:sz w:val="20"/>
                <w:szCs w:val="20"/>
                <w:color w:val="231F20"/>
              </w:rPr>
              <w:t xml:space="preserve">(the ultimate trend rate) </w:t>
            </w:r>
            <w:r>
              <w:rPr>
                <w:rFonts w:ascii="Times New Roman" w:cs="Times New Roman" w:eastAsia="Times New Roman" w:hAnsi="Times New Roman"/>
                <w:sz w:val="20"/>
                <w:szCs w:val="20"/>
                <w:color w:val="231F20"/>
              </w:rPr>
              <w:t>...........................................................</w:t>
            </w:r>
          </w:p>
        </w:tc>
        <w:tc>
          <w:tcPr>
            <w:tcW w:w="1880" w:type="dxa"/>
            <w:vAlign w:val="bottom"/>
            <w:tcBorders>
              <w:right w:val="single" w:sz="8" w:color="231F20"/>
            </w:tcBorders>
          </w:tcPr>
          <w:p>
            <w:pPr>
              <w:jc w:val="right"/>
              <w:ind w:right="322"/>
              <w:spacing w:after="0"/>
              <w:rPr>
                <w:sz w:val="20"/>
                <w:szCs w:val="20"/>
                <w:color w:val="auto"/>
              </w:rPr>
            </w:pPr>
            <w:r>
              <w:rPr>
                <w:rFonts w:ascii="Arial" w:cs="Arial" w:eastAsia="Arial" w:hAnsi="Arial"/>
                <w:sz w:val="20"/>
                <w:szCs w:val="20"/>
                <w:color w:val="231F20"/>
              </w:rPr>
              <w:t>4.5 %</w:t>
            </w:r>
          </w:p>
        </w:tc>
        <w:tc>
          <w:tcPr>
            <w:tcW w:w="1720" w:type="dxa"/>
            <w:vAlign w:val="bottom"/>
          </w:tcPr>
          <w:p>
            <w:pPr>
              <w:jc w:val="right"/>
              <w:ind w:right="202"/>
              <w:spacing w:after="0"/>
              <w:rPr>
                <w:sz w:val="20"/>
                <w:szCs w:val="20"/>
                <w:color w:val="auto"/>
              </w:rPr>
            </w:pPr>
            <w:r>
              <w:rPr>
                <w:rFonts w:ascii="Arial" w:cs="Arial" w:eastAsia="Arial" w:hAnsi="Arial"/>
                <w:sz w:val="20"/>
                <w:szCs w:val="20"/>
                <w:color w:val="231F20"/>
              </w:rPr>
              <w:t>4.5%</w:t>
            </w:r>
          </w:p>
        </w:tc>
      </w:tr>
      <w:tr>
        <w:trPr>
          <w:trHeight w:val="279"/>
        </w:trPr>
        <w:tc>
          <w:tcPr>
            <w:tcW w:w="5840" w:type="dxa"/>
            <w:vAlign w:val="bottom"/>
            <w:tcBorders>
              <w:bottom w:val="single" w:sz="8" w:color="231F20"/>
              <w:right w:val="single" w:sz="8" w:color="231F20"/>
            </w:tcBorders>
          </w:tcPr>
          <w:p>
            <w:pPr>
              <w:ind w:left="420"/>
              <w:spacing w:after="0"/>
              <w:rPr>
                <w:sz w:val="20"/>
                <w:szCs w:val="20"/>
                <w:color w:val="auto"/>
              </w:rPr>
            </w:pPr>
            <w:r>
              <w:rPr>
                <w:rFonts w:ascii="Arial" w:cs="Arial" w:eastAsia="Arial" w:hAnsi="Arial"/>
                <w:sz w:val="20"/>
                <w:szCs w:val="20"/>
                <w:color w:val="231F20"/>
              </w:rPr>
              <w:t>Year that the rate reaches the ultimate trend rate</w:t>
            </w:r>
            <w:r>
              <w:rPr>
                <w:rFonts w:ascii="Times New Roman" w:cs="Times New Roman" w:eastAsia="Times New Roman" w:hAnsi="Times New Roman"/>
                <w:sz w:val="20"/>
                <w:szCs w:val="20"/>
                <w:color w:val="231F20"/>
              </w:rPr>
              <w:t>..................</w:t>
            </w:r>
          </w:p>
        </w:tc>
        <w:tc>
          <w:tcPr>
            <w:tcW w:w="1880" w:type="dxa"/>
            <w:vAlign w:val="bottom"/>
            <w:tcBorders>
              <w:bottom w:val="single" w:sz="8" w:color="231F20"/>
              <w:right w:val="single" w:sz="8" w:color="231F20"/>
            </w:tcBorders>
          </w:tcPr>
          <w:p>
            <w:pPr>
              <w:jc w:val="right"/>
              <w:ind w:right="542"/>
              <w:spacing w:after="0"/>
              <w:rPr>
                <w:sz w:val="20"/>
                <w:szCs w:val="20"/>
                <w:color w:val="auto"/>
              </w:rPr>
            </w:pPr>
            <w:r>
              <w:rPr>
                <w:rFonts w:ascii="Arial" w:cs="Arial" w:eastAsia="Arial" w:hAnsi="Arial"/>
                <w:sz w:val="20"/>
                <w:szCs w:val="20"/>
                <w:color w:val="231F20"/>
              </w:rPr>
              <w:t>2028</w:t>
            </w:r>
          </w:p>
        </w:tc>
        <w:tc>
          <w:tcPr>
            <w:tcW w:w="1720" w:type="dxa"/>
            <w:vAlign w:val="bottom"/>
            <w:tcBorders>
              <w:bottom w:val="single" w:sz="8" w:color="231F20"/>
            </w:tcBorders>
          </w:tcPr>
          <w:p>
            <w:pPr>
              <w:jc w:val="right"/>
              <w:ind w:right="382"/>
              <w:spacing w:after="0"/>
              <w:rPr>
                <w:sz w:val="20"/>
                <w:szCs w:val="20"/>
                <w:color w:val="auto"/>
              </w:rPr>
            </w:pPr>
            <w:r>
              <w:rPr>
                <w:rFonts w:ascii="Arial" w:cs="Arial" w:eastAsia="Arial" w:hAnsi="Arial"/>
                <w:sz w:val="20"/>
                <w:szCs w:val="20"/>
                <w:color w:val="231F20"/>
              </w:rPr>
              <w:t>2028</w:t>
            </w:r>
          </w:p>
        </w:tc>
      </w:tr>
    </w:tbl>
    <w:p>
      <w:pPr>
        <w:spacing w:after="0" w:line="224" w:lineRule="exact"/>
        <w:rPr>
          <w:sz w:val="20"/>
          <w:szCs w:val="20"/>
          <w:color w:val="auto"/>
        </w:rPr>
      </w:pPr>
    </w:p>
    <w:p>
      <w:pPr>
        <w:ind w:left="380" w:hanging="374"/>
        <w:spacing w:after="0"/>
        <w:tabs>
          <w:tab w:leader="none" w:pos="380" w:val="left"/>
        </w:tabs>
        <w:numPr>
          <w:ilvl w:val="0"/>
          <w:numId w:val="43"/>
        </w:numPr>
        <w:rPr>
          <w:rFonts w:ascii="Arial" w:cs="Arial" w:eastAsia="Arial" w:hAnsi="Arial"/>
          <w:sz w:val="15"/>
          <w:szCs w:val="15"/>
          <w:i w:val="1"/>
          <w:iCs w:val="1"/>
          <w:color w:val="231F20"/>
        </w:rPr>
      </w:pPr>
      <w:r>
        <w:rPr>
          <w:rFonts w:ascii="Arial" w:cs="Arial" w:eastAsia="Arial" w:hAnsi="Arial"/>
          <w:sz w:val="16"/>
          <w:szCs w:val="16"/>
          <w:i w:val="1"/>
          <w:iCs w:val="1"/>
          <w:color w:val="231F20"/>
        </w:rPr>
        <w:t>The pre-65 initial health care cost trend rate is shown first / followed by the post-65 rate.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Plan Assets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The fair value of the pension assets by major category of plan assets as of December 30, 2023 and</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231F20"/>
        </w:rPr>
        <w:t>December 31, 2022 were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133350</wp:posOffset>
                </wp:positionV>
                <wp:extent cx="599884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9884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10.5pt" to="473.15pt,10.5pt" o:allowincell="f" strokecolor="#231F20" strokeweight="0.506pt"/>
            </w:pict>
          </mc:Fallback>
        </mc:AlternateConten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231F20"/>
        </w:rPr>
        <w:t>(In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80" w:type="dxa"/>
            <w:vAlign w:val="bottom"/>
            <w:tcBorders>
              <w:top w:val="single" w:sz="8" w:color="231F20"/>
              <w:bottom w:val="single" w:sz="8" w:color="231F20"/>
            </w:tcBorders>
          </w:tcPr>
          <w:p>
            <w:pPr>
              <w:spacing w:after="0"/>
              <w:rPr>
                <w:sz w:val="14"/>
                <w:szCs w:val="14"/>
                <w:color w:val="auto"/>
              </w:rPr>
            </w:pPr>
          </w:p>
        </w:tc>
        <w:tc>
          <w:tcPr>
            <w:tcW w:w="620" w:type="dxa"/>
            <w:vAlign w:val="bottom"/>
            <w:tcBorders>
              <w:top w:val="single" w:sz="8" w:color="231F20"/>
              <w:bottom w:val="single" w:sz="8" w:color="231F20"/>
            </w:tcBorders>
          </w:tcPr>
          <w:p>
            <w:pPr>
              <w:spacing w:after="0"/>
              <w:rPr>
                <w:sz w:val="14"/>
                <w:szCs w:val="14"/>
                <w:color w:val="auto"/>
              </w:rPr>
            </w:pPr>
          </w:p>
        </w:tc>
        <w:tc>
          <w:tcPr>
            <w:tcW w:w="1040" w:type="dxa"/>
            <w:vAlign w:val="bottom"/>
            <w:tcBorders>
              <w:top w:val="single" w:sz="8" w:color="231F20"/>
              <w:bottom w:val="single" w:sz="8" w:color="231F20"/>
            </w:tcBorders>
          </w:tcPr>
          <w:p>
            <w:pPr>
              <w:jc w:val="right"/>
              <w:ind w:right="66"/>
              <w:spacing w:after="0" w:line="165" w:lineRule="exact"/>
              <w:rPr>
                <w:sz w:val="20"/>
                <w:szCs w:val="20"/>
                <w:color w:val="auto"/>
              </w:rPr>
            </w:pPr>
            <w:r>
              <w:rPr>
                <w:rFonts w:ascii="Arial" w:cs="Arial" w:eastAsia="Arial" w:hAnsi="Arial"/>
                <w:sz w:val="15"/>
                <w:szCs w:val="15"/>
                <w:i w:val="1"/>
                <w:iCs w:val="1"/>
                <w:color w:val="231F20"/>
              </w:rPr>
              <w:t>2023</w:t>
            </w:r>
          </w:p>
        </w:tc>
        <w:tc>
          <w:tcPr>
            <w:tcW w:w="740" w:type="dxa"/>
            <w:vAlign w:val="bottom"/>
            <w:tcBorders>
              <w:top w:val="single" w:sz="8" w:color="231F20"/>
              <w:bottom w:val="single" w:sz="8" w:color="231F20"/>
            </w:tcBorders>
          </w:tcPr>
          <w:p>
            <w:pPr>
              <w:spacing w:after="0"/>
              <w:rPr>
                <w:sz w:val="14"/>
                <w:szCs w:val="14"/>
                <w:color w:val="auto"/>
              </w:rPr>
            </w:pPr>
          </w:p>
        </w:tc>
        <w:tc>
          <w:tcPr>
            <w:tcW w:w="760" w:type="dxa"/>
            <w:vAlign w:val="bottom"/>
            <w:tcBorders>
              <w:top w:val="single" w:sz="8" w:color="231F20"/>
              <w:bottom w:val="single" w:sz="8" w:color="231F20"/>
            </w:tcBorders>
          </w:tcPr>
          <w:p>
            <w:pPr>
              <w:jc w:val="right"/>
              <w:ind w:right="3"/>
              <w:spacing w:after="0" w:line="165" w:lineRule="exact"/>
              <w:rPr>
                <w:sz w:val="20"/>
                <w:szCs w:val="20"/>
                <w:color w:val="auto"/>
              </w:rPr>
            </w:pPr>
            <w:r>
              <w:rPr>
                <w:rFonts w:ascii="Arial" w:cs="Arial" w:eastAsia="Arial" w:hAnsi="Arial"/>
                <w:sz w:val="15"/>
                <w:szCs w:val="15"/>
                <w:color w:val="231F20"/>
              </w:rPr>
              <w:t>2022</w:t>
            </w:r>
          </w:p>
        </w:tc>
      </w:tr>
      <w:tr>
        <w:trPr>
          <w:trHeight w:val="203"/>
        </w:trPr>
        <w:tc>
          <w:tcPr>
            <w:tcW w:w="20" w:type="dxa"/>
            <w:vAlign w:val="bottom"/>
          </w:tcPr>
          <w:p>
            <w:pPr>
              <w:spacing w:after="0"/>
              <w:rPr>
                <w:sz w:val="17"/>
                <w:szCs w:val="17"/>
                <w:color w:val="auto"/>
              </w:rPr>
            </w:pPr>
          </w:p>
        </w:tc>
        <w:tc>
          <w:tcPr>
            <w:tcW w:w="6280" w:type="dxa"/>
            <w:vAlign w:val="bottom"/>
          </w:tcPr>
          <w:p>
            <w:pPr>
              <w:jc w:val="right"/>
              <w:spacing w:after="0" w:line="203" w:lineRule="exact"/>
              <w:rPr>
                <w:sz w:val="20"/>
                <w:szCs w:val="20"/>
                <w:color w:val="auto"/>
              </w:rPr>
            </w:pPr>
            <w:r>
              <w:rPr>
                <w:rFonts w:ascii="Arial" w:cs="Arial" w:eastAsia="Arial" w:hAnsi="Arial"/>
                <w:sz w:val="20"/>
                <w:szCs w:val="20"/>
                <w:color w:val="231F20"/>
                <w:w w:val="99"/>
              </w:rPr>
              <w:t xml:space="preserve">Group annuity/insurance contracts (level 3) </w:t>
            </w:r>
            <w:r>
              <w:rPr>
                <w:rFonts w:ascii="Times New Roman" w:cs="Times New Roman" w:eastAsia="Times New Roman" w:hAnsi="Times New Roman"/>
                <w:sz w:val="20"/>
                <w:szCs w:val="20"/>
                <w:color w:val="231F20"/>
                <w:w w:val="99"/>
              </w:rPr>
              <w:t>................................................</w:t>
            </w:r>
          </w:p>
        </w:tc>
        <w:tc>
          <w:tcPr>
            <w:tcW w:w="620" w:type="dxa"/>
            <w:vAlign w:val="bottom"/>
          </w:tcPr>
          <w:p>
            <w:pPr>
              <w:jc w:val="right"/>
              <w:ind w:right="219"/>
              <w:spacing w:after="0" w:line="204" w:lineRule="exact"/>
              <w:rPr>
                <w:sz w:val="20"/>
                <w:szCs w:val="20"/>
                <w:color w:val="auto"/>
              </w:rPr>
            </w:pPr>
            <w:r>
              <w:rPr>
                <w:rFonts w:ascii="Arial" w:cs="Arial" w:eastAsia="Arial" w:hAnsi="Arial"/>
                <w:sz w:val="20"/>
                <w:szCs w:val="20"/>
                <w:color w:val="231F20"/>
              </w:rPr>
              <w:t>$</w:t>
            </w:r>
          </w:p>
        </w:tc>
        <w:tc>
          <w:tcPr>
            <w:tcW w:w="1040" w:type="dxa"/>
            <w:vAlign w:val="bottom"/>
          </w:tcPr>
          <w:p>
            <w:pPr>
              <w:jc w:val="right"/>
              <w:ind w:right="66"/>
              <w:spacing w:after="0" w:line="204" w:lineRule="exact"/>
              <w:rPr>
                <w:sz w:val="20"/>
                <w:szCs w:val="20"/>
                <w:color w:val="auto"/>
              </w:rPr>
            </w:pPr>
            <w:r>
              <w:rPr>
                <w:rFonts w:ascii="Arial" w:cs="Arial" w:eastAsia="Arial" w:hAnsi="Arial"/>
                <w:sz w:val="20"/>
                <w:szCs w:val="20"/>
                <w:color w:val="231F20"/>
              </w:rPr>
              <w:t>26.8</w:t>
            </w:r>
          </w:p>
        </w:tc>
        <w:tc>
          <w:tcPr>
            <w:tcW w:w="740" w:type="dxa"/>
            <w:vAlign w:val="bottom"/>
          </w:tcPr>
          <w:p>
            <w:pPr>
              <w:jc w:val="right"/>
              <w:ind w:right="439"/>
              <w:spacing w:after="0" w:line="204" w:lineRule="exact"/>
              <w:rPr>
                <w:sz w:val="20"/>
                <w:szCs w:val="20"/>
                <w:color w:val="auto"/>
              </w:rPr>
            </w:pPr>
            <w:r>
              <w:rPr>
                <w:rFonts w:ascii="Arial" w:cs="Arial" w:eastAsia="Arial" w:hAnsi="Arial"/>
                <w:sz w:val="20"/>
                <w:szCs w:val="20"/>
                <w:color w:val="231F20"/>
              </w:rPr>
              <w:t>$</w:t>
            </w:r>
          </w:p>
        </w:tc>
        <w:tc>
          <w:tcPr>
            <w:tcW w:w="760" w:type="dxa"/>
            <w:vAlign w:val="bottom"/>
          </w:tcPr>
          <w:p>
            <w:pPr>
              <w:jc w:val="right"/>
              <w:ind w:right="3"/>
              <w:spacing w:after="0" w:line="204" w:lineRule="exact"/>
              <w:rPr>
                <w:sz w:val="20"/>
                <w:szCs w:val="20"/>
                <w:color w:val="auto"/>
              </w:rPr>
            </w:pPr>
            <w:r>
              <w:rPr>
                <w:rFonts w:ascii="Arial" w:cs="Arial" w:eastAsia="Arial" w:hAnsi="Arial"/>
                <w:sz w:val="20"/>
                <w:szCs w:val="20"/>
                <w:color w:val="231F20"/>
              </w:rPr>
              <w:t>26.0</w:t>
            </w:r>
          </w:p>
        </w:tc>
      </w:tr>
      <w:tr>
        <w:trPr>
          <w:trHeight w:val="231"/>
        </w:trPr>
        <w:tc>
          <w:tcPr>
            <w:tcW w:w="6300" w:type="dxa"/>
            <w:vAlign w:val="bottom"/>
            <w:gridSpan w:val="2"/>
          </w:tcPr>
          <w:p>
            <w:pPr>
              <w:jc w:val="right"/>
              <w:ind w:right="4701"/>
              <w:spacing w:after="0"/>
              <w:rPr>
                <w:sz w:val="20"/>
                <w:szCs w:val="20"/>
                <w:color w:val="auto"/>
              </w:rPr>
            </w:pPr>
            <w:r>
              <w:rPr>
                <w:rFonts w:ascii="Arial" w:cs="Arial" w:eastAsia="Arial" w:hAnsi="Arial"/>
                <w:sz w:val="20"/>
                <w:szCs w:val="20"/>
                <w:color w:val="231F20"/>
              </w:rPr>
              <w:t>Collective trusts:</w:t>
            </w: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6280" w:type="dxa"/>
            <w:vAlign w:val="bottom"/>
          </w:tcPr>
          <w:p>
            <w:pPr>
              <w:jc w:val="right"/>
              <w:spacing w:after="0"/>
              <w:rPr>
                <w:sz w:val="20"/>
                <w:szCs w:val="20"/>
                <w:color w:val="auto"/>
              </w:rPr>
            </w:pPr>
            <w:r>
              <w:rPr>
                <w:rFonts w:ascii="Arial" w:cs="Arial" w:eastAsia="Arial" w:hAnsi="Arial"/>
                <w:sz w:val="20"/>
                <w:szCs w:val="20"/>
                <w:color w:val="231F20"/>
              </w:rPr>
              <w:t xml:space="preserve">Cash and cash equivalents </w:t>
            </w:r>
            <w:r>
              <w:rPr>
                <w:rFonts w:ascii="Times New Roman" w:cs="Times New Roman" w:eastAsia="Times New Roman" w:hAnsi="Times New Roman"/>
                <w:sz w:val="20"/>
                <w:szCs w:val="20"/>
                <w:color w:val="231F20"/>
              </w:rPr>
              <w:t>.......................................................................</w:t>
            </w:r>
          </w:p>
        </w:tc>
        <w:tc>
          <w:tcPr>
            <w:tcW w:w="620" w:type="dxa"/>
            <w:vAlign w:val="bottom"/>
          </w:tcPr>
          <w:p>
            <w:pPr>
              <w:spacing w:after="0"/>
              <w:rPr>
                <w:sz w:val="20"/>
                <w:szCs w:val="20"/>
                <w:color w:val="auto"/>
              </w:rPr>
            </w:pPr>
          </w:p>
        </w:tc>
        <w:tc>
          <w:tcPr>
            <w:tcW w:w="1040" w:type="dxa"/>
            <w:vAlign w:val="bottom"/>
          </w:tcPr>
          <w:p>
            <w:pPr>
              <w:jc w:val="right"/>
              <w:ind w:right="66"/>
              <w:spacing w:after="0"/>
              <w:rPr>
                <w:sz w:val="20"/>
                <w:szCs w:val="20"/>
                <w:color w:val="auto"/>
              </w:rPr>
            </w:pPr>
            <w:r>
              <w:rPr>
                <w:rFonts w:ascii="Arial" w:cs="Arial" w:eastAsia="Arial" w:hAnsi="Arial"/>
                <w:sz w:val="20"/>
                <w:szCs w:val="20"/>
                <w:color w:val="231F20"/>
              </w:rPr>
              <w:t>17.5</w:t>
            </w:r>
          </w:p>
        </w:tc>
        <w:tc>
          <w:tcPr>
            <w:tcW w:w="74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6.3</w:t>
            </w:r>
          </w:p>
        </w:tc>
      </w:tr>
      <w:tr>
        <w:trPr>
          <w:trHeight w:val="233"/>
        </w:trPr>
        <w:tc>
          <w:tcPr>
            <w:tcW w:w="20" w:type="dxa"/>
            <w:vAlign w:val="bottom"/>
          </w:tcPr>
          <w:p>
            <w:pPr>
              <w:spacing w:after="0"/>
              <w:rPr>
                <w:sz w:val="20"/>
                <w:szCs w:val="20"/>
                <w:color w:val="auto"/>
              </w:rPr>
            </w:pPr>
          </w:p>
        </w:tc>
        <w:tc>
          <w:tcPr>
            <w:tcW w:w="6280" w:type="dxa"/>
            <w:vAlign w:val="bottom"/>
          </w:tcPr>
          <w:p>
            <w:pPr>
              <w:jc w:val="right"/>
              <w:spacing w:after="0"/>
              <w:rPr>
                <w:sz w:val="20"/>
                <w:szCs w:val="20"/>
                <w:color w:val="auto"/>
              </w:rPr>
            </w:pPr>
            <w:r>
              <w:rPr>
                <w:rFonts w:ascii="Arial" w:cs="Arial" w:eastAsia="Arial" w:hAnsi="Arial"/>
                <w:sz w:val="20"/>
                <w:szCs w:val="20"/>
                <w:color w:val="231F20"/>
              </w:rPr>
              <w:t>Equity</w:t>
            </w:r>
            <w:r>
              <w:rPr>
                <w:rFonts w:ascii="Times New Roman" w:cs="Times New Roman" w:eastAsia="Times New Roman" w:hAnsi="Times New Roman"/>
                <w:sz w:val="20"/>
                <w:szCs w:val="20"/>
                <w:color w:val="231F20"/>
              </w:rPr>
              <w:t>............................................................................................................</w:t>
            </w:r>
          </w:p>
        </w:tc>
        <w:tc>
          <w:tcPr>
            <w:tcW w:w="620" w:type="dxa"/>
            <w:vAlign w:val="bottom"/>
          </w:tcPr>
          <w:p>
            <w:pPr>
              <w:spacing w:after="0"/>
              <w:rPr>
                <w:sz w:val="20"/>
                <w:szCs w:val="20"/>
                <w:color w:val="auto"/>
              </w:rPr>
            </w:pPr>
          </w:p>
        </w:tc>
        <w:tc>
          <w:tcPr>
            <w:tcW w:w="1040" w:type="dxa"/>
            <w:vAlign w:val="bottom"/>
          </w:tcPr>
          <w:p>
            <w:pPr>
              <w:jc w:val="right"/>
              <w:ind w:right="66"/>
              <w:spacing w:after="0"/>
              <w:rPr>
                <w:sz w:val="20"/>
                <w:szCs w:val="20"/>
                <w:color w:val="auto"/>
              </w:rPr>
            </w:pPr>
            <w:r>
              <w:rPr>
                <w:rFonts w:ascii="Arial" w:cs="Arial" w:eastAsia="Arial" w:hAnsi="Arial"/>
                <w:sz w:val="20"/>
                <w:szCs w:val="20"/>
                <w:color w:val="231F20"/>
              </w:rPr>
              <w:t>121.2</w:t>
            </w:r>
          </w:p>
        </w:tc>
        <w:tc>
          <w:tcPr>
            <w:tcW w:w="74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113.8</w:t>
            </w:r>
          </w:p>
        </w:tc>
      </w:tr>
      <w:tr>
        <w:trPr>
          <w:trHeight w:val="233"/>
        </w:trPr>
        <w:tc>
          <w:tcPr>
            <w:tcW w:w="20" w:type="dxa"/>
            <w:vAlign w:val="bottom"/>
          </w:tcPr>
          <w:p>
            <w:pPr>
              <w:spacing w:after="0"/>
              <w:rPr>
                <w:sz w:val="20"/>
                <w:szCs w:val="20"/>
                <w:color w:val="auto"/>
              </w:rPr>
            </w:pPr>
          </w:p>
        </w:tc>
        <w:tc>
          <w:tcPr>
            <w:tcW w:w="6280" w:type="dxa"/>
            <w:vAlign w:val="bottom"/>
          </w:tcPr>
          <w:p>
            <w:pPr>
              <w:jc w:val="right"/>
              <w:spacing w:after="0"/>
              <w:rPr>
                <w:sz w:val="20"/>
                <w:szCs w:val="20"/>
                <w:color w:val="auto"/>
              </w:rPr>
            </w:pPr>
            <w:r>
              <w:rPr>
                <w:rFonts w:ascii="Arial" w:cs="Arial" w:eastAsia="Arial" w:hAnsi="Arial"/>
                <w:sz w:val="20"/>
                <w:szCs w:val="20"/>
                <w:color w:val="231F20"/>
              </w:rPr>
              <w:t xml:space="preserve">Fixed income </w:t>
            </w:r>
            <w:r>
              <w:rPr>
                <w:rFonts w:ascii="Times New Roman" w:cs="Times New Roman" w:eastAsia="Times New Roman" w:hAnsi="Times New Roman"/>
                <w:sz w:val="20"/>
                <w:szCs w:val="20"/>
                <w:color w:val="231F20"/>
              </w:rPr>
              <w:t>...............................................................................................</w:t>
            </w:r>
          </w:p>
        </w:tc>
        <w:tc>
          <w:tcPr>
            <w:tcW w:w="620" w:type="dxa"/>
            <w:vAlign w:val="bottom"/>
          </w:tcPr>
          <w:p>
            <w:pPr>
              <w:spacing w:after="0"/>
              <w:rPr>
                <w:sz w:val="20"/>
                <w:szCs w:val="20"/>
                <w:color w:val="auto"/>
              </w:rPr>
            </w:pPr>
          </w:p>
        </w:tc>
        <w:tc>
          <w:tcPr>
            <w:tcW w:w="1040" w:type="dxa"/>
            <w:vAlign w:val="bottom"/>
          </w:tcPr>
          <w:p>
            <w:pPr>
              <w:jc w:val="right"/>
              <w:ind w:right="66"/>
              <w:spacing w:after="0"/>
              <w:rPr>
                <w:sz w:val="20"/>
                <w:szCs w:val="20"/>
                <w:color w:val="auto"/>
              </w:rPr>
            </w:pPr>
            <w:r>
              <w:rPr>
                <w:rFonts w:ascii="Arial" w:cs="Arial" w:eastAsia="Arial" w:hAnsi="Arial"/>
                <w:sz w:val="20"/>
                <w:szCs w:val="20"/>
                <w:color w:val="231F20"/>
              </w:rPr>
              <w:t>267.2</w:t>
            </w:r>
          </w:p>
        </w:tc>
        <w:tc>
          <w:tcPr>
            <w:tcW w:w="74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291.6</w:t>
            </w:r>
          </w:p>
        </w:tc>
      </w:tr>
      <w:tr>
        <w:trPr>
          <w:trHeight w:val="233"/>
        </w:trPr>
        <w:tc>
          <w:tcPr>
            <w:tcW w:w="20" w:type="dxa"/>
            <w:vAlign w:val="bottom"/>
          </w:tcPr>
          <w:p>
            <w:pPr>
              <w:spacing w:after="0"/>
              <w:rPr>
                <w:sz w:val="20"/>
                <w:szCs w:val="20"/>
                <w:color w:val="auto"/>
              </w:rPr>
            </w:pPr>
          </w:p>
        </w:tc>
        <w:tc>
          <w:tcPr>
            <w:tcW w:w="6280" w:type="dxa"/>
            <w:vAlign w:val="bottom"/>
          </w:tcPr>
          <w:p>
            <w:pPr>
              <w:jc w:val="right"/>
              <w:spacing w:after="0"/>
              <w:rPr>
                <w:sz w:val="20"/>
                <w:szCs w:val="20"/>
                <w:color w:val="auto"/>
              </w:rPr>
            </w:pPr>
            <w:r>
              <w:rPr>
                <w:rFonts w:ascii="Arial" w:cs="Arial" w:eastAsia="Arial" w:hAnsi="Arial"/>
                <w:sz w:val="20"/>
                <w:szCs w:val="20"/>
                <w:color w:val="231F20"/>
              </w:rPr>
              <w:t>Multi-strategy hedge funds</w:t>
            </w:r>
            <w:r>
              <w:rPr>
                <w:rFonts w:ascii="Times New Roman" w:cs="Times New Roman" w:eastAsia="Times New Roman" w:hAnsi="Times New Roman"/>
                <w:sz w:val="20"/>
                <w:szCs w:val="20"/>
                <w:color w:val="231F20"/>
              </w:rPr>
              <w:t>........................................................................</w:t>
            </w:r>
          </w:p>
        </w:tc>
        <w:tc>
          <w:tcPr>
            <w:tcW w:w="620" w:type="dxa"/>
            <w:vAlign w:val="bottom"/>
          </w:tcPr>
          <w:p>
            <w:pPr>
              <w:spacing w:after="0"/>
              <w:rPr>
                <w:sz w:val="20"/>
                <w:szCs w:val="20"/>
                <w:color w:val="auto"/>
              </w:rPr>
            </w:pPr>
          </w:p>
        </w:tc>
        <w:tc>
          <w:tcPr>
            <w:tcW w:w="1040" w:type="dxa"/>
            <w:vAlign w:val="bottom"/>
          </w:tcPr>
          <w:p>
            <w:pPr>
              <w:jc w:val="right"/>
              <w:ind w:right="66"/>
              <w:spacing w:after="0"/>
              <w:rPr>
                <w:sz w:val="20"/>
                <w:szCs w:val="20"/>
                <w:color w:val="auto"/>
              </w:rPr>
            </w:pPr>
            <w:r>
              <w:rPr>
                <w:rFonts w:ascii="Arial" w:cs="Arial" w:eastAsia="Arial" w:hAnsi="Arial"/>
                <w:sz w:val="20"/>
                <w:szCs w:val="20"/>
                <w:color w:val="231F20"/>
              </w:rPr>
              <w:t>16.3</w:t>
            </w:r>
          </w:p>
        </w:tc>
        <w:tc>
          <w:tcPr>
            <w:tcW w:w="74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21.3</w:t>
            </w:r>
          </w:p>
        </w:tc>
      </w:tr>
      <w:tr>
        <w:trPr>
          <w:trHeight w:val="253"/>
        </w:trPr>
        <w:tc>
          <w:tcPr>
            <w:tcW w:w="20" w:type="dxa"/>
            <w:vAlign w:val="bottom"/>
          </w:tcPr>
          <w:p>
            <w:pPr>
              <w:spacing w:after="0"/>
              <w:rPr>
                <w:sz w:val="22"/>
                <w:szCs w:val="22"/>
                <w:color w:val="auto"/>
              </w:rPr>
            </w:pPr>
          </w:p>
        </w:tc>
        <w:tc>
          <w:tcPr>
            <w:tcW w:w="62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Real estate</w:t>
            </w:r>
            <w:r>
              <w:rPr>
                <w:rFonts w:ascii="Times New Roman" w:cs="Times New Roman" w:eastAsia="Times New Roman" w:hAnsi="Times New Roman"/>
                <w:sz w:val="20"/>
                <w:szCs w:val="20"/>
                <w:color w:val="231F20"/>
              </w:rPr>
              <w:t>...................................................................................................</w:t>
            </w:r>
          </w:p>
        </w:tc>
        <w:tc>
          <w:tcPr>
            <w:tcW w:w="6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66"/>
              <w:spacing w:after="0"/>
              <w:rPr>
                <w:sz w:val="20"/>
                <w:szCs w:val="20"/>
                <w:color w:val="auto"/>
              </w:rPr>
            </w:pPr>
            <w:r>
              <w:rPr>
                <w:rFonts w:ascii="Arial" w:cs="Arial" w:eastAsia="Arial" w:hAnsi="Arial"/>
                <w:sz w:val="20"/>
                <w:szCs w:val="20"/>
                <w:color w:val="231F20"/>
              </w:rPr>
              <w:t>19.0</w:t>
            </w:r>
          </w:p>
        </w:tc>
        <w:tc>
          <w:tcPr>
            <w:tcW w:w="74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ind w:right="3"/>
              <w:spacing w:after="0"/>
              <w:rPr>
                <w:sz w:val="20"/>
                <w:szCs w:val="20"/>
                <w:color w:val="auto"/>
              </w:rPr>
            </w:pPr>
            <w:r>
              <w:rPr>
                <w:rFonts w:ascii="Arial" w:cs="Arial" w:eastAsia="Arial" w:hAnsi="Arial"/>
                <w:sz w:val="20"/>
                <w:szCs w:val="20"/>
                <w:color w:val="231F20"/>
              </w:rPr>
              <w:t>23.5</w:t>
            </w:r>
          </w:p>
        </w:tc>
      </w:tr>
      <w:tr>
        <w:trPr>
          <w:trHeight w:val="248"/>
        </w:trPr>
        <w:tc>
          <w:tcPr>
            <w:tcW w:w="20" w:type="dxa"/>
            <w:vAlign w:val="bottom"/>
          </w:tcPr>
          <w:p>
            <w:pPr>
              <w:spacing w:after="0"/>
              <w:rPr>
                <w:sz w:val="21"/>
                <w:szCs w:val="21"/>
                <w:color w:val="auto"/>
              </w:rPr>
            </w:pPr>
          </w:p>
        </w:tc>
        <w:tc>
          <w:tcPr>
            <w:tcW w:w="62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Total</w:t>
            </w:r>
            <w:r>
              <w:rPr>
                <w:rFonts w:ascii="Times New Roman" w:cs="Times New Roman" w:eastAsia="Times New Roman" w:hAnsi="Times New Roman"/>
                <w:sz w:val="20"/>
                <w:szCs w:val="20"/>
                <w:color w:val="231F20"/>
              </w:rPr>
              <w:t>.........................................................................................................</w:t>
            </w:r>
          </w:p>
        </w:tc>
        <w:tc>
          <w:tcPr>
            <w:tcW w:w="620" w:type="dxa"/>
            <w:vAlign w:val="bottom"/>
            <w:tcBorders>
              <w:bottom w:val="single" w:sz="8" w:color="231F20"/>
            </w:tcBorders>
          </w:tcPr>
          <w:p>
            <w:pPr>
              <w:jc w:val="right"/>
              <w:ind w:right="219"/>
              <w:spacing w:after="0" w:line="223" w:lineRule="exact"/>
              <w:rPr>
                <w:sz w:val="20"/>
                <w:szCs w:val="20"/>
                <w:color w:val="auto"/>
              </w:rPr>
            </w:pPr>
            <w:r>
              <w:rPr>
                <w:rFonts w:ascii="Arial" w:cs="Arial" w:eastAsia="Arial" w:hAnsi="Arial"/>
                <w:sz w:val="20"/>
                <w:szCs w:val="20"/>
                <w:color w:val="231F20"/>
              </w:rPr>
              <w:t>$</w:t>
            </w:r>
          </w:p>
        </w:tc>
        <w:tc>
          <w:tcPr>
            <w:tcW w:w="1040" w:type="dxa"/>
            <w:vAlign w:val="bottom"/>
            <w:tcBorders>
              <w:bottom w:val="single" w:sz="8" w:color="231F20"/>
            </w:tcBorders>
          </w:tcPr>
          <w:p>
            <w:pPr>
              <w:jc w:val="right"/>
              <w:ind w:right="66"/>
              <w:spacing w:after="0" w:line="223" w:lineRule="exact"/>
              <w:rPr>
                <w:sz w:val="20"/>
                <w:szCs w:val="20"/>
                <w:color w:val="auto"/>
              </w:rPr>
            </w:pPr>
            <w:r>
              <w:rPr>
                <w:rFonts w:ascii="Arial" w:cs="Arial" w:eastAsia="Arial" w:hAnsi="Arial"/>
                <w:sz w:val="20"/>
                <w:szCs w:val="20"/>
                <w:color w:val="231F20"/>
              </w:rPr>
              <w:t>468.0</w:t>
            </w:r>
          </w:p>
        </w:tc>
        <w:tc>
          <w:tcPr>
            <w:tcW w:w="740" w:type="dxa"/>
            <w:vAlign w:val="bottom"/>
            <w:tcBorders>
              <w:bottom w:val="single" w:sz="8" w:color="231F20"/>
            </w:tcBorders>
          </w:tcPr>
          <w:p>
            <w:pPr>
              <w:jc w:val="right"/>
              <w:ind w:right="439"/>
              <w:spacing w:after="0" w:line="223" w:lineRule="exact"/>
              <w:rPr>
                <w:sz w:val="20"/>
                <w:szCs w:val="20"/>
                <w:color w:val="auto"/>
              </w:rPr>
            </w:pPr>
            <w:r>
              <w:rPr>
                <w:rFonts w:ascii="Arial" w:cs="Arial" w:eastAsia="Arial" w:hAnsi="Arial"/>
                <w:sz w:val="20"/>
                <w:szCs w:val="20"/>
                <w:color w:val="231F20"/>
              </w:rPr>
              <w:t>$</w:t>
            </w:r>
          </w:p>
        </w:tc>
        <w:tc>
          <w:tcPr>
            <w:tcW w:w="760" w:type="dxa"/>
            <w:vAlign w:val="bottom"/>
            <w:tcBorders>
              <w:bottom w:val="single" w:sz="8" w:color="231F20"/>
            </w:tcBorders>
          </w:tcPr>
          <w:p>
            <w:pPr>
              <w:jc w:val="right"/>
              <w:ind w:right="3"/>
              <w:spacing w:after="0" w:line="223" w:lineRule="exact"/>
              <w:rPr>
                <w:sz w:val="20"/>
                <w:szCs w:val="20"/>
                <w:color w:val="auto"/>
              </w:rPr>
            </w:pPr>
            <w:r>
              <w:rPr>
                <w:rFonts w:ascii="Arial" w:cs="Arial" w:eastAsia="Arial" w:hAnsi="Arial"/>
                <w:sz w:val="20"/>
                <w:szCs w:val="20"/>
                <w:color w:val="231F20"/>
              </w:rPr>
              <w:t>482.5</w:t>
            </w:r>
          </w:p>
        </w:tc>
      </w:tr>
      <w:tr>
        <w:trPr>
          <w:trHeight w:val="436"/>
        </w:trPr>
        <w:tc>
          <w:tcPr>
            <w:tcW w:w="6300" w:type="dxa"/>
            <w:vAlign w:val="bottom"/>
            <w:gridSpan w:val="2"/>
          </w:tcPr>
          <w:p>
            <w:pPr>
              <w:jc w:val="right"/>
              <w:ind w:right="1081"/>
              <w:spacing w:after="0"/>
              <w:rPr>
                <w:sz w:val="20"/>
                <w:szCs w:val="20"/>
                <w:color w:val="auto"/>
              </w:rPr>
            </w:pPr>
            <w:r>
              <w:rPr>
                <w:rFonts w:ascii="Arial" w:cs="Arial" w:eastAsia="Arial" w:hAnsi="Arial"/>
                <w:sz w:val="20"/>
                <w:szCs w:val="20"/>
                <w:color w:val="231F20"/>
              </w:rPr>
              <w:t>A reconciliation of Level 3 measurements was as follows:</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1"/>
        </w:trPr>
        <w:tc>
          <w:tcPr>
            <w:tcW w:w="20" w:type="dxa"/>
            <w:vAlign w:val="bottom"/>
          </w:tcPr>
          <w:p>
            <w:pPr>
              <w:spacing w:after="0"/>
              <w:rPr>
                <w:sz w:val="13"/>
                <w:szCs w:val="13"/>
                <w:color w:val="auto"/>
              </w:rPr>
            </w:pPr>
          </w:p>
        </w:tc>
        <w:tc>
          <w:tcPr>
            <w:tcW w:w="6280" w:type="dxa"/>
            <w:vAlign w:val="bottom"/>
            <w:tcBorders>
              <w:bottom w:val="single" w:sz="8" w:color="231F20"/>
            </w:tcBorders>
          </w:tcPr>
          <w:p>
            <w:pPr>
              <w:spacing w:after="0"/>
              <w:rPr>
                <w:sz w:val="13"/>
                <w:szCs w:val="13"/>
                <w:color w:val="auto"/>
              </w:rPr>
            </w:pPr>
          </w:p>
        </w:tc>
        <w:tc>
          <w:tcPr>
            <w:tcW w:w="620" w:type="dxa"/>
            <w:vAlign w:val="bottom"/>
            <w:tcBorders>
              <w:bottom w:val="single" w:sz="8" w:color="231F20"/>
            </w:tcBorders>
          </w:tcPr>
          <w:p>
            <w:pPr>
              <w:spacing w:after="0"/>
              <w:rPr>
                <w:sz w:val="13"/>
                <w:szCs w:val="13"/>
                <w:color w:val="auto"/>
              </w:rPr>
            </w:pPr>
          </w:p>
        </w:tc>
        <w:tc>
          <w:tcPr>
            <w:tcW w:w="1780" w:type="dxa"/>
            <w:vAlign w:val="bottom"/>
            <w:tcBorders>
              <w:bottom w:val="single" w:sz="8" w:color="231F20"/>
            </w:tcBorders>
            <w:gridSpan w:val="2"/>
          </w:tcPr>
          <w:p>
            <w:pPr>
              <w:spacing w:after="0"/>
              <w:rPr>
                <w:sz w:val="13"/>
                <w:szCs w:val="13"/>
                <w:color w:val="auto"/>
              </w:rPr>
            </w:pPr>
          </w:p>
        </w:tc>
        <w:tc>
          <w:tcPr>
            <w:tcW w:w="760" w:type="dxa"/>
            <w:vAlign w:val="bottom"/>
            <w:tcBorders>
              <w:bottom w:val="single" w:sz="8" w:color="231F20"/>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6280" w:type="dxa"/>
            <w:vAlign w:val="bottom"/>
            <w:tcBorders>
              <w:right w:val="single" w:sz="8" w:color="231F20"/>
            </w:tcBorders>
          </w:tcPr>
          <w:p>
            <w:pPr>
              <w:spacing w:after="0"/>
              <w:rPr>
                <w:sz w:val="13"/>
                <w:szCs w:val="13"/>
                <w:color w:val="auto"/>
              </w:rPr>
            </w:pPr>
          </w:p>
        </w:tc>
        <w:tc>
          <w:tcPr>
            <w:tcW w:w="620" w:type="dxa"/>
            <w:vAlign w:val="bottom"/>
          </w:tcPr>
          <w:p>
            <w:pPr>
              <w:spacing w:after="0"/>
              <w:rPr>
                <w:sz w:val="13"/>
                <w:szCs w:val="13"/>
                <w:color w:val="auto"/>
              </w:rPr>
            </w:pPr>
          </w:p>
        </w:tc>
        <w:tc>
          <w:tcPr>
            <w:tcW w:w="1780" w:type="dxa"/>
            <w:vAlign w:val="bottom"/>
            <w:gridSpan w:val="2"/>
          </w:tcPr>
          <w:p>
            <w:pPr>
              <w:jc w:val="right"/>
              <w:ind w:right="199"/>
              <w:spacing w:after="0" w:line="150" w:lineRule="exact"/>
              <w:rPr>
                <w:sz w:val="20"/>
                <w:szCs w:val="20"/>
                <w:color w:val="auto"/>
              </w:rPr>
            </w:pPr>
            <w:r>
              <w:rPr>
                <w:rFonts w:ascii="Arial" w:cs="Arial" w:eastAsia="Arial" w:hAnsi="Arial"/>
                <w:sz w:val="15"/>
                <w:szCs w:val="15"/>
                <w:color w:val="231F20"/>
              </w:rPr>
              <w:t>Group annuity/</w:t>
            </w:r>
          </w:p>
        </w:tc>
        <w:tc>
          <w:tcPr>
            <w:tcW w:w="76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6280" w:type="dxa"/>
            <w:vAlign w:val="bottom"/>
            <w:tcBorders>
              <w:bottom w:val="single" w:sz="8" w:color="231F20"/>
              <w:right w:val="single" w:sz="8" w:color="231F20"/>
            </w:tcBorders>
          </w:tcPr>
          <w:p>
            <w:pPr>
              <w:spacing w:after="0"/>
              <w:rPr>
                <w:sz w:val="16"/>
                <w:szCs w:val="16"/>
                <w:color w:val="auto"/>
              </w:rPr>
            </w:pPr>
          </w:p>
        </w:tc>
        <w:tc>
          <w:tcPr>
            <w:tcW w:w="620" w:type="dxa"/>
            <w:vAlign w:val="bottom"/>
            <w:tcBorders>
              <w:bottom w:val="single" w:sz="8" w:color="231F20"/>
            </w:tcBorders>
          </w:tcPr>
          <w:p>
            <w:pPr>
              <w:spacing w:after="0"/>
              <w:rPr>
                <w:sz w:val="16"/>
                <w:szCs w:val="16"/>
                <w:color w:val="auto"/>
              </w:rPr>
            </w:pPr>
          </w:p>
        </w:tc>
        <w:tc>
          <w:tcPr>
            <w:tcW w:w="1780" w:type="dxa"/>
            <w:vAlign w:val="bottom"/>
            <w:tcBorders>
              <w:bottom w:val="single" w:sz="8" w:color="231F20"/>
            </w:tcBorders>
            <w:gridSpan w:val="2"/>
          </w:tcPr>
          <w:p>
            <w:pPr>
              <w:jc w:val="right"/>
              <w:ind w:right="39"/>
              <w:spacing w:after="0"/>
              <w:rPr>
                <w:sz w:val="20"/>
                <w:szCs w:val="20"/>
                <w:color w:val="auto"/>
              </w:rPr>
            </w:pPr>
            <w:r>
              <w:rPr>
                <w:rFonts w:ascii="Arial" w:cs="Arial" w:eastAsia="Arial" w:hAnsi="Arial"/>
                <w:sz w:val="15"/>
                <w:szCs w:val="15"/>
                <w:color w:val="231F20"/>
              </w:rPr>
              <w:t>insurance contracts</w:t>
            </w:r>
          </w:p>
        </w:tc>
        <w:tc>
          <w:tcPr>
            <w:tcW w:w="760" w:type="dxa"/>
            <w:vAlign w:val="bottom"/>
            <w:tcBorders>
              <w:bottom w:val="single" w:sz="8" w:color="231F20"/>
            </w:tcBorders>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6280" w:type="dxa"/>
            <w:vAlign w:val="bottom"/>
            <w:tcBorders>
              <w:bottom w:val="single" w:sz="8" w:color="231F20"/>
              <w:right w:val="single" w:sz="8" w:color="231F20"/>
            </w:tcBorders>
          </w:tcPr>
          <w:p>
            <w:pPr>
              <w:jc w:val="right"/>
              <w:spacing w:after="0" w:line="165" w:lineRule="exact"/>
              <w:rPr>
                <w:sz w:val="20"/>
                <w:szCs w:val="20"/>
                <w:color w:val="auto"/>
              </w:rPr>
            </w:pPr>
            <w:r>
              <w:rPr>
                <w:rFonts w:ascii="Arial" w:cs="Arial" w:eastAsia="Arial" w:hAnsi="Arial"/>
                <w:sz w:val="14"/>
                <w:szCs w:val="14"/>
                <w:i w:val="1"/>
                <w:iCs w:val="1"/>
                <w:color w:val="231F20"/>
              </w:rPr>
              <w:t xml:space="preserve">(In millions) </w:t>
            </w:r>
            <w:r>
              <w:rPr>
                <w:rFonts w:ascii="Times New Roman" w:cs="Times New Roman" w:eastAsia="Times New Roman" w:hAnsi="Times New Roman"/>
                <w:sz w:val="19"/>
                <w:szCs w:val="19"/>
                <w:color w:val="231F20"/>
              </w:rPr>
              <w:t>............................................................................................................</w:t>
            </w:r>
          </w:p>
        </w:tc>
        <w:tc>
          <w:tcPr>
            <w:tcW w:w="620" w:type="dxa"/>
            <w:vAlign w:val="bottom"/>
            <w:tcBorders>
              <w:bottom w:val="single" w:sz="8" w:color="231F20"/>
            </w:tcBorders>
          </w:tcPr>
          <w:p>
            <w:pPr>
              <w:spacing w:after="0"/>
              <w:rPr>
                <w:sz w:val="14"/>
                <w:szCs w:val="14"/>
                <w:color w:val="auto"/>
              </w:rPr>
            </w:pPr>
          </w:p>
        </w:tc>
        <w:tc>
          <w:tcPr>
            <w:tcW w:w="1040" w:type="dxa"/>
            <w:vAlign w:val="bottom"/>
            <w:tcBorders>
              <w:bottom w:val="single" w:sz="8" w:color="231F20"/>
              <w:right w:val="single" w:sz="8" w:color="231F20"/>
            </w:tcBorders>
          </w:tcPr>
          <w:p>
            <w:pPr>
              <w:jc w:val="right"/>
              <w:ind w:right="166"/>
              <w:spacing w:after="0" w:line="165" w:lineRule="exact"/>
              <w:rPr>
                <w:sz w:val="20"/>
                <w:szCs w:val="20"/>
                <w:color w:val="auto"/>
              </w:rPr>
            </w:pPr>
            <w:r>
              <w:rPr>
                <w:rFonts w:ascii="Arial" w:cs="Arial" w:eastAsia="Arial" w:hAnsi="Arial"/>
                <w:sz w:val="15"/>
                <w:szCs w:val="15"/>
                <w:i w:val="1"/>
                <w:iCs w:val="1"/>
                <w:color w:val="231F20"/>
              </w:rPr>
              <w:t>2023</w:t>
            </w:r>
          </w:p>
        </w:tc>
        <w:tc>
          <w:tcPr>
            <w:tcW w:w="740" w:type="dxa"/>
            <w:vAlign w:val="bottom"/>
            <w:tcBorders>
              <w:bottom w:val="single" w:sz="8" w:color="231F20"/>
            </w:tcBorders>
          </w:tcPr>
          <w:p>
            <w:pPr>
              <w:spacing w:after="0"/>
              <w:rPr>
                <w:sz w:val="14"/>
                <w:szCs w:val="14"/>
                <w:color w:val="auto"/>
              </w:rPr>
            </w:pPr>
          </w:p>
        </w:tc>
        <w:tc>
          <w:tcPr>
            <w:tcW w:w="760" w:type="dxa"/>
            <w:vAlign w:val="bottom"/>
            <w:tcBorders>
              <w:bottom w:val="single" w:sz="8" w:color="231F20"/>
            </w:tcBorders>
          </w:tcPr>
          <w:p>
            <w:pPr>
              <w:jc w:val="right"/>
              <w:ind w:right="3"/>
              <w:spacing w:after="0" w:line="165" w:lineRule="exact"/>
              <w:rPr>
                <w:sz w:val="20"/>
                <w:szCs w:val="20"/>
                <w:color w:val="auto"/>
              </w:rPr>
            </w:pPr>
            <w:r>
              <w:rPr>
                <w:rFonts w:ascii="Arial" w:cs="Arial" w:eastAsia="Arial" w:hAnsi="Arial"/>
                <w:sz w:val="15"/>
                <w:szCs w:val="15"/>
                <w:color w:val="231F20"/>
              </w:rPr>
              <w:t>2022</w:t>
            </w:r>
          </w:p>
        </w:tc>
      </w:tr>
      <w:tr>
        <w:trPr>
          <w:trHeight w:val="202"/>
        </w:trPr>
        <w:tc>
          <w:tcPr>
            <w:tcW w:w="20" w:type="dxa"/>
            <w:vAlign w:val="bottom"/>
          </w:tcPr>
          <w:p>
            <w:pPr>
              <w:spacing w:after="0"/>
              <w:rPr>
                <w:sz w:val="17"/>
                <w:szCs w:val="17"/>
                <w:color w:val="auto"/>
              </w:rPr>
            </w:pPr>
          </w:p>
        </w:tc>
        <w:tc>
          <w:tcPr>
            <w:tcW w:w="628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rPr>
              <w:t xml:space="preserve">Beginning of year </w:t>
            </w:r>
            <w:r>
              <w:rPr>
                <w:rFonts w:ascii="Times New Roman" w:cs="Times New Roman" w:eastAsia="Times New Roman" w:hAnsi="Times New Roman"/>
                <w:sz w:val="20"/>
                <w:szCs w:val="20"/>
                <w:color w:val="231F20"/>
              </w:rPr>
              <w:t>............................................................................................</w:t>
            </w:r>
          </w:p>
        </w:tc>
        <w:tc>
          <w:tcPr>
            <w:tcW w:w="620" w:type="dxa"/>
            <w:vAlign w:val="bottom"/>
          </w:tcPr>
          <w:p>
            <w:pPr>
              <w:jc w:val="right"/>
              <w:ind w:right="279"/>
              <w:spacing w:after="0" w:line="203" w:lineRule="exact"/>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66"/>
              <w:spacing w:after="0" w:line="203" w:lineRule="exact"/>
              <w:rPr>
                <w:sz w:val="20"/>
                <w:szCs w:val="20"/>
                <w:color w:val="auto"/>
              </w:rPr>
            </w:pPr>
            <w:r>
              <w:rPr>
                <w:rFonts w:ascii="Arial" w:cs="Arial" w:eastAsia="Arial" w:hAnsi="Arial"/>
                <w:sz w:val="20"/>
                <w:szCs w:val="20"/>
                <w:color w:val="231F20"/>
              </w:rPr>
              <w:t>26.0</w:t>
            </w:r>
          </w:p>
        </w:tc>
        <w:tc>
          <w:tcPr>
            <w:tcW w:w="740" w:type="dxa"/>
            <w:vAlign w:val="bottom"/>
          </w:tcPr>
          <w:p>
            <w:pPr>
              <w:jc w:val="right"/>
              <w:ind w:right="399"/>
              <w:spacing w:after="0" w:line="203" w:lineRule="exact"/>
              <w:rPr>
                <w:sz w:val="20"/>
                <w:szCs w:val="20"/>
                <w:color w:val="auto"/>
              </w:rPr>
            </w:pPr>
            <w:r>
              <w:rPr>
                <w:rFonts w:ascii="Arial" w:cs="Arial" w:eastAsia="Arial" w:hAnsi="Arial"/>
                <w:sz w:val="20"/>
                <w:szCs w:val="20"/>
                <w:color w:val="231F20"/>
              </w:rPr>
              <w:t>$</w:t>
            </w:r>
          </w:p>
        </w:tc>
        <w:tc>
          <w:tcPr>
            <w:tcW w:w="760" w:type="dxa"/>
            <w:vAlign w:val="bottom"/>
          </w:tcPr>
          <w:p>
            <w:pPr>
              <w:jc w:val="right"/>
              <w:ind w:right="3"/>
              <w:spacing w:after="0" w:line="203" w:lineRule="exact"/>
              <w:rPr>
                <w:sz w:val="20"/>
                <w:szCs w:val="20"/>
                <w:color w:val="auto"/>
              </w:rPr>
            </w:pPr>
            <w:r>
              <w:rPr>
                <w:rFonts w:ascii="Arial" w:cs="Arial" w:eastAsia="Arial" w:hAnsi="Arial"/>
                <w:sz w:val="20"/>
                <w:szCs w:val="20"/>
                <w:color w:val="231F20"/>
              </w:rPr>
              <w:t>25.5</w:t>
            </w:r>
          </w:p>
        </w:tc>
      </w:tr>
      <w:tr>
        <w:trPr>
          <w:trHeight w:val="253"/>
        </w:trPr>
        <w:tc>
          <w:tcPr>
            <w:tcW w:w="20" w:type="dxa"/>
            <w:vAlign w:val="bottom"/>
          </w:tcPr>
          <w:p>
            <w:pPr>
              <w:spacing w:after="0"/>
              <w:rPr>
                <w:sz w:val="22"/>
                <w:szCs w:val="22"/>
                <w:color w:val="auto"/>
              </w:rPr>
            </w:pPr>
          </w:p>
        </w:tc>
        <w:tc>
          <w:tcPr>
            <w:tcW w:w="628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 xml:space="preserve">Actual return on assets related to assets still held </w:t>
            </w:r>
            <w:r>
              <w:rPr>
                <w:rFonts w:ascii="Times New Roman" w:cs="Times New Roman" w:eastAsia="Times New Roman" w:hAnsi="Times New Roman"/>
                <w:sz w:val="20"/>
                <w:szCs w:val="20"/>
                <w:color w:val="231F20"/>
              </w:rPr>
              <w:t>....................................</w:t>
            </w:r>
          </w:p>
        </w:tc>
        <w:tc>
          <w:tcPr>
            <w:tcW w:w="6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66"/>
              <w:spacing w:after="0"/>
              <w:rPr>
                <w:sz w:val="20"/>
                <w:szCs w:val="20"/>
                <w:color w:val="auto"/>
              </w:rPr>
            </w:pPr>
            <w:r>
              <w:rPr>
                <w:rFonts w:ascii="Arial" w:cs="Arial" w:eastAsia="Arial" w:hAnsi="Arial"/>
                <w:sz w:val="20"/>
                <w:szCs w:val="20"/>
                <w:color w:val="231F20"/>
              </w:rPr>
              <w:t>0.8</w:t>
            </w:r>
          </w:p>
        </w:tc>
        <w:tc>
          <w:tcPr>
            <w:tcW w:w="74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ind w:right="3"/>
              <w:spacing w:after="0"/>
              <w:rPr>
                <w:sz w:val="20"/>
                <w:szCs w:val="20"/>
                <w:color w:val="auto"/>
              </w:rPr>
            </w:pPr>
            <w:r>
              <w:rPr>
                <w:rFonts w:ascii="Arial" w:cs="Arial" w:eastAsia="Arial" w:hAnsi="Arial"/>
                <w:sz w:val="20"/>
                <w:szCs w:val="20"/>
                <w:color w:val="231F20"/>
              </w:rPr>
              <w:t>0.5</w:t>
            </w:r>
          </w:p>
        </w:tc>
      </w:tr>
      <w:tr>
        <w:trPr>
          <w:trHeight w:val="248"/>
        </w:trPr>
        <w:tc>
          <w:tcPr>
            <w:tcW w:w="20" w:type="dxa"/>
            <w:vAlign w:val="bottom"/>
          </w:tcPr>
          <w:p>
            <w:pPr>
              <w:spacing w:after="0"/>
              <w:rPr>
                <w:sz w:val="21"/>
                <w:szCs w:val="21"/>
                <w:color w:val="auto"/>
              </w:rPr>
            </w:pPr>
          </w:p>
        </w:tc>
        <w:tc>
          <w:tcPr>
            <w:tcW w:w="6280" w:type="dxa"/>
            <w:vAlign w:val="bottom"/>
            <w:tcBorders>
              <w:bottom w:val="single" w:sz="8" w:color="231F20"/>
              <w:right w:val="single" w:sz="8" w:color="231F20"/>
            </w:tcBorders>
          </w:tcPr>
          <w:p>
            <w:pPr>
              <w:jc w:val="right"/>
              <w:spacing w:after="0" w:line="223" w:lineRule="exact"/>
              <w:rPr>
                <w:sz w:val="20"/>
                <w:szCs w:val="20"/>
                <w:color w:val="auto"/>
              </w:rPr>
            </w:pPr>
            <w:r>
              <w:rPr>
                <w:rFonts w:ascii="Arial" w:cs="Arial" w:eastAsia="Arial" w:hAnsi="Arial"/>
                <w:sz w:val="20"/>
                <w:szCs w:val="20"/>
                <w:color w:val="231F20"/>
              </w:rPr>
              <w:t>End of year</w:t>
            </w:r>
            <w:r>
              <w:rPr>
                <w:rFonts w:ascii="Times New Roman" w:cs="Times New Roman" w:eastAsia="Times New Roman" w:hAnsi="Times New Roman"/>
                <w:sz w:val="20"/>
                <w:szCs w:val="20"/>
                <w:color w:val="231F20"/>
              </w:rPr>
              <w:t>.......................................................................................................</w:t>
            </w:r>
          </w:p>
        </w:tc>
        <w:tc>
          <w:tcPr>
            <w:tcW w:w="620" w:type="dxa"/>
            <w:vAlign w:val="bottom"/>
            <w:tcBorders>
              <w:bottom w:val="single" w:sz="8" w:color="231F20"/>
            </w:tcBorders>
          </w:tcPr>
          <w:p>
            <w:pPr>
              <w:jc w:val="right"/>
              <w:ind w:right="279"/>
              <w:spacing w:after="0" w:line="223" w:lineRule="exact"/>
              <w:rPr>
                <w:sz w:val="20"/>
                <w:szCs w:val="20"/>
                <w:color w:val="auto"/>
              </w:rPr>
            </w:pPr>
            <w:r>
              <w:rPr>
                <w:rFonts w:ascii="Arial" w:cs="Arial" w:eastAsia="Arial" w:hAnsi="Arial"/>
                <w:sz w:val="20"/>
                <w:szCs w:val="20"/>
                <w:color w:val="231F20"/>
              </w:rPr>
              <w:t>$</w:t>
            </w:r>
          </w:p>
        </w:tc>
        <w:tc>
          <w:tcPr>
            <w:tcW w:w="1040" w:type="dxa"/>
            <w:vAlign w:val="bottom"/>
            <w:tcBorders>
              <w:bottom w:val="single" w:sz="8" w:color="231F20"/>
              <w:right w:val="single" w:sz="8" w:color="231F20"/>
            </w:tcBorders>
          </w:tcPr>
          <w:p>
            <w:pPr>
              <w:jc w:val="right"/>
              <w:ind w:right="166"/>
              <w:spacing w:after="0" w:line="223" w:lineRule="exact"/>
              <w:rPr>
                <w:sz w:val="20"/>
                <w:szCs w:val="20"/>
                <w:color w:val="auto"/>
              </w:rPr>
            </w:pPr>
            <w:r>
              <w:rPr>
                <w:rFonts w:ascii="Arial" w:cs="Arial" w:eastAsia="Arial" w:hAnsi="Arial"/>
                <w:sz w:val="20"/>
                <w:szCs w:val="20"/>
                <w:color w:val="231F20"/>
              </w:rPr>
              <w:t>26.8</w:t>
            </w:r>
          </w:p>
        </w:tc>
        <w:tc>
          <w:tcPr>
            <w:tcW w:w="740" w:type="dxa"/>
            <w:vAlign w:val="bottom"/>
            <w:tcBorders>
              <w:bottom w:val="single" w:sz="8" w:color="231F20"/>
            </w:tcBorders>
          </w:tcPr>
          <w:p>
            <w:pPr>
              <w:jc w:val="right"/>
              <w:ind w:right="399"/>
              <w:spacing w:after="0" w:line="223" w:lineRule="exact"/>
              <w:rPr>
                <w:sz w:val="20"/>
                <w:szCs w:val="20"/>
                <w:color w:val="auto"/>
              </w:rPr>
            </w:pPr>
            <w:r>
              <w:rPr>
                <w:rFonts w:ascii="Arial" w:cs="Arial" w:eastAsia="Arial" w:hAnsi="Arial"/>
                <w:sz w:val="20"/>
                <w:szCs w:val="20"/>
                <w:color w:val="231F20"/>
              </w:rPr>
              <w:t>$</w:t>
            </w:r>
          </w:p>
        </w:tc>
        <w:tc>
          <w:tcPr>
            <w:tcW w:w="760" w:type="dxa"/>
            <w:vAlign w:val="bottom"/>
            <w:tcBorders>
              <w:bottom w:val="single" w:sz="8" w:color="231F20"/>
            </w:tcBorders>
          </w:tcPr>
          <w:p>
            <w:pPr>
              <w:jc w:val="right"/>
              <w:ind w:right="3"/>
              <w:spacing w:after="0" w:line="223" w:lineRule="exact"/>
              <w:rPr>
                <w:sz w:val="20"/>
                <w:szCs w:val="20"/>
                <w:color w:val="auto"/>
              </w:rPr>
            </w:pPr>
            <w:r>
              <w:rPr>
                <w:rFonts w:ascii="Arial" w:cs="Arial" w:eastAsia="Arial" w:hAnsi="Arial"/>
                <w:sz w:val="20"/>
                <w:szCs w:val="20"/>
                <w:color w:val="231F20"/>
              </w:rPr>
              <w:t>26.0</w:t>
            </w:r>
          </w:p>
        </w:tc>
      </w:tr>
    </w:tbl>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20"/>
          <w:szCs w:val="20"/>
          <w:color w:val="231F20"/>
        </w:rPr>
        <w:t>Our defined benefit plans Master Trust own a variety of investment assets. All of these investment assets, except for group annuity/insurance contracts, are measured using net asset value per share as a practical expedient per ASC 820. Following the retrospective adoption of ASU 2015-07 (Fair Value Measurement (Topic 820): Disclosures for Investments in Certain Entities That Calculate Net Asset Value per Share), we excluded all investments measured using net asset value per share in the amount of $441.2 million and $456.5 million as of December 30, 2023 and December 31, 2022, respectively, from the tabular fair value hierarchy disclosure.</w:t>
      </w:r>
    </w:p>
    <w:p>
      <w:pPr>
        <w:spacing w:after="0" w:line="113"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231F20"/>
        </w:rPr>
        <w:t>The terms and conditions for redemptions vary for each class of the investment assets valued at net asset value per share as a practical expedient. Real estate assets may be redeemed quarterly with a 45 day redemption notice period. Investment assets in multi-strategy hedge funds may be redeemed semi-annually with a 95 day redemption notice period. Equity, fixed income and cash and cash equivalents have no specified redemption frequency and notice period and may be redeemed daily. As of December 30, 2023, we do not have an intent to sell or otherwise dispose of these investment assets at prices different than the net asset value per share.</w:t>
      </w:r>
    </w:p>
    <w:p>
      <w:pPr>
        <w:sectPr>
          <w:pgSz w:w="12240" w:h="15840" w:orient="portrait"/>
          <w:cols w:equalWidth="0" w:num="1">
            <w:col w:w="9460"/>
          </w:cols>
          <w:pgMar w:left="1380" w:top="1418"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80</w:t>
      </w:r>
    </w:p>
    <w:p>
      <w:pPr>
        <w:sectPr>
          <w:pgSz w:w="12240" w:h="15840" w:orient="portrait"/>
          <w:cols w:equalWidth="0" w:num="1">
            <w:col w:w="9460"/>
          </w:cols>
          <w:pgMar w:left="1380" w:top="1418" w:right="1400" w:bottom="95" w:gutter="0" w:footer="0" w:header="0"/>
          <w:type w:val="continuous"/>
        </w:sectPr>
      </w:pPr>
    </w:p>
    <w:bookmarkStart w:id="88" w:name="page89"/>
    <w:bookmarkEnd w:id="88"/>
    <w:p>
      <w:pPr>
        <w:ind w:right="20"/>
        <w:spacing w:after="0" w:line="251" w:lineRule="auto"/>
        <w:rPr>
          <w:sz w:val="20"/>
          <w:szCs w:val="20"/>
          <w:color w:val="auto"/>
        </w:rPr>
      </w:pPr>
      <w:r>
        <w:rPr>
          <w:rFonts w:ascii="Arial" w:cs="Arial" w:eastAsia="Arial" w:hAnsi="Arial"/>
          <w:sz w:val="20"/>
          <w:szCs w:val="20"/>
          <w:color w:val="231F20"/>
        </w:rPr>
        <w:t>Our investment strategy is to optimize investment returns through a diversified portfolio of investments, taking into consideration underlying plan liabilities and asset volatility. The defined benefit asset allocation policy of the plans allows for an equity allocation of 0% to 75%, a fixed income allocation of 25% to 100%, a cash allocation of up to 25% and other investments of up to 20%. Asset allocations are based on the underlying liability structure. All retirement asset allocations are reviewed periodically to ensure the allocations meets the needs of the liability structure.</w:t>
      </w:r>
    </w:p>
    <w:p>
      <w:pPr>
        <w:spacing w:after="0" w:line="135"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color w:val="231F20"/>
        </w:rPr>
        <w:t>Our 2024 expected blended long-term rate of return on plan assets of 7.3% was determined based on the nature of the plans’ investments, our current asset allocation and projected long-term rates of return from pension investment consultants.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Estimated Future Retirement Benefit Payments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The following retirement benefit payments are expected to be paid: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100" w:type="dxa"/>
            <w:vAlign w:val="bottom"/>
            <w:tcBorders>
              <w:top w:val="single" w:sz="8" w:color="231F20"/>
            </w:tcBorders>
          </w:tcPr>
          <w:p>
            <w:pPr>
              <w:spacing w:after="0"/>
              <w:rPr>
                <w:sz w:val="13"/>
                <w:szCs w:val="13"/>
                <w:color w:val="auto"/>
              </w:rPr>
            </w:pPr>
          </w:p>
        </w:tc>
        <w:tc>
          <w:tcPr>
            <w:tcW w:w="540" w:type="dxa"/>
            <w:vAlign w:val="bottom"/>
            <w:tcBorders>
              <w:top w:val="single" w:sz="8" w:color="231F20"/>
            </w:tcBorders>
          </w:tcPr>
          <w:p>
            <w:pPr>
              <w:spacing w:after="0"/>
              <w:rPr>
                <w:sz w:val="13"/>
                <w:szCs w:val="13"/>
                <w:color w:val="auto"/>
              </w:rPr>
            </w:pPr>
          </w:p>
        </w:tc>
        <w:tc>
          <w:tcPr>
            <w:tcW w:w="1100" w:type="dxa"/>
            <w:vAlign w:val="bottom"/>
            <w:tcBorders>
              <w:top w:val="single" w:sz="8" w:color="231F20"/>
              <w:right w:val="single" w:sz="8" w:color="231F20"/>
            </w:tcBorders>
          </w:tcPr>
          <w:p>
            <w:pPr>
              <w:jc w:val="right"/>
              <w:ind w:right="145"/>
              <w:spacing w:after="0" w:line="153" w:lineRule="exact"/>
              <w:rPr>
                <w:sz w:val="20"/>
                <w:szCs w:val="20"/>
                <w:color w:val="auto"/>
              </w:rPr>
            </w:pPr>
            <w:r>
              <w:rPr>
                <w:rFonts w:ascii="Arial" w:cs="Arial" w:eastAsia="Arial" w:hAnsi="Arial"/>
                <w:sz w:val="15"/>
                <w:szCs w:val="15"/>
                <w:color w:val="231F20"/>
              </w:rPr>
              <w:t>Pension</w:t>
            </w:r>
          </w:p>
        </w:tc>
        <w:tc>
          <w:tcPr>
            <w:tcW w:w="420" w:type="dxa"/>
            <w:vAlign w:val="bottom"/>
            <w:tcBorders>
              <w:top w:val="single" w:sz="8" w:color="231F20"/>
            </w:tcBorders>
          </w:tcPr>
          <w:p>
            <w:pPr>
              <w:spacing w:after="0"/>
              <w:rPr>
                <w:sz w:val="13"/>
                <w:szCs w:val="13"/>
                <w:color w:val="auto"/>
              </w:rPr>
            </w:pPr>
          </w:p>
        </w:tc>
        <w:tc>
          <w:tcPr>
            <w:tcW w:w="1260" w:type="dxa"/>
            <w:vAlign w:val="bottom"/>
            <w:tcBorders>
              <w:top w:val="single" w:sz="8" w:color="231F20"/>
            </w:tcBorders>
          </w:tcPr>
          <w:p>
            <w:pPr>
              <w:jc w:val="right"/>
              <w:spacing w:after="0" w:line="153" w:lineRule="exact"/>
              <w:rPr>
                <w:sz w:val="20"/>
                <w:szCs w:val="20"/>
                <w:color w:val="auto"/>
              </w:rPr>
            </w:pPr>
            <w:r>
              <w:rPr>
                <w:rFonts w:ascii="Arial" w:cs="Arial" w:eastAsia="Arial" w:hAnsi="Arial"/>
                <w:sz w:val="15"/>
                <w:szCs w:val="15"/>
                <w:color w:val="231F20"/>
              </w:rPr>
              <w:t>Postretirement</w:t>
            </w:r>
          </w:p>
        </w:tc>
      </w:tr>
      <w:tr>
        <w:trPr>
          <w:trHeight w:val="207"/>
        </w:trPr>
        <w:tc>
          <w:tcPr>
            <w:tcW w:w="6120" w:type="dxa"/>
            <w:vAlign w:val="bottom"/>
            <w:gridSpan w:val="2"/>
          </w:tcPr>
          <w:p>
            <w:pPr>
              <w:spacing w:after="0" w:line="206"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540" w:type="dxa"/>
            <w:vAlign w:val="bottom"/>
          </w:tcPr>
          <w:p>
            <w:pPr>
              <w:spacing w:after="0"/>
              <w:rPr>
                <w:sz w:val="17"/>
                <w:szCs w:val="17"/>
                <w:color w:val="auto"/>
              </w:rPr>
            </w:pPr>
          </w:p>
        </w:tc>
        <w:tc>
          <w:tcPr>
            <w:tcW w:w="1100" w:type="dxa"/>
            <w:vAlign w:val="bottom"/>
            <w:tcBorders>
              <w:right w:val="single" w:sz="8" w:color="231F20"/>
            </w:tcBorders>
          </w:tcPr>
          <w:p>
            <w:pPr>
              <w:jc w:val="right"/>
              <w:ind w:right="145"/>
              <w:spacing w:after="0"/>
              <w:rPr>
                <w:sz w:val="20"/>
                <w:szCs w:val="20"/>
                <w:color w:val="auto"/>
              </w:rPr>
            </w:pPr>
            <w:r>
              <w:rPr>
                <w:rFonts w:ascii="Arial" w:cs="Arial" w:eastAsia="Arial" w:hAnsi="Arial"/>
                <w:sz w:val="15"/>
                <w:szCs w:val="15"/>
                <w:color w:val="231F20"/>
              </w:rPr>
              <w:t>Benefits</w:t>
            </w:r>
          </w:p>
        </w:tc>
        <w:tc>
          <w:tcPr>
            <w:tcW w:w="4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231F20"/>
              </w:rPr>
              <w:t>Benefits</w:t>
            </w:r>
          </w:p>
        </w:tc>
      </w:tr>
      <w:tr>
        <w:trPr>
          <w:trHeight w:val="202"/>
        </w:trPr>
        <w:tc>
          <w:tcPr>
            <w:tcW w:w="20" w:type="dxa"/>
            <w:vAlign w:val="bottom"/>
          </w:tcPr>
          <w:p>
            <w:pPr>
              <w:spacing w:after="0"/>
              <w:rPr>
                <w:sz w:val="17"/>
                <w:szCs w:val="17"/>
                <w:color w:val="auto"/>
              </w:rPr>
            </w:pPr>
          </w:p>
        </w:tc>
        <w:tc>
          <w:tcPr>
            <w:tcW w:w="6100" w:type="dxa"/>
            <w:vAlign w:val="bottom"/>
            <w:tcBorders>
              <w:top w:val="single" w:sz="8" w:color="231F20"/>
              <w:right w:val="single" w:sz="8" w:color="231F20"/>
            </w:tcBorders>
          </w:tcPr>
          <w:p>
            <w:pPr>
              <w:spacing w:after="0" w:line="202" w:lineRule="exact"/>
              <w:rPr>
                <w:sz w:val="20"/>
                <w:szCs w:val="20"/>
                <w:color w:val="auto"/>
              </w:rPr>
            </w:pPr>
            <w:r>
              <w:rPr>
                <w:rFonts w:ascii="Arial" w:cs="Arial" w:eastAsia="Arial" w:hAnsi="Arial"/>
                <w:sz w:val="20"/>
                <w:szCs w:val="20"/>
                <w:color w:val="231F20"/>
              </w:rPr>
              <w:t xml:space="preserve">2024 </w:t>
            </w:r>
            <w:r>
              <w:rPr>
                <w:rFonts w:ascii="Times New Roman" w:cs="Times New Roman" w:eastAsia="Times New Roman" w:hAnsi="Times New Roman"/>
                <w:sz w:val="20"/>
                <w:szCs w:val="20"/>
                <w:color w:val="231F20"/>
              </w:rPr>
              <w:t>...............................................................................................................</w:t>
            </w:r>
          </w:p>
        </w:tc>
        <w:tc>
          <w:tcPr>
            <w:tcW w:w="540" w:type="dxa"/>
            <w:vAlign w:val="bottom"/>
            <w:tcBorders>
              <w:top w:val="single" w:sz="8" w:color="231F20"/>
            </w:tcBorders>
          </w:tcPr>
          <w:p>
            <w:pPr>
              <w:jc w:val="right"/>
              <w:ind w:right="219"/>
              <w:spacing w:after="0" w:line="203" w:lineRule="exact"/>
              <w:rPr>
                <w:sz w:val="20"/>
                <w:szCs w:val="20"/>
                <w:color w:val="auto"/>
              </w:rPr>
            </w:pPr>
            <w:r>
              <w:rPr>
                <w:rFonts w:ascii="Arial" w:cs="Arial" w:eastAsia="Arial" w:hAnsi="Arial"/>
                <w:sz w:val="20"/>
                <w:szCs w:val="20"/>
                <w:color w:val="231F20"/>
              </w:rPr>
              <w:t>$</w:t>
            </w:r>
          </w:p>
        </w:tc>
        <w:tc>
          <w:tcPr>
            <w:tcW w:w="1100" w:type="dxa"/>
            <w:vAlign w:val="bottom"/>
            <w:tcBorders>
              <w:top w:val="single" w:sz="8" w:color="231F20"/>
              <w:right w:val="single" w:sz="8" w:color="231F20"/>
            </w:tcBorders>
          </w:tcPr>
          <w:p>
            <w:pPr>
              <w:jc w:val="right"/>
              <w:ind w:right="145"/>
              <w:spacing w:after="0" w:line="203" w:lineRule="exact"/>
              <w:rPr>
                <w:sz w:val="20"/>
                <w:szCs w:val="20"/>
                <w:color w:val="auto"/>
              </w:rPr>
            </w:pPr>
            <w:r>
              <w:rPr>
                <w:rFonts w:ascii="Arial" w:cs="Arial" w:eastAsia="Arial" w:hAnsi="Arial"/>
                <w:sz w:val="20"/>
                <w:szCs w:val="20"/>
                <w:color w:val="231F20"/>
              </w:rPr>
              <w:t>35.4</w:t>
            </w:r>
          </w:p>
        </w:tc>
        <w:tc>
          <w:tcPr>
            <w:tcW w:w="420" w:type="dxa"/>
            <w:vAlign w:val="bottom"/>
            <w:tcBorders>
              <w:top w:val="single" w:sz="8" w:color="231F20"/>
            </w:tcBorders>
          </w:tcPr>
          <w:p>
            <w:pPr>
              <w:jc w:val="right"/>
              <w:ind w:right="79"/>
              <w:spacing w:after="0" w:line="203" w:lineRule="exact"/>
              <w:rPr>
                <w:sz w:val="20"/>
                <w:szCs w:val="20"/>
                <w:color w:val="auto"/>
              </w:rPr>
            </w:pPr>
            <w:r>
              <w:rPr>
                <w:rFonts w:ascii="Arial" w:cs="Arial" w:eastAsia="Arial" w:hAnsi="Arial"/>
                <w:sz w:val="20"/>
                <w:szCs w:val="20"/>
                <w:color w:val="231F20"/>
              </w:rPr>
              <w:t>$</w:t>
            </w:r>
          </w:p>
        </w:tc>
        <w:tc>
          <w:tcPr>
            <w:tcW w:w="1260" w:type="dxa"/>
            <w:vAlign w:val="bottom"/>
            <w:tcBorders>
              <w:top w:val="single" w:sz="8" w:color="231F20"/>
            </w:tcBorders>
          </w:tcPr>
          <w:p>
            <w:pPr>
              <w:jc w:val="right"/>
              <w:spacing w:after="0" w:line="203" w:lineRule="exact"/>
              <w:rPr>
                <w:sz w:val="20"/>
                <w:szCs w:val="20"/>
                <w:color w:val="auto"/>
              </w:rPr>
            </w:pPr>
            <w:r>
              <w:rPr>
                <w:rFonts w:ascii="Arial" w:cs="Arial" w:eastAsia="Arial" w:hAnsi="Arial"/>
                <w:sz w:val="20"/>
                <w:szCs w:val="20"/>
                <w:color w:val="231F20"/>
              </w:rPr>
              <w:t>1.3</w:t>
            </w:r>
          </w:p>
        </w:tc>
      </w:tr>
      <w:tr>
        <w:trPr>
          <w:trHeight w:val="233"/>
        </w:trPr>
        <w:tc>
          <w:tcPr>
            <w:tcW w:w="612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 xml:space="preserve">2025 </w:t>
            </w:r>
            <w:r>
              <w:rPr>
                <w:rFonts w:ascii="Times New Roman" w:cs="Times New Roman" w:eastAsia="Times New Roman" w:hAnsi="Times New Roman"/>
                <w:sz w:val="20"/>
                <w:szCs w:val="20"/>
                <w:color w:val="231F20"/>
              </w:rPr>
              <w:t>...............................................................................................................</w:t>
            </w:r>
          </w:p>
        </w:tc>
        <w:tc>
          <w:tcPr>
            <w:tcW w:w="540" w:type="dxa"/>
            <w:vAlign w:val="bottom"/>
          </w:tcPr>
          <w:p>
            <w:pPr>
              <w:spacing w:after="0"/>
              <w:rPr>
                <w:sz w:val="20"/>
                <w:szCs w:val="20"/>
                <w:color w:val="auto"/>
              </w:rPr>
            </w:pPr>
          </w:p>
        </w:tc>
        <w:tc>
          <w:tcPr>
            <w:tcW w:w="1100" w:type="dxa"/>
            <w:vAlign w:val="bottom"/>
            <w:tcBorders>
              <w:right w:val="single" w:sz="8" w:color="231F20"/>
            </w:tcBorders>
          </w:tcPr>
          <w:p>
            <w:pPr>
              <w:jc w:val="right"/>
              <w:ind w:right="145"/>
              <w:spacing w:after="0"/>
              <w:rPr>
                <w:sz w:val="20"/>
                <w:szCs w:val="20"/>
                <w:color w:val="auto"/>
              </w:rPr>
            </w:pPr>
            <w:r>
              <w:rPr>
                <w:rFonts w:ascii="Arial" w:cs="Arial" w:eastAsia="Arial" w:hAnsi="Arial"/>
                <w:sz w:val="20"/>
                <w:szCs w:val="20"/>
                <w:color w:val="231F20"/>
              </w:rPr>
              <w:t>36.1</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231F20"/>
              </w:rPr>
              <w:t>1.2</w:t>
            </w:r>
          </w:p>
        </w:tc>
      </w:tr>
      <w:tr>
        <w:trPr>
          <w:trHeight w:val="233"/>
        </w:trPr>
        <w:tc>
          <w:tcPr>
            <w:tcW w:w="612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 xml:space="preserve">2026 </w:t>
            </w:r>
            <w:r>
              <w:rPr>
                <w:rFonts w:ascii="Times New Roman" w:cs="Times New Roman" w:eastAsia="Times New Roman" w:hAnsi="Times New Roman"/>
                <w:sz w:val="20"/>
                <w:szCs w:val="20"/>
                <w:color w:val="231F20"/>
              </w:rPr>
              <w:t>...............................................................................................................</w:t>
            </w:r>
          </w:p>
        </w:tc>
        <w:tc>
          <w:tcPr>
            <w:tcW w:w="540" w:type="dxa"/>
            <w:vAlign w:val="bottom"/>
          </w:tcPr>
          <w:p>
            <w:pPr>
              <w:spacing w:after="0"/>
              <w:rPr>
                <w:sz w:val="20"/>
                <w:szCs w:val="20"/>
                <w:color w:val="auto"/>
              </w:rPr>
            </w:pPr>
          </w:p>
        </w:tc>
        <w:tc>
          <w:tcPr>
            <w:tcW w:w="1100" w:type="dxa"/>
            <w:vAlign w:val="bottom"/>
            <w:tcBorders>
              <w:right w:val="single" w:sz="8" w:color="231F20"/>
            </w:tcBorders>
          </w:tcPr>
          <w:p>
            <w:pPr>
              <w:jc w:val="right"/>
              <w:ind w:right="145"/>
              <w:spacing w:after="0"/>
              <w:rPr>
                <w:sz w:val="20"/>
                <w:szCs w:val="20"/>
                <w:color w:val="auto"/>
              </w:rPr>
            </w:pPr>
            <w:r>
              <w:rPr>
                <w:rFonts w:ascii="Arial" w:cs="Arial" w:eastAsia="Arial" w:hAnsi="Arial"/>
                <w:sz w:val="20"/>
                <w:szCs w:val="20"/>
                <w:color w:val="231F20"/>
              </w:rPr>
              <w:t>36.6</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231F20"/>
              </w:rPr>
              <w:t>1.1</w:t>
            </w:r>
          </w:p>
        </w:tc>
      </w:tr>
      <w:tr>
        <w:trPr>
          <w:trHeight w:val="233"/>
        </w:trPr>
        <w:tc>
          <w:tcPr>
            <w:tcW w:w="612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 xml:space="preserve">2027 </w:t>
            </w:r>
            <w:r>
              <w:rPr>
                <w:rFonts w:ascii="Times New Roman" w:cs="Times New Roman" w:eastAsia="Times New Roman" w:hAnsi="Times New Roman"/>
                <w:sz w:val="20"/>
                <w:szCs w:val="20"/>
                <w:color w:val="231F20"/>
              </w:rPr>
              <w:t>...............................................................................................................</w:t>
            </w:r>
          </w:p>
        </w:tc>
        <w:tc>
          <w:tcPr>
            <w:tcW w:w="540" w:type="dxa"/>
            <w:vAlign w:val="bottom"/>
          </w:tcPr>
          <w:p>
            <w:pPr>
              <w:spacing w:after="0"/>
              <w:rPr>
                <w:sz w:val="20"/>
                <w:szCs w:val="20"/>
                <w:color w:val="auto"/>
              </w:rPr>
            </w:pPr>
          </w:p>
        </w:tc>
        <w:tc>
          <w:tcPr>
            <w:tcW w:w="1100" w:type="dxa"/>
            <w:vAlign w:val="bottom"/>
            <w:tcBorders>
              <w:right w:val="single" w:sz="8" w:color="231F20"/>
            </w:tcBorders>
          </w:tcPr>
          <w:p>
            <w:pPr>
              <w:jc w:val="right"/>
              <w:ind w:right="145"/>
              <w:spacing w:after="0"/>
              <w:rPr>
                <w:sz w:val="20"/>
                <w:szCs w:val="20"/>
                <w:color w:val="auto"/>
              </w:rPr>
            </w:pPr>
            <w:r>
              <w:rPr>
                <w:rFonts w:ascii="Arial" w:cs="Arial" w:eastAsia="Arial" w:hAnsi="Arial"/>
                <w:sz w:val="20"/>
                <w:szCs w:val="20"/>
                <w:color w:val="231F20"/>
              </w:rPr>
              <w:t>36.7</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231F20"/>
              </w:rPr>
              <w:t>1.1</w:t>
            </w:r>
          </w:p>
        </w:tc>
      </w:tr>
      <w:tr>
        <w:trPr>
          <w:trHeight w:val="233"/>
        </w:trPr>
        <w:tc>
          <w:tcPr>
            <w:tcW w:w="612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 xml:space="preserve">2028 </w:t>
            </w:r>
            <w:r>
              <w:rPr>
                <w:rFonts w:ascii="Times New Roman" w:cs="Times New Roman" w:eastAsia="Times New Roman" w:hAnsi="Times New Roman"/>
                <w:sz w:val="20"/>
                <w:szCs w:val="20"/>
                <w:color w:val="231F20"/>
              </w:rPr>
              <w:t>...............................................................................................................</w:t>
            </w:r>
          </w:p>
        </w:tc>
        <w:tc>
          <w:tcPr>
            <w:tcW w:w="540" w:type="dxa"/>
            <w:vAlign w:val="bottom"/>
          </w:tcPr>
          <w:p>
            <w:pPr>
              <w:spacing w:after="0"/>
              <w:rPr>
                <w:sz w:val="20"/>
                <w:szCs w:val="20"/>
                <w:color w:val="auto"/>
              </w:rPr>
            </w:pPr>
          </w:p>
        </w:tc>
        <w:tc>
          <w:tcPr>
            <w:tcW w:w="1100" w:type="dxa"/>
            <w:vAlign w:val="bottom"/>
            <w:tcBorders>
              <w:right w:val="single" w:sz="8" w:color="231F20"/>
            </w:tcBorders>
          </w:tcPr>
          <w:p>
            <w:pPr>
              <w:jc w:val="right"/>
              <w:ind w:right="145"/>
              <w:spacing w:after="0"/>
              <w:rPr>
                <w:sz w:val="20"/>
                <w:szCs w:val="20"/>
                <w:color w:val="auto"/>
              </w:rPr>
            </w:pPr>
            <w:r>
              <w:rPr>
                <w:rFonts w:ascii="Arial" w:cs="Arial" w:eastAsia="Arial" w:hAnsi="Arial"/>
                <w:sz w:val="20"/>
                <w:szCs w:val="20"/>
                <w:color w:val="231F20"/>
              </w:rPr>
              <w:t>36.6</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231F20"/>
              </w:rPr>
              <w:t>1.0</w:t>
            </w:r>
          </w:p>
        </w:tc>
      </w:tr>
      <w:tr>
        <w:trPr>
          <w:trHeight w:val="253"/>
        </w:trPr>
        <w:tc>
          <w:tcPr>
            <w:tcW w:w="612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 xml:space="preserve">Years 2029-2033 </w:t>
            </w:r>
            <w:r>
              <w:rPr>
                <w:rFonts w:ascii="Times New Roman" w:cs="Times New Roman" w:eastAsia="Times New Roman" w:hAnsi="Times New Roman"/>
                <w:sz w:val="20"/>
                <w:szCs w:val="20"/>
                <w:color w:val="231F20"/>
              </w:rPr>
              <w:t>.........................................................................................</w:t>
            </w:r>
          </w:p>
        </w:tc>
        <w:tc>
          <w:tcPr>
            <w:tcW w:w="540" w:type="dxa"/>
            <w:vAlign w:val="bottom"/>
          </w:tcPr>
          <w:p>
            <w:pPr>
              <w:spacing w:after="0"/>
              <w:rPr>
                <w:sz w:val="22"/>
                <w:szCs w:val="22"/>
                <w:color w:val="auto"/>
              </w:rPr>
            </w:pPr>
          </w:p>
        </w:tc>
        <w:tc>
          <w:tcPr>
            <w:tcW w:w="1100" w:type="dxa"/>
            <w:vAlign w:val="bottom"/>
            <w:tcBorders>
              <w:right w:val="single" w:sz="8" w:color="231F20"/>
            </w:tcBorders>
          </w:tcPr>
          <w:p>
            <w:pPr>
              <w:jc w:val="right"/>
              <w:ind w:right="145"/>
              <w:spacing w:after="0"/>
              <w:rPr>
                <w:sz w:val="20"/>
                <w:szCs w:val="20"/>
                <w:color w:val="auto"/>
              </w:rPr>
            </w:pPr>
            <w:r>
              <w:rPr>
                <w:rFonts w:ascii="Arial" w:cs="Arial" w:eastAsia="Arial" w:hAnsi="Arial"/>
                <w:sz w:val="20"/>
                <w:szCs w:val="20"/>
                <w:color w:val="231F20"/>
              </w:rPr>
              <w:t>181.1</w:t>
            </w:r>
          </w:p>
        </w:tc>
        <w:tc>
          <w:tcPr>
            <w:tcW w:w="4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231F20"/>
              </w:rPr>
              <w:t>5.0</w:t>
            </w:r>
          </w:p>
        </w:tc>
      </w:tr>
      <w:tr>
        <w:trPr>
          <w:trHeight w:val="46"/>
        </w:trPr>
        <w:tc>
          <w:tcPr>
            <w:tcW w:w="20" w:type="dxa"/>
            <w:vAlign w:val="bottom"/>
          </w:tcPr>
          <w:p>
            <w:pPr>
              <w:spacing w:after="0"/>
              <w:rPr>
                <w:sz w:val="3"/>
                <w:szCs w:val="3"/>
                <w:color w:val="auto"/>
              </w:rPr>
            </w:pPr>
          </w:p>
        </w:tc>
        <w:tc>
          <w:tcPr>
            <w:tcW w:w="6100" w:type="dxa"/>
            <w:vAlign w:val="bottom"/>
            <w:tcBorders>
              <w:right w:val="single" w:sz="8" w:color="231F20"/>
            </w:tcBorders>
            <w:shd w:val="clear" w:color="auto" w:fill="231F20"/>
          </w:tcPr>
          <w:p>
            <w:pPr>
              <w:spacing w:after="0"/>
              <w:rPr>
                <w:sz w:val="3"/>
                <w:szCs w:val="3"/>
                <w:color w:val="auto"/>
              </w:rPr>
            </w:pPr>
          </w:p>
        </w:tc>
        <w:tc>
          <w:tcPr>
            <w:tcW w:w="540" w:type="dxa"/>
            <w:vAlign w:val="bottom"/>
            <w:shd w:val="clear" w:color="auto" w:fill="231F20"/>
          </w:tcPr>
          <w:p>
            <w:pPr>
              <w:spacing w:after="0"/>
              <w:rPr>
                <w:sz w:val="3"/>
                <w:szCs w:val="3"/>
                <w:color w:val="auto"/>
              </w:rPr>
            </w:pPr>
          </w:p>
        </w:tc>
        <w:tc>
          <w:tcPr>
            <w:tcW w:w="1100" w:type="dxa"/>
            <w:vAlign w:val="bottom"/>
            <w:tcBorders>
              <w:right w:val="single" w:sz="8" w:color="231F20"/>
            </w:tcBorders>
            <w:shd w:val="clear" w:color="auto" w:fill="231F20"/>
          </w:tcPr>
          <w:p>
            <w:pPr>
              <w:spacing w:after="0"/>
              <w:rPr>
                <w:sz w:val="3"/>
                <w:szCs w:val="3"/>
                <w:color w:val="auto"/>
              </w:rPr>
            </w:pPr>
          </w:p>
        </w:tc>
        <w:tc>
          <w:tcPr>
            <w:tcW w:w="420" w:type="dxa"/>
            <w:vAlign w:val="bottom"/>
            <w:shd w:val="clear" w:color="auto" w:fill="231F20"/>
          </w:tcPr>
          <w:p>
            <w:pPr>
              <w:spacing w:after="0"/>
              <w:rPr>
                <w:sz w:val="3"/>
                <w:szCs w:val="3"/>
                <w:color w:val="auto"/>
              </w:rPr>
            </w:pPr>
          </w:p>
        </w:tc>
        <w:tc>
          <w:tcPr>
            <w:tcW w:w="1260" w:type="dxa"/>
            <w:vAlign w:val="bottom"/>
            <w:shd w:val="clear" w:color="auto" w:fill="231F20"/>
          </w:tcPr>
          <w:p>
            <w:pPr>
              <w:spacing w:after="0"/>
              <w:rPr>
                <w:sz w:val="3"/>
                <w:szCs w:val="3"/>
                <w:color w:val="auto"/>
              </w:rPr>
            </w:pPr>
          </w:p>
        </w:tc>
      </w:tr>
    </w:tbl>
    <w:p>
      <w:pPr>
        <w:spacing w:after="0" w:line="171" w:lineRule="exact"/>
        <w:rPr>
          <w:sz w:val="20"/>
          <w:szCs w:val="20"/>
          <w:color w:val="auto"/>
        </w:rPr>
      </w:pPr>
    </w:p>
    <w:p>
      <w:pPr>
        <w:ind w:right="180"/>
        <w:spacing w:after="0"/>
        <w:rPr>
          <w:sz w:val="20"/>
          <w:szCs w:val="20"/>
          <w:color w:val="auto"/>
        </w:rPr>
      </w:pPr>
      <w:r>
        <w:rPr>
          <w:rFonts w:ascii="Arial" w:cs="Arial" w:eastAsia="Arial" w:hAnsi="Arial"/>
          <w:sz w:val="20"/>
          <w:szCs w:val="20"/>
          <w:color w:val="231F20"/>
        </w:rPr>
        <w:t>Estimated future retirement benefit payments above are estimates and could change significantly based on differences between actuarial assumptions and actual events and decisions related to lump sum distribution options that are available to participants in certain plans.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Defined Contribution Plan Contributions</w:t>
      </w:r>
    </w:p>
    <w:p>
      <w:pPr>
        <w:spacing w:after="0" w:line="165" w:lineRule="exact"/>
        <w:rPr>
          <w:sz w:val="20"/>
          <w:szCs w:val="20"/>
          <w:color w:val="auto"/>
        </w:rPr>
      </w:pPr>
    </w:p>
    <w:p>
      <w:pPr>
        <w:ind w:right="380"/>
        <w:spacing w:after="0"/>
        <w:rPr>
          <w:sz w:val="20"/>
          <w:szCs w:val="20"/>
          <w:color w:val="auto"/>
        </w:rPr>
      </w:pPr>
      <w:r>
        <w:rPr>
          <w:rFonts w:ascii="Arial" w:cs="Arial" w:eastAsia="Arial" w:hAnsi="Arial"/>
          <w:sz w:val="20"/>
          <w:szCs w:val="20"/>
          <w:color w:val="231F20"/>
        </w:rPr>
        <w:t>We sponsor a number of defined contribution plans. Contributions are determined under various formulas. Cash contributions by the Company related to these plans amounted to $28.7 million, $36.3 million and $33.1 million in 2023, 2022 and 2021, respectively.</w:t>
      </w:r>
    </w:p>
    <w:p>
      <w:pPr>
        <w:spacing w:after="0" w:line="116" w:lineRule="exact"/>
        <w:rPr>
          <w:sz w:val="20"/>
          <w:szCs w:val="20"/>
          <w:color w:val="auto"/>
        </w:rPr>
      </w:pPr>
    </w:p>
    <w:p>
      <w:pPr>
        <w:ind w:left="520" w:hanging="514"/>
        <w:spacing w:after="0"/>
        <w:tabs>
          <w:tab w:leader="none" w:pos="520" w:val="left"/>
        </w:tabs>
        <w:numPr>
          <w:ilvl w:val="0"/>
          <w:numId w:val="44"/>
        </w:numPr>
        <w:rPr>
          <w:rFonts w:ascii="Arial" w:cs="Arial" w:eastAsia="Arial" w:hAnsi="Arial"/>
          <w:sz w:val="20"/>
          <w:szCs w:val="20"/>
          <w:b w:val="1"/>
          <w:bCs w:val="1"/>
          <w:color w:val="231F20"/>
        </w:rPr>
      </w:pPr>
      <w:r>
        <w:rPr>
          <w:rFonts w:ascii="Arial" w:cs="Arial" w:eastAsia="Arial" w:hAnsi="Arial"/>
          <w:sz w:val="20"/>
          <w:szCs w:val="20"/>
          <w:b w:val="1"/>
          <w:bCs w:val="1"/>
          <w:color w:val="231F20"/>
        </w:rPr>
        <w:t>Income Taxes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20"/>
          <w:szCs w:val="20"/>
          <w:color w:val="231F20"/>
        </w:rPr>
        <w:t>The components of income from continuing operations before income taxes and noncontrolling interests were as follows: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400" w:type="dxa"/>
            <w:vAlign w:val="bottom"/>
            <w:tcBorders>
              <w:top w:val="single" w:sz="8" w:color="231F20"/>
              <w:bottom w:val="single" w:sz="8" w:color="231F20"/>
              <w:right w:val="single" w:sz="8" w:color="231F20"/>
            </w:tcBorders>
          </w:tcPr>
          <w:p>
            <w:pPr>
              <w:jc w:val="right"/>
              <w:ind w:right="39"/>
              <w:spacing w:after="0" w:line="184" w:lineRule="exact"/>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15"/>
                <w:szCs w:val="15"/>
                <w:i w:val="1"/>
                <w:iCs w:val="1"/>
                <w:color w:val="231F20"/>
              </w:rPr>
              <w:t>(Inmillions)</w:t>
            </w:r>
          </w:p>
        </w:tc>
        <w:tc>
          <w:tcPr>
            <w:tcW w:w="460" w:type="dxa"/>
            <w:vAlign w:val="bottom"/>
            <w:tcBorders>
              <w:top w:val="single" w:sz="8" w:color="231F20"/>
              <w:bottom w:val="single" w:sz="8" w:color="231F20"/>
            </w:tcBorders>
          </w:tcPr>
          <w:p>
            <w:pPr>
              <w:spacing w:after="0"/>
              <w:rPr>
                <w:sz w:val="16"/>
                <w:szCs w:val="16"/>
                <w:color w:val="auto"/>
              </w:rPr>
            </w:pPr>
          </w:p>
        </w:tc>
        <w:tc>
          <w:tcPr>
            <w:tcW w:w="980" w:type="dxa"/>
            <w:vAlign w:val="bottom"/>
            <w:tcBorders>
              <w:top w:val="single" w:sz="8" w:color="231F20"/>
              <w:bottom w:val="single" w:sz="8" w:color="231F20"/>
              <w:right w:val="single" w:sz="8" w:color="231F20"/>
            </w:tcBorders>
          </w:tcPr>
          <w:p>
            <w:pPr>
              <w:jc w:val="right"/>
              <w:ind w:right="145"/>
              <w:spacing w:after="0"/>
              <w:rPr>
                <w:sz w:val="20"/>
                <w:szCs w:val="20"/>
                <w:color w:val="auto"/>
              </w:rPr>
            </w:pPr>
            <w:r>
              <w:rPr>
                <w:rFonts w:ascii="Arial" w:cs="Arial" w:eastAsia="Arial" w:hAnsi="Arial"/>
                <w:sz w:val="15"/>
                <w:szCs w:val="15"/>
                <w:i w:val="1"/>
                <w:iCs w:val="1"/>
                <w:color w:val="231F20"/>
              </w:rPr>
              <w:t>2023</w:t>
            </w:r>
          </w:p>
        </w:tc>
        <w:tc>
          <w:tcPr>
            <w:tcW w:w="46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ind w:right="5"/>
              <w:spacing w:after="0"/>
              <w:rPr>
                <w:sz w:val="20"/>
                <w:szCs w:val="20"/>
                <w:color w:val="auto"/>
              </w:rPr>
            </w:pPr>
            <w:r>
              <w:rPr>
                <w:rFonts w:ascii="Arial" w:cs="Arial" w:eastAsia="Arial" w:hAnsi="Arial"/>
                <w:sz w:val="15"/>
                <w:szCs w:val="15"/>
                <w:color w:val="231F20"/>
              </w:rPr>
              <w:t>2022</w:t>
            </w:r>
          </w:p>
        </w:tc>
        <w:tc>
          <w:tcPr>
            <w:tcW w:w="460" w:type="dxa"/>
            <w:vAlign w:val="bottom"/>
            <w:tcBorders>
              <w:top w:val="single" w:sz="8" w:color="231F20"/>
              <w:bottom w:val="single" w:sz="8" w:color="231F20"/>
            </w:tcBorders>
          </w:tcPr>
          <w:p>
            <w:pPr>
              <w:spacing w:after="0"/>
              <w:rPr>
                <w:sz w:val="16"/>
                <w:szCs w:val="16"/>
                <w:color w:val="auto"/>
              </w:rPr>
            </w:pPr>
          </w:p>
        </w:tc>
        <w:tc>
          <w:tcPr>
            <w:tcW w:w="840" w:type="dxa"/>
            <w:vAlign w:val="bottom"/>
            <w:tcBorders>
              <w:top w:val="single" w:sz="8" w:color="231F20"/>
              <w:bottom w:val="single" w:sz="8" w:color="231F20"/>
            </w:tcBorders>
          </w:tcPr>
          <w:p>
            <w:pPr>
              <w:jc w:val="right"/>
              <w:ind w:right="5"/>
              <w:spacing w:after="0"/>
              <w:rPr>
                <w:sz w:val="20"/>
                <w:szCs w:val="20"/>
                <w:color w:val="auto"/>
              </w:rPr>
            </w:pPr>
            <w:r>
              <w:rPr>
                <w:rFonts w:ascii="Arial" w:cs="Arial" w:eastAsia="Arial" w:hAnsi="Arial"/>
                <w:sz w:val="15"/>
                <w:szCs w:val="15"/>
                <w:color w:val="231F20"/>
              </w:rPr>
              <w:t>2021</w:t>
            </w:r>
          </w:p>
        </w:tc>
      </w:tr>
      <w:tr>
        <w:trPr>
          <w:trHeight w:val="202"/>
        </w:trPr>
        <w:tc>
          <w:tcPr>
            <w:tcW w:w="5400" w:type="dxa"/>
            <w:vAlign w:val="bottom"/>
            <w:tcBorders>
              <w:right w:val="single" w:sz="8" w:color="231F20"/>
            </w:tcBorders>
          </w:tcPr>
          <w:p>
            <w:pPr>
              <w:jc w:val="right"/>
              <w:ind w:right="39"/>
              <w:spacing w:after="0" w:line="202" w:lineRule="exact"/>
              <w:rPr>
                <w:sz w:val="20"/>
                <w:szCs w:val="20"/>
                <w:color w:val="auto"/>
              </w:rPr>
            </w:pPr>
            <w:r>
              <w:rPr>
                <w:rFonts w:ascii="Arial" w:cs="Arial" w:eastAsia="Arial" w:hAnsi="Arial"/>
                <w:sz w:val="20"/>
                <w:szCs w:val="20"/>
                <w:color w:val="231F20"/>
              </w:rPr>
              <w:t xml:space="preserve">Domestic operations </w:t>
            </w:r>
            <w:r>
              <w:rPr>
                <w:rFonts w:ascii="Times New Roman" w:cs="Times New Roman" w:eastAsia="Times New Roman" w:hAnsi="Times New Roman"/>
                <w:sz w:val="20"/>
                <w:szCs w:val="20"/>
                <w:color w:val="231F20"/>
              </w:rPr>
              <w:t>...................................................................</w:t>
            </w:r>
          </w:p>
        </w:tc>
        <w:tc>
          <w:tcPr>
            <w:tcW w:w="460" w:type="dxa"/>
            <w:vAlign w:val="bottom"/>
          </w:tcPr>
          <w:p>
            <w:pPr>
              <w:jc w:val="right"/>
              <w:ind w:right="139"/>
              <w:spacing w:after="0" w:line="203" w:lineRule="exact"/>
              <w:rPr>
                <w:sz w:val="20"/>
                <w:szCs w:val="20"/>
                <w:color w:val="auto"/>
              </w:rPr>
            </w:pPr>
            <w:r>
              <w:rPr>
                <w:rFonts w:ascii="Arial" w:cs="Arial" w:eastAsia="Arial" w:hAnsi="Arial"/>
                <w:sz w:val="20"/>
                <w:szCs w:val="20"/>
                <w:color w:val="231F20"/>
              </w:rPr>
              <w:t>$</w:t>
            </w:r>
          </w:p>
        </w:tc>
        <w:tc>
          <w:tcPr>
            <w:tcW w:w="980" w:type="dxa"/>
            <w:vAlign w:val="bottom"/>
            <w:tcBorders>
              <w:right w:val="single" w:sz="8" w:color="231F20"/>
            </w:tcBorders>
          </w:tcPr>
          <w:p>
            <w:pPr>
              <w:jc w:val="right"/>
              <w:ind w:right="145"/>
              <w:spacing w:after="0" w:line="203" w:lineRule="exact"/>
              <w:rPr>
                <w:sz w:val="20"/>
                <w:szCs w:val="20"/>
                <w:color w:val="auto"/>
              </w:rPr>
            </w:pPr>
            <w:r>
              <w:rPr>
                <w:rFonts w:ascii="Arial" w:cs="Arial" w:eastAsia="Arial" w:hAnsi="Arial"/>
                <w:sz w:val="20"/>
                <w:szCs w:val="20"/>
                <w:color w:val="231F20"/>
              </w:rPr>
              <w:t>418.1</w:t>
            </w:r>
          </w:p>
        </w:tc>
        <w:tc>
          <w:tcPr>
            <w:tcW w:w="460" w:type="dxa"/>
            <w:vAlign w:val="bottom"/>
          </w:tcPr>
          <w:p>
            <w:pPr>
              <w:jc w:val="right"/>
              <w:ind w:right="139"/>
              <w:spacing w:after="0" w:line="203" w:lineRule="exact"/>
              <w:rPr>
                <w:sz w:val="20"/>
                <w:szCs w:val="20"/>
                <w:color w:val="auto"/>
              </w:rPr>
            </w:pPr>
            <w:r>
              <w:rPr>
                <w:rFonts w:ascii="Arial" w:cs="Arial" w:eastAsia="Arial" w:hAnsi="Arial"/>
                <w:sz w:val="20"/>
                <w:szCs w:val="20"/>
                <w:color w:val="231F20"/>
              </w:rPr>
              <w:t>$</w:t>
            </w:r>
          </w:p>
        </w:tc>
        <w:tc>
          <w:tcPr>
            <w:tcW w:w="840" w:type="dxa"/>
            <w:vAlign w:val="bottom"/>
          </w:tcPr>
          <w:p>
            <w:pPr>
              <w:jc w:val="right"/>
              <w:ind w:right="5"/>
              <w:spacing w:after="0" w:line="203" w:lineRule="exact"/>
              <w:rPr>
                <w:sz w:val="20"/>
                <w:szCs w:val="20"/>
                <w:color w:val="auto"/>
              </w:rPr>
            </w:pPr>
            <w:r>
              <w:rPr>
                <w:rFonts w:ascii="Arial" w:cs="Arial" w:eastAsia="Arial" w:hAnsi="Arial"/>
                <w:sz w:val="20"/>
                <w:szCs w:val="20"/>
                <w:color w:val="231F20"/>
              </w:rPr>
              <w:t>563.1</w:t>
            </w:r>
          </w:p>
        </w:tc>
        <w:tc>
          <w:tcPr>
            <w:tcW w:w="460" w:type="dxa"/>
            <w:vAlign w:val="bottom"/>
          </w:tcPr>
          <w:p>
            <w:pPr>
              <w:jc w:val="right"/>
              <w:ind w:right="139"/>
              <w:spacing w:after="0" w:line="203" w:lineRule="exact"/>
              <w:rPr>
                <w:sz w:val="20"/>
                <w:szCs w:val="20"/>
                <w:color w:val="auto"/>
              </w:rPr>
            </w:pPr>
            <w:r>
              <w:rPr>
                <w:rFonts w:ascii="Arial" w:cs="Arial" w:eastAsia="Arial" w:hAnsi="Arial"/>
                <w:sz w:val="20"/>
                <w:szCs w:val="20"/>
                <w:color w:val="231F20"/>
              </w:rPr>
              <w:t>$</w:t>
            </w:r>
          </w:p>
        </w:tc>
        <w:tc>
          <w:tcPr>
            <w:tcW w:w="840" w:type="dxa"/>
            <w:vAlign w:val="bottom"/>
          </w:tcPr>
          <w:p>
            <w:pPr>
              <w:jc w:val="right"/>
              <w:ind w:right="5"/>
              <w:spacing w:after="0" w:line="203" w:lineRule="exact"/>
              <w:rPr>
                <w:sz w:val="20"/>
                <w:szCs w:val="20"/>
                <w:color w:val="auto"/>
              </w:rPr>
            </w:pPr>
            <w:r>
              <w:rPr>
                <w:rFonts w:ascii="Arial" w:cs="Arial" w:eastAsia="Arial" w:hAnsi="Arial"/>
                <w:sz w:val="20"/>
                <w:szCs w:val="20"/>
                <w:color w:val="231F20"/>
              </w:rPr>
              <w:t>591.0</w:t>
            </w:r>
          </w:p>
        </w:tc>
      </w:tr>
      <w:tr>
        <w:trPr>
          <w:trHeight w:val="253"/>
        </w:trPr>
        <w:tc>
          <w:tcPr>
            <w:tcW w:w="5400" w:type="dxa"/>
            <w:vAlign w:val="bottom"/>
            <w:tcBorders>
              <w:bottom w:val="single" w:sz="8" w:color="231F20"/>
              <w:right w:val="single" w:sz="8" w:color="231F20"/>
            </w:tcBorders>
          </w:tcPr>
          <w:p>
            <w:pPr>
              <w:jc w:val="right"/>
              <w:ind w:right="39"/>
              <w:spacing w:after="0"/>
              <w:rPr>
                <w:sz w:val="20"/>
                <w:szCs w:val="20"/>
                <w:color w:val="auto"/>
              </w:rPr>
            </w:pPr>
            <w:r>
              <w:rPr>
                <w:rFonts w:ascii="Arial" w:cs="Arial" w:eastAsia="Arial" w:hAnsi="Arial"/>
                <w:sz w:val="20"/>
                <w:szCs w:val="20"/>
                <w:color w:val="231F20"/>
              </w:rPr>
              <w:t xml:space="preserve">Foreign operations </w:t>
            </w:r>
            <w:r>
              <w:rPr>
                <w:rFonts w:ascii="Times New Roman" w:cs="Times New Roman" w:eastAsia="Times New Roman" w:hAnsi="Times New Roman"/>
                <w:sz w:val="20"/>
                <w:szCs w:val="20"/>
                <w:color w:val="231F20"/>
              </w:rPr>
              <w:t>......................................................................</w:t>
            </w:r>
          </w:p>
        </w:tc>
        <w:tc>
          <w:tcPr>
            <w:tcW w:w="46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right w:val="single" w:sz="8" w:color="231F20"/>
            </w:tcBorders>
          </w:tcPr>
          <w:p>
            <w:pPr>
              <w:jc w:val="right"/>
              <w:ind w:right="145"/>
              <w:spacing w:after="0"/>
              <w:rPr>
                <w:sz w:val="20"/>
                <w:szCs w:val="20"/>
                <w:color w:val="auto"/>
              </w:rPr>
            </w:pPr>
            <w:r>
              <w:rPr>
                <w:rFonts w:ascii="Arial" w:cs="Arial" w:eastAsia="Arial" w:hAnsi="Arial"/>
                <w:sz w:val="20"/>
                <w:szCs w:val="20"/>
                <w:color w:val="231F20"/>
              </w:rPr>
              <w:t>99.8</w:t>
            </w:r>
          </w:p>
        </w:tc>
        <w:tc>
          <w:tcPr>
            <w:tcW w:w="46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ind w:right="5"/>
              <w:spacing w:after="0"/>
              <w:rPr>
                <w:sz w:val="20"/>
                <w:szCs w:val="20"/>
                <w:color w:val="auto"/>
              </w:rPr>
            </w:pPr>
            <w:r>
              <w:rPr>
                <w:rFonts w:ascii="Arial" w:cs="Arial" w:eastAsia="Arial" w:hAnsi="Arial"/>
                <w:sz w:val="20"/>
                <w:szCs w:val="20"/>
                <w:color w:val="231F20"/>
              </w:rPr>
              <w:t>104.0</w:t>
            </w:r>
          </w:p>
        </w:tc>
        <w:tc>
          <w:tcPr>
            <w:tcW w:w="46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ind w:right="5"/>
              <w:spacing w:after="0"/>
              <w:rPr>
                <w:sz w:val="20"/>
                <w:szCs w:val="20"/>
                <w:color w:val="auto"/>
              </w:rPr>
            </w:pPr>
            <w:r>
              <w:rPr>
                <w:rFonts w:ascii="Arial" w:cs="Arial" w:eastAsia="Arial" w:hAnsi="Arial"/>
                <w:sz w:val="20"/>
                <w:szCs w:val="20"/>
                <w:color w:val="231F20"/>
              </w:rPr>
              <w:t>135.4</w:t>
            </w:r>
          </w:p>
        </w:tc>
      </w:tr>
      <w:tr>
        <w:trPr>
          <w:trHeight w:val="248"/>
        </w:trPr>
        <w:tc>
          <w:tcPr>
            <w:tcW w:w="5400" w:type="dxa"/>
            <w:vAlign w:val="bottom"/>
            <w:tcBorders>
              <w:bottom w:val="single" w:sz="8" w:color="231F20"/>
              <w:right w:val="single" w:sz="8" w:color="231F20"/>
            </w:tcBorders>
          </w:tcPr>
          <w:p>
            <w:pPr>
              <w:jc w:val="right"/>
              <w:ind w:right="39"/>
              <w:spacing w:after="0" w:line="223" w:lineRule="exact"/>
              <w:rPr>
                <w:sz w:val="20"/>
                <w:szCs w:val="20"/>
                <w:color w:val="auto"/>
              </w:rPr>
            </w:pPr>
            <w:r>
              <w:rPr>
                <w:rFonts w:ascii="Arial" w:cs="Arial" w:eastAsia="Arial" w:hAnsi="Arial"/>
                <w:sz w:val="20"/>
                <w:szCs w:val="20"/>
                <w:color w:val="231F20"/>
              </w:rPr>
              <w:t xml:space="preserve">Income before income taxes and noncontrolling interests </w:t>
            </w:r>
            <w:r>
              <w:rPr>
                <w:rFonts w:ascii="Times New Roman" w:cs="Times New Roman" w:eastAsia="Times New Roman" w:hAnsi="Times New Roman"/>
                <w:sz w:val="20"/>
                <w:szCs w:val="20"/>
                <w:color w:val="231F20"/>
              </w:rPr>
              <w:t>...</w:t>
            </w:r>
          </w:p>
        </w:tc>
        <w:tc>
          <w:tcPr>
            <w:tcW w:w="460" w:type="dxa"/>
            <w:vAlign w:val="bottom"/>
            <w:tcBorders>
              <w:bottom w:val="single" w:sz="8" w:color="231F20"/>
            </w:tcBorders>
          </w:tcPr>
          <w:p>
            <w:pPr>
              <w:jc w:val="right"/>
              <w:ind w:right="139"/>
              <w:spacing w:after="0" w:line="223" w:lineRule="exact"/>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right w:val="single" w:sz="8" w:color="231F20"/>
            </w:tcBorders>
          </w:tcPr>
          <w:p>
            <w:pPr>
              <w:jc w:val="right"/>
              <w:ind w:right="145"/>
              <w:spacing w:after="0" w:line="223" w:lineRule="exact"/>
              <w:rPr>
                <w:sz w:val="20"/>
                <w:szCs w:val="20"/>
                <w:color w:val="auto"/>
              </w:rPr>
            </w:pPr>
            <w:r>
              <w:rPr>
                <w:rFonts w:ascii="Arial" w:cs="Arial" w:eastAsia="Arial" w:hAnsi="Arial"/>
                <w:sz w:val="20"/>
                <w:szCs w:val="20"/>
                <w:color w:val="231F20"/>
              </w:rPr>
              <w:t>517.9</w:t>
            </w:r>
          </w:p>
        </w:tc>
        <w:tc>
          <w:tcPr>
            <w:tcW w:w="460" w:type="dxa"/>
            <w:vAlign w:val="bottom"/>
            <w:tcBorders>
              <w:bottom w:val="single" w:sz="8" w:color="231F20"/>
            </w:tcBorders>
          </w:tcPr>
          <w:p>
            <w:pPr>
              <w:jc w:val="right"/>
              <w:ind w:right="139"/>
              <w:spacing w:after="0" w:line="223" w:lineRule="exact"/>
              <w:rPr>
                <w:sz w:val="20"/>
                <w:szCs w:val="20"/>
                <w:color w:val="auto"/>
              </w:rPr>
            </w:pPr>
            <w:r>
              <w:rPr>
                <w:rFonts w:ascii="Arial" w:cs="Arial" w:eastAsia="Arial" w:hAnsi="Arial"/>
                <w:sz w:val="20"/>
                <w:szCs w:val="20"/>
                <w:color w:val="231F20"/>
              </w:rPr>
              <w:t>$</w:t>
            </w:r>
          </w:p>
        </w:tc>
        <w:tc>
          <w:tcPr>
            <w:tcW w:w="840" w:type="dxa"/>
            <w:vAlign w:val="bottom"/>
            <w:tcBorders>
              <w:bottom w:val="single" w:sz="8" w:color="231F20"/>
            </w:tcBorders>
          </w:tcPr>
          <w:p>
            <w:pPr>
              <w:jc w:val="right"/>
              <w:ind w:right="5"/>
              <w:spacing w:after="0" w:line="223" w:lineRule="exact"/>
              <w:rPr>
                <w:sz w:val="20"/>
                <w:szCs w:val="20"/>
                <w:color w:val="auto"/>
              </w:rPr>
            </w:pPr>
            <w:r>
              <w:rPr>
                <w:rFonts w:ascii="Arial" w:cs="Arial" w:eastAsia="Arial" w:hAnsi="Arial"/>
                <w:sz w:val="20"/>
                <w:szCs w:val="20"/>
                <w:color w:val="231F20"/>
              </w:rPr>
              <w:t>667.1</w:t>
            </w:r>
          </w:p>
        </w:tc>
        <w:tc>
          <w:tcPr>
            <w:tcW w:w="460" w:type="dxa"/>
            <w:vAlign w:val="bottom"/>
            <w:tcBorders>
              <w:bottom w:val="single" w:sz="8" w:color="231F20"/>
            </w:tcBorders>
          </w:tcPr>
          <w:p>
            <w:pPr>
              <w:jc w:val="right"/>
              <w:ind w:right="139"/>
              <w:spacing w:after="0" w:line="223" w:lineRule="exact"/>
              <w:rPr>
                <w:sz w:val="20"/>
                <w:szCs w:val="20"/>
                <w:color w:val="auto"/>
              </w:rPr>
            </w:pPr>
            <w:r>
              <w:rPr>
                <w:rFonts w:ascii="Arial" w:cs="Arial" w:eastAsia="Arial" w:hAnsi="Arial"/>
                <w:sz w:val="20"/>
                <w:szCs w:val="20"/>
                <w:color w:val="231F20"/>
              </w:rPr>
              <w:t>$</w:t>
            </w:r>
          </w:p>
        </w:tc>
        <w:tc>
          <w:tcPr>
            <w:tcW w:w="840" w:type="dxa"/>
            <w:vAlign w:val="bottom"/>
            <w:tcBorders>
              <w:bottom w:val="single" w:sz="8" w:color="231F20"/>
            </w:tcBorders>
          </w:tcPr>
          <w:p>
            <w:pPr>
              <w:jc w:val="right"/>
              <w:ind w:right="5"/>
              <w:spacing w:after="0" w:line="223" w:lineRule="exact"/>
              <w:rPr>
                <w:sz w:val="20"/>
                <w:szCs w:val="20"/>
                <w:color w:val="auto"/>
              </w:rPr>
            </w:pPr>
            <w:r>
              <w:rPr>
                <w:rFonts w:ascii="Arial" w:cs="Arial" w:eastAsia="Arial" w:hAnsi="Arial"/>
                <w:sz w:val="20"/>
                <w:szCs w:val="20"/>
                <w:color w:val="231F20"/>
              </w:rPr>
              <w:t>726.4</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231F20"/>
        </w:rPr>
        <w:t>Income tax expense in the consolidated statement of income consisted of the following: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460" w:type="dxa"/>
            <w:vAlign w:val="bottom"/>
            <w:tcBorders>
              <w:top w:val="single" w:sz="8" w:color="231F20"/>
              <w:bottom w:val="single" w:sz="8" w:color="231F20"/>
              <w:right w:val="single" w:sz="8" w:color="231F20"/>
            </w:tcBorders>
          </w:tcPr>
          <w:p>
            <w:pPr>
              <w:jc w:val="right"/>
              <w:ind w:right="41"/>
              <w:spacing w:after="0" w:line="184"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440" w:type="dxa"/>
            <w:vAlign w:val="bottom"/>
            <w:tcBorders>
              <w:top w:val="single" w:sz="8" w:color="231F20"/>
              <w:bottom w:val="single" w:sz="8" w:color="231F20"/>
            </w:tcBorders>
          </w:tcPr>
          <w:p>
            <w:pPr>
              <w:spacing w:after="0"/>
              <w:rPr>
                <w:sz w:val="16"/>
                <w:szCs w:val="16"/>
                <w:color w:val="auto"/>
              </w:rPr>
            </w:pPr>
          </w:p>
        </w:tc>
        <w:tc>
          <w:tcPr>
            <w:tcW w:w="960" w:type="dxa"/>
            <w:vAlign w:val="bottom"/>
            <w:tcBorders>
              <w:top w:val="single" w:sz="8" w:color="231F20"/>
              <w:bottom w:val="single" w:sz="8" w:color="231F20"/>
              <w:right w:val="single" w:sz="8" w:color="231F20"/>
            </w:tcBorders>
          </w:tcPr>
          <w:p>
            <w:pPr>
              <w:jc w:val="right"/>
              <w:ind w:right="122"/>
              <w:spacing w:after="0"/>
              <w:rPr>
                <w:sz w:val="20"/>
                <w:szCs w:val="20"/>
                <w:color w:val="auto"/>
              </w:rPr>
            </w:pPr>
            <w:r>
              <w:rPr>
                <w:rFonts w:ascii="Arial" w:cs="Arial" w:eastAsia="Arial" w:hAnsi="Arial"/>
                <w:sz w:val="15"/>
                <w:szCs w:val="15"/>
                <w:i w:val="1"/>
                <w:iCs w:val="1"/>
                <w:color w:val="231F20"/>
              </w:rPr>
              <w:t>2023</w:t>
            </w:r>
          </w:p>
        </w:tc>
        <w:tc>
          <w:tcPr>
            <w:tcW w:w="460" w:type="dxa"/>
            <w:vAlign w:val="bottom"/>
            <w:tcBorders>
              <w:top w:val="single" w:sz="8" w:color="231F20"/>
              <w:bottom w:val="single" w:sz="8" w:color="231F20"/>
            </w:tcBorders>
          </w:tcPr>
          <w:p>
            <w:pPr>
              <w:spacing w:after="0"/>
              <w:rPr>
                <w:sz w:val="16"/>
                <w:szCs w:val="16"/>
                <w:color w:val="auto"/>
              </w:rPr>
            </w:pPr>
          </w:p>
        </w:tc>
        <w:tc>
          <w:tcPr>
            <w:tcW w:w="880" w:type="dxa"/>
            <w:vAlign w:val="bottom"/>
            <w:tcBorders>
              <w:top w:val="single" w:sz="8" w:color="231F20"/>
              <w:bottom w:val="single" w:sz="8" w:color="231F20"/>
            </w:tcBorders>
          </w:tcPr>
          <w:p>
            <w:pPr>
              <w:jc w:val="right"/>
              <w:ind w:right="42"/>
              <w:spacing w:after="0"/>
              <w:rPr>
                <w:sz w:val="20"/>
                <w:szCs w:val="20"/>
                <w:color w:val="auto"/>
              </w:rPr>
            </w:pPr>
            <w:r>
              <w:rPr>
                <w:rFonts w:ascii="Arial" w:cs="Arial" w:eastAsia="Arial" w:hAnsi="Arial"/>
                <w:sz w:val="15"/>
                <w:szCs w:val="15"/>
                <w:color w:val="231F20"/>
              </w:rPr>
              <w:t>2022</w:t>
            </w:r>
          </w:p>
        </w:tc>
        <w:tc>
          <w:tcPr>
            <w:tcW w:w="420" w:type="dxa"/>
            <w:vAlign w:val="bottom"/>
            <w:tcBorders>
              <w:top w:val="single" w:sz="8" w:color="231F20"/>
              <w:bottom w:val="single" w:sz="8" w:color="231F20"/>
            </w:tcBorders>
          </w:tcPr>
          <w:p>
            <w:pPr>
              <w:spacing w:after="0"/>
              <w:rPr>
                <w:sz w:val="16"/>
                <w:szCs w:val="16"/>
                <w:color w:val="auto"/>
              </w:rPr>
            </w:pPr>
          </w:p>
        </w:tc>
        <w:tc>
          <w:tcPr>
            <w:tcW w:w="820" w:type="dxa"/>
            <w:vAlign w:val="bottom"/>
            <w:tcBorders>
              <w:top w:val="single" w:sz="8" w:color="231F20"/>
              <w:bottom w:val="single" w:sz="8" w:color="231F20"/>
            </w:tcBorders>
          </w:tcPr>
          <w:p>
            <w:pPr>
              <w:jc w:val="right"/>
              <w:ind w:right="2"/>
              <w:spacing w:after="0"/>
              <w:rPr>
                <w:sz w:val="20"/>
                <w:szCs w:val="20"/>
                <w:color w:val="auto"/>
              </w:rPr>
            </w:pPr>
            <w:r>
              <w:rPr>
                <w:rFonts w:ascii="Arial" w:cs="Arial" w:eastAsia="Arial" w:hAnsi="Arial"/>
                <w:sz w:val="15"/>
                <w:szCs w:val="15"/>
                <w:color w:val="231F20"/>
              </w:rPr>
              <w:t>2021</w:t>
            </w:r>
          </w:p>
        </w:tc>
      </w:tr>
      <w:tr>
        <w:trPr>
          <w:trHeight w:val="202"/>
        </w:trPr>
        <w:tc>
          <w:tcPr>
            <w:tcW w:w="5460" w:type="dxa"/>
            <w:vAlign w:val="bottom"/>
            <w:tcBorders>
              <w:right w:val="single" w:sz="8" w:color="231F20"/>
            </w:tcBorders>
          </w:tcPr>
          <w:p>
            <w:pPr>
              <w:spacing w:after="0" w:line="203" w:lineRule="exact"/>
              <w:rPr>
                <w:sz w:val="20"/>
                <w:szCs w:val="20"/>
                <w:color w:val="auto"/>
              </w:rPr>
            </w:pPr>
            <w:r>
              <w:rPr>
                <w:rFonts w:ascii="Arial" w:cs="Arial" w:eastAsia="Arial" w:hAnsi="Arial"/>
                <w:sz w:val="20"/>
                <w:szCs w:val="20"/>
                <w:color w:val="231F20"/>
              </w:rPr>
              <w:t>Current</w:t>
            </w:r>
          </w:p>
        </w:tc>
        <w:tc>
          <w:tcPr>
            <w:tcW w:w="440" w:type="dxa"/>
            <w:vAlign w:val="bottom"/>
          </w:tcPr>
          <w:p>
            <w:pPr>
              <w:spacing w:after="0"/>
              <w:rPr>
                <w:sz w:val="17"/>
                <w:szCs w:val="17"/>
                <w:color w:val="auto"/>
              </w:rPr>
            </w:pPr>
          </w:p>
        </w:tc>
        <w:tc>
          <w:tcPr>
            <w:tcW w:w="960" w:type="dxa"/>
            <w:vAlign w:val="bottom"/>
            <w:tcBorders>
              <w:right w:val="single" w:sz="8" w:color="231F20"/>
            </w:tcBorders>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3"/>
        </w:trPr>
        <w:tc>
          <w:tcPr>
            <w:tcW w:w="5460" w:type="dxa"/>
            <w:vAlign w:val="bottom"/>
            <w:tcBorders>
              <w:right w:val="single" w:sz="8" w:color="231F20"/>
            </w:tcBorders>
          </w:tcPr>
          <w:p>
            <w:pPr>
              <w:jc w:val="right"/>
              <w:ind w:right="41"/>
              <w:spacing w:after="0"/>
              <w:rPr>
                <w:sz w:val="20"/>
                <w:szCs w:val="20"/>
                <w:color w:val="auto"/>
              </w:rPr>
            </w:pPr>
            <w:r>
              <w:rPr>
                <w:rFonts w:ascii="Arial" w:cs="Arial" w:eastAsia="Arial" w:hAnsi="Arial"/>
                <w:sz w:val="20"/>
                <w:szCs w:val="20"/>
                <w:color w:val="231F20"/>
              </w:rPr>
              <w:t xml:space="preserve">Federal </w:t>
            </w:r>
            <w:r>
              <w:rPr>
                <w:rFonts w:ascii="Times New Roman" w:cs="Times New Roman" w:eastAsia="Times New Roman" w:hAnsi="Times New Roman"/>
                <w:sz w:val="20"/>
                <w:szCs w:val="20"/>
                <w:color w:val="231F20"/>
              </w:rPr>
              <w:t>........................................................................................</w:t>
            </w:r>
          </w:p>
        </w:tc>
        <w:tc>
          <w:tcPr>
            <w:tcW w:w="440" w:type="dxa"/>
            <w:vAlign w:val="bottom"/>
          </w:tcPr>
          <w:p>
            <w:pPr>
              <w:jc w:val="right"/>
              <w:ind w:right="119"/>
              <w:spacing w:after="0"/>
              <w:rPr>
                <w:sz w:val="20"/>
                <w:szCs w:val="20"/>
                <w:color w:val="auto"/>
              </w:rPr>
            </w:pPr>
            <w:r>
              <w:rPr>
                <w:rFonts w:ascii="Arial" w:cs="Arial" w:eastAsia="Arial" w:hAnsi="Arial"/>
                <w:sz w:val="20"/>
                <w:szCs w:val="20"/>
                <w:color w:val="231F20"/>
              </w:rPr>
              <w:t>$</w:t>
            </w:r>
          </w:p>
        </w:tc>
        <w:tc>
          <w:tcPr>
            <w:tcW w:w="960" w:type="dxa"/>
            <w:vAlign w:val="bottom"/>
            <w:tcBorders>
              <w:right w:val="single" w:sz="8" w:color="231F20"/>
            </w:tcBorders>
          </w:tcPr>
          <w:p>
            <w:pPr>
              <w:jc w:val="right"/>
              <w:ind w:right="122"/>
              <w:spacing w:after="0"/>
              <w:rPr>
                <w:sz w:val="20"/>
                <w:szCs w:val="20"/>
                <w:color w:val="auto"/>
              </w:rPr>
            </w:pPr>
            <w:r>
              <w:rPr>
                <w:rFonts w:ascii="Arial" w:cs="Arial" w:eastAsia="Arial" w:hAnsi="Arial"/>
                <w:sz w:val="20"/>
                <w:szCs w:val="20"/>
                <w:color w:val="231F20"/>
              </w:rPr>
              <w:t>86.9</w:t>
            </w:r>
          </w:p>
        </w:tc>
        <w:tc>
          <w:tcPr>
            <w:tcW w:w="460" w:type="dxa"/>
            <w:vAlign w:val="bottom"/>
          </w:tcPr>
          <w:p>
            <w:pPr>
              <w:jc w:val="right"/>
              <w:ind w:right="139"/>
              <w:spacing w:after="0"/>
              <w:rPr>
                <w:sz w:val="20"/>
                <w:szCs w:val="20"/>
                <w:color w:val="auto"/>
              </w:rPr>
            </w:pPr>
            <w:r>
              <w:rPr>
                <w:rFonts w:ascii="Arial" w:cs="Arial" w:eastAsia="Arial" w:hAnsi="Arial"/>
                <w:sz w:val="20"/>
                <w:szCs w:val="20"/>
                <w:color w:val="231F20"/>
              </w:rPr>
              <w:t>$</w:t>
            </w:r>
          </w:p>
        </w:tc>
        <w:tc>
          <w:tcPr>
            <w:tcW w:w="880" w:type="dxa"/>
            <w:vAlign w:val="bottom"/>
          </w:tcPr>
          <w:p>
            <w:pPr>
              <w:jc w:val="right"/>
              <w:ind w:right="42"/>
              <w:spacing w:after="0"/>
              <w:rPr>
                <w:sz w:val="20"/>
                <w:szCs w:val="20"/>
                <w:color w:val="auto"/>
              </w:rPr>
            </w:pPr>
            <w:r>
              <w:rPr>
                <w:rFonts w:ascii="Arial" w:cs="Arial" w:eastAsia="Arial" w:hAnsi="Arial"/>
                <w:sz w:val="20"/>
                <w:szCs w:val="20"/>
                <w:color w:val="231F20"/>
              </w:rPr>
              <w:t>62.4</w:t>
            </w:r>
          </w:p>
        </w:tc>
        <w:tc>
          <w:tcPr>
            <w:tcW w:w="420" w:type="dxa"/>
            <w:vAlign w:val="bottom"/>
          </w:tcPr>
          <w:p>
            <w:pPr>
              <w:jc w:val="right"/>
              <w:ind w:right="139"/>
              <w:spacing w:after="0"/>
              <w:rPr>
                <w:sz w:val="20"/>
                <w:szCs w:val="20"/>
                <w:color w:val="auto"/>
              </w:rPr>
            </w:pPr>
            <w:r>
              <w:rPr>
                <w:rFonts w:ascii="Arial" w:cs="Arial" w:eastAsia="Arial" w:hAnsi="Arial"/>
                <w:sz w:val="20"/>
                <w:szCs w:val="20"/>
                <w:color w:val="231F20"/>
              </w:rPr>
              <w:t>$</w:t>
            </w:r>
          </w:p>
        </w:tc>
        <w:tc>
          <w:tcPr>
            <w:tcW w:w="820" w:type="dxa"/>
            <w:vAlign w:val="bottom"/>
          </w:tcPr>
          <w:p>
            <w:pPr>
              <w:jc w:val="right"/>
              <w:ind w:right="2"/>
              <w:spacing w:after="0"/>
              <w:rPr>
                <w:sz w:val="20"/>
                <w:szCs w:val="20"/>
                <w:color w:val="auto"/>
              </w:rPr>
            </w:pPr>
            <w:r>
              <w:rPr>
                <w:rFonts w:ascii="Arial" w:cs="Arial" w:eastAsia="Arial" w:hAnsi="Arial"/>
                <w:sz w:val="20"/>
                <w:szCs w:val="20"/>
                <w:color w:val="231F20"/>
              </w:rPr>
              <w:t>102.4</w:t>
            </w:r>
          </w:p>
        </w:tc>
      </w:tr>
      <w:tr>
        <w:trPr>
          <w:trHeight w:val="233"/>
        </w:trPr>
        <w:tc>
          <w:tcPr>
            <w:tcW w:w="5460" w:type="dxa"/>
            <w:vAlign w:val="bottom"/>
            <w:tcBorders>
              <w:right w:val="single" w:sz="8" w:color="231F20"/>
            </w:tcBorders>
          </w:tcPr>
          <w:p>
            <w:pPr>
              <w:jc w:val="right"/>
              <w:ind w:right="41"/>
              <w:spacing w:after="0"/>
              <w:rPr>
                <w:sz w:val="20"/>
                <w:szCs w:val="20"/>
                <w:color w:val="auto"/>
              </w:rPr>
            </w:pPr>
            <w:r>
              <w:rPr>
                <w:rFonts w:ascii="Arial" w:cs="Arial" w:eastAsia="Arial" w:hAnsi="Arial"/>
                <w:sz w:val="20"/>
                <w:szCs w:val="20"/>
                <w:color w:val="231F20"/>
              </w:rPr>
              <w:t xml:space="preserve">Foreign </w:t>
            </w:r>
            <w:r>
              <w:rPr>
                <w:rFonts w:ascii="Times New Roman" w:cs="Times New Roman" w:eastAsia="Times New Roman" w:hAnsi="Times New Roman"/>
                <w:sz w:val="20"/>
                <w:szCs w:val="20"/>
                <w:color w:val="231F20"/>
              </w:rPr>
              <w:t>........................................................................................</w:t>
            </w:r>
          </w:p>
        </w:tc>
        <w:tc>
          <w:tcPr>
            <w:tcW w:w="440" w:type="dxa"/>
            <w:vAlign w:val="bottom"/>
          </w:tcPr>
          <w:p>
            <w:pPr>
              <w:spacing w:after="0"/>
              <w:rPr>
                <w:sz w:val="20"/>
                <w:szCs w:val="20"/>
                <w:color w:val="auto"/>
              </w:rPr>
            </w:pPr>
          </w:p>
        </w:tc>
        <w:tc>
          <w:tcPr>
            <w:tcW w:w="960" w:type="dxa"/>
            <w:vAlign w:val="bottom"/>
            <w:tcBorders>
              <w:right w:val="single" w:sz="8" w:color="231F20"/>
            </w:tcBorders>
          </w:tcPr>
          <w:p>
            <w:pPr>
              <w:jc w:val="right"/>
              <w:ind w:right="122"/>
              <w:spacing w:after="0"/>
              <w:rPr>
                <w:sz w:val="20"/>
                <w:szCs w:val="20"/>
                <w:color w:val="auto"/>
              </w:rPr>
            </w:pPr>
            <w:r>
              <w:rPr>
                <w:rFonts w:ascii="Arial" w:cs="Arial" w:eastAsia="Arial" w:hAnsi="Arial"/>
                <w:sz w:val="20"/>
                <w:szCs w:val="20"/>
                <w:color w:val="231F20"/>
              </w:rPr>
              <w:t>38.3</w:t>
            </w:r>
          </w:p>
        </w:tc>
        <w:tc>
          <w:tcPr>
            <w:tcW w:w="46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20"/>
                <w:szCs w:val="20"/>
                <w:color w:val="231F20"/>
              </w:rPr>
              <w:t>34.3</w:t>
            </w:r>
          </w:p>
        </w:tc>
        <w:tc>
          <w:tcPr>
            <w:tcW w:w="4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20"/>
                <w:szCs w:val="20"/>
                <w:color w:val="231F20"/>
              </w:rPr>
              <w:t>40.2</w:t>
            </w:r>
          </w:p>
        </w:tc>
      </w:tr>
      <w:tr>
        <w:trPr>
          <w:trHeight w:val="234"/>
        </w:trPr>
        <w:tc>
          <w:tcPr>
            <w:tcW w:w="5460" w:type="dxa"/>
            <w:vAlign w:val="bottom"/>
            <w:tcBorders>
              <w:right w:val="single" w:sz="8" w:color="231F20"/>
            </w:tcBorders>
          </w:tcPr>
          <w:p>
            <w:pPr>
              <w:jc w:val="right"/>
              <w:ind w:right="41"/>
              <w:spacing w:after="0"/>
              <w:rPr>
                <w:sz w:val="20"/>
                <w:szCs w:val="20"/>
                <w:color w:val="auto"/>
              </w:rPr>
            </w:pPr>
            <w:r>
              <w:rPr>
                <w:rFonts w:ascii="Arial" w:cs="Arial" w:eastAsia="Arial" w:hAnsi="Arial"/>
                <w:sz w:val="20"/>
                <w:szCs w:val="20"/>
                <w:color w:val="231F20"/>
              </w:rPr>
              <w:t>State and other</w:t>
            </w:r>
            <w:r>
              <w:rPr>
                <w:rFonts w:ascii="Times New Roman" w:cs="Times New Roman" w:eastAsia="Times New Roman" w:hAnsi="Times New Roman"/>
                <w:sz w:val="20"/>
                <w:szCs w:val="20"/>
                <w:color w:val="231F20"/>
              </w:rPr>
              <w:t>...........................................................................</w:t>
            </w:r>
          </w:p>
        </w:tc>
        <w:tc>
          <w:tcPr>
            <w:tcW w:w="440" w:type="dxa"/>
            <w:vAlign w:val="bottom"/>
          </w:tcPr>
          <w:p>
            <w:pPr>
              <w:spacing w:after="0"/>
              <w:rPr>
                <w:sz w:val="20"/>
                <w:szCs w:val="20"/>
                <w:color w:val="auto"/>
              </w:rPr>
            </w:pPr>
          </w:p>
        </w:tc>
        <w:tc>
          <w:tcPr>
            <w:tcW w:w="960" w:type="dxa"/>
            <w:vAlign w:val="bottom"/>
            <w:tcBorders>
              <w:right w:val="single" w:sz="8" w:color="231F20"/>
            </w:tcBorders>
          </w:tcPr>
          <w:p>
            <w:pPr>
              <w:jc w:val="right"/>
              <w:ind w:right="122"/>
              <w:spacing w:after="0"/>
              <w:rPr>
                <w:sz w:val="20"/>
                <w:szCs w:val="20"/>
                <w:color w:val="auto"/>
              </w:rPr>
            </w:pPr>
            <w:r>
              <w:rPr>
                <w:rFonts w:ascii="Arial" w:cs="Arial" w:eastAsia="Arial" w:hAnsi="Arial"/>
                <w:sz w:val="20"/>
                <w:szCs w:val="20"/>
                <w:color w:val="231F20"/>
              </w:rPr>
              <w:t>15.2</w:t>
            </w:r>
          </w:p>
        </w:tc>
        <w:tc>
          <w:tcPr>
            <w:tcW w:w="46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20"/>
                <w:szCs w:val="20"/>
                <w:color w:val="231F20"/>
              </w:rPr>
              <w:t>16.0</w:t>
            </w:r>
          </w:p>
        </w:tc>
        <w:tc>
          <w:tcPr>
            <w:tcW w:w="4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20"/>
                <w:szCs w:val="20"/>
                <w:color w:val="231F20"/>
              </w:rPr>
              <w:t>16.9</w:t>
            </w:r>
          </w:p>
        </w:tc>
      </w:tr>
      <w:tr>
        <w:trPr>
          <w:trHeight w:val="231"/>
        </w:trPr>
        <w:tc>
          <w:tcPr>
            <w:tcW w:w="546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Deferred</w:t>
            </w:r>
          </w:p>
        </w:tc>
        <w:tc>
          <w:tcPr>
            <w:tcW w:w="440" w:type="dxa"/>
            <w:vAlign w:val="bottom"/>
          </w:tcPr>
          <w:p>
            <w:pPr>
              <w:spacing w:after="0"/>
              <w:rPr>
                <w:sz w:val="20"/>
                <w:szCs w:val="20"/>
                <w:color w:val="auto"/>
              </w:rPr>
            </w:pPr>
          </w:p>
        </w:tc>
        <w:tc>
          <w:tcPr>
            <w:tcW w:w="960" w:type="dxa"/>
            <w:vAlign w:val="bottom"/>
            <w:tcBorders>
              <w:right w:val="single" w:sz="8" w:color="231F20"/>
            </w:tcBorders>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3"/>
        </w:trPr>
        <w:tc>
          <w:tcPr>
            <w:tcW w:w="5460" w:type="dxa"/>
            <w:vAlign w:val="bottom"/>
            <w:tcBorders>
              <w:right w:val="single" w:sz="8" w:color="231F20"/>
            </w:tcBorders>
          </w:tcPr>
          <w:p>
            <w:pPr>
              <w:jc w:val="right"/>
              <w:ind w:right="41"/>
              <w:spacing w:after="0"/>
              <w:rPr>
                <w:sz w:val="20"/>
                <w:szCs w:val="20"/>
                <w:color w:val="auto"/>
              </w:rPr>
            </w:pPr>
            <w:r>
              <w:rPr>
                <w:rFonts w:ascii="Arial" w:cs="Arial" w:eastAsia="Arial" w:hAnsi="Arial"/>
                <w:sz w:val="20"/>
                <w:szCs w:val="20"/>
                <w:color w:val="231F20"/>
              </w:rPr>
              <w:t xml:space="preserve">Federal </w:t>
            </w:r>
            <w:r>
              <w:rPr>
                <w:rFonts w:ascii="Times New Roman" w:cs="Times New Roman" w:eastAsia="Times New Roman" w:hAnsi="Times New Roman"/>
                <w:sz w:val="20"/>
                <w:szCs w:val="20"/>
                <w:color w:val="231F20"/>
              </w:rPr>
              <w:t>........................................................................................</w:t>
            </w:r>
          </w:p>
        </w:tc>
        <w:tc>
          <w:tcPr>
            <w:tcW w:w="440" w:type="dxa"/>
            <w:vAlign w:val="bottom"/>
          </w:tcPr>
          <w:p>
            <w:pPr>
              <w:spacing w:after="0"/>
              <w:rPr>
                <w:sz w:val="20"/>
                <w:szCs w:val="20"/>
                <w:color w:val="auto"/>
              </w:rPr>
            </w:pPr>
          </w:p>
        </w:tc>
        <w:tc>
          <w:tcPr>
            <w:tcW w:w="960" w:type="dxa"/>
            <w:vAlign w:val="bottom"/>
            <w:tcBorders>
              <w:right w:val="single" w:sz="8" w:color="231F20"/>
            </w:tcBorders>
          </w:tcPr>
          <w:p>
            <w:pPr>
              <w:jc w:val="right"/>
              <w:ind w:right="62"/>
              <w:spacing w:after="0"/>
              <w:rPr>
                <w:sz w:val="20"/>
                <w:szCs w:val="20"/>
                <w:color w:val="auto"/>
              </w:rPr>
            </w:pPr>
            <w:r>
              <w:rPr>
                <w:rFonts w:ascii="Arial" w:cs="Arial" w:eastAsia="Arial" w:hAnsi="Arial"/>
                <w:sz w:val="20"/>
                <w:szCs w:val="20"/>
                <w:color w:val="231F20"/>
              </w:rPr>
              <w:t>(21.2)</w:t>
            </w:r>
          </w:p>
        </w:tc>
        <w:tc>
          <w:tcPr>
            <w:tcW w:w="46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20"/>
                <w:szCs w:val="20"/>
                <w:color w:val="231F20"/>
              </w:rPr>
              <w:t>15.3</w:t>
            </w:r>
          </w:p>
        </w:tc>
        <w:tc>
          <w:tcPr>
            <w:tcW w:w="4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20"/>
                <w:szCs w:val="20"/>
                <w:color w:val="231F20"/>
              </w:rPr>
              <w:t>11.5</w:t>
            </w:r>
          </w:p>
        </w:tc>
      </w:tr>
      <w:tr>
        <w:trPr>
          <w:trHeight w:val="233"/>
        </w:trPr>
        <w:tc>
          <w:tcPr>
            <w:tcW w:w="5460" w:type="dxa"/>
            <w:vAlign w:val="bottom"/>
            <w:tcBorders>
              <w:right w:val="single" w:sz="8" w:color="231F20"/>
            </w:tcBorders>
          </w:tcPr>
          <w:p>
            <w:pPr>
              <w:jc w:val="right"/>
              <w:ind w:right="41"/>
              <w:spacing w:after="0"/>
              <w:rPr>
                <w:sz w:val="20"/>
                <w:szCs w:val="20"/>
                <w:color w:val="auto"/>
              </w:rPr>
            </w:pPr>
            <w:r>
              <w:rPr>
                <w:rFonts w:ascii="Arial" w:cs="Arial" w:eastAsia="Arial" w:hAnsi="Arial"/>
                <w:sz w:val="20"/>
                <w:szCs w:val="20"/>
                <w:color w:val="231F20"/>
              </w:rPr>
              <w:t xml:space="preserve">Foreign </w:t>
            </w:r>
            <w:r>
              <w:rPr>
                <w:rFonts w:ascii="Times New Roman" w:cs="Times New Roman" w:eastAsia="Times New Roman" w:hAnsi="Times New Roman"/>
                <w:sz w:val="20"/>
                <w:szCs w:val="20"/>
                <w:color w:val="231F20"/>
              </w:rPr>
              <w:t>........................................................................................</w:t>
            </w:r>
          </w:p>
        </w:tc>
        <w:tc>
          <w:tcPr>
            <w:tcW w:w="440" w:type="dxa"/>
            <w:vAlign w:val="bottom"/>
          </w:tcPr>
          <w:p>
            <w:pPr>
              <w:spacing w:after="0"/>
              <w:rPr>
                <w:sz w:val="20"/>
                <w:szCs w:val="20"/>
                <w:color w:val="auto"/>
              </w:rPr>
            </w:pPr>
          </w:p>
        </w:tc>
        <w:tc>
          <w:tcPr>
            <w:tcW w:w="960" w:type="dxa"/>
            <w:vAlign w:val="bottom"/>
            <w:tcBorders>
              <w:right w:val="single" w:sz="8" w:color="231F20"/>
            </w:tcBorders>
          </w:tcPr>
          <w:p>
            <w:pPr>
              <w:jc w:val="right"/>
              <w:ind w:right="62"/>
              <w:spacing w:after="0"/>
              <w:rPr>
                <w:sz w:val="20"/>
                <w:szCs w:val="20"/>
                <w:color w:val="auto"/>
              </w:rPr>
            </w:pPr>
            <w:r>
              <w:rPr>
                <w:rFonts w:ascii="Arial" w:cs="Arial" w:eastAsia="Arial" w:hAnsi="Arial"/>
                <w:sz w:val="20"/>
                <w:szCs w:val="20"/>
                <w:color w:val="231F20"/>
              </w:rPr>
              <w:t>(3.5)</w:t>
            </w:r>
          </w:p>
        </w:tc>
        <w:tc>
          <w:tcPr>
            <w:tcW w:w="46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20"/>
                <w:szCs w:val="20"/>
                <w:color w:val="231F20"/>
              </w:rPr>
              <w:t>1.5</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(4.9)</w:t>
            </w:r>
          </w:p>
        </w:tc>
      </w:tr>
      <w:tr>
        <w:trPr>
          <w:trHeight w:val="253"/>
        </w:trPr>
        <w:tc>
          <w:tcPr>
            <w:tcW w:w="5460" w:type="dxa"/>
            <w:vAlign w:val="bottom"/>
            <w:tcBorders>
              <w:bottom w:val="single" w:sz="8" w:color="231F20"/>
              <w:right w:val="single" w:sz="8" w:color="231F20"/>
            </w:tcBorders>
          </w:tcPr>
          <w:p>
            <w:pPr>
              <w:jc w:val="right"/>
              <w:ind w:right="41"/>
              <w:spacing w:after="0"/>
              <w:rPr>
                <w:sz w:val="20"/>
                <w:szCs w:val="20"/>
                <w:color w:val="auto"/>
              </w:rPr>
            </w:pPr>
            <w:r>
              <w:rPr>
                <w:rFonts w:ascii="Arial" w:cs="Arial" w:eastAsia="Arial" w:hAnsi="Arial"/>
                <w:sz w:val="20"/>
                <w:szCs w:val="20"/>
                <w:color w:val="231F20"/>
              </w:rPr>
              <w:t xml:space="preserve">State and Local </w:t>
            </w:r>
            <w:r>
              <w:rPr>
                <w:rFonts w:ascii="Times New Roman" w:cs="Times New Roman" w:eastAsia="Times New Roman" w:hAnsi="Times New Roman"/>
                <w:sz w:val="20"/>
                <w:szCs w:val="20"/>
                <w:color w:val="231F20"/>
              </w:rPr>
              <w:t>..........................................................................</w:t>
            </w:r>
          </w:p>
        </w:tc>
        <w:tc>
          <w:tcPr>
            <w:tcW w:w="4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right w:val="single" w:sz="8" w:color="231F20"/>
            </w:tcBorders>
          </w:tcPr>
          <w:p>
            <w:pPr>
              <w:jc w:val="right"/>
              <w:ind w:right="62"/>
              <w:spacing w:after="0"/>
              <w:rPr>
                <w:sz w:val="20"/>
                <w:szCs w:val="20"/>
                <w:color w:val="auto"/>
              </w:rPr>
            </w:pPr>
            <w:r>
              <w:rPr>
                <w:rFonts w:ascii="Arial" w:cs="Arial" w:eastAsia="Arial" w:hAnsi="Arial"/>
                <w:sz w:val="20"/>
                <w:szCs w:val="20"/>
                <w:color w:val="231F20"/>
              </w:rPr>
              <w:t>(3.3)</w:t>
            </w:r>
          </w:p>
        </w:tc>
        <w:tc>
          <w:tcPr>
            <w:tcW w:w="46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(2.3)</w:t>
            </w:r>
          </w:p>
        </w:tc>
        <w:tc>
          <w:tcPr>
            <w:tcW w:w="42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ind w:right="2"/>
              <w:spacing w:after="0"/>
              <w:rPr>
                <w:sz w:val="20"/>
                <w:szCs w:val="20"/>
                <w:color w:val="auto"/>
              </w:rPr>
            </w:pPr>
            <w:r>
              <w:rPr>
                <w:rFonts w:ascii="Arial" w:cs="Arial" w:eastAsia="Arial" w:hAnsi="Arial"/>
                <w:sz w:val="20"/>
                <w:szCs w:val="20"/>
                <w:color w:val="231F20"/>
              </w:rPr>
              <w:t>0.6</w:t>
            </w:r>
          </w:p>
        </w:tc>
      </w:tr>
      <w:tr>
        <w:trPr>
          <w:trHeight w:val="248"/>
        </w:trPr>
        <w:tc>
          <w:tcPr>
            <w:tcW w:w="5460" w:type="dxa"/>
            <w:vAlign w:val="bottom"/>
            <w:tcBorders>
              <w:bottom w:val="single" w:sz="8" w:color="231F20"/>
              <w:right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 xml:space="preserve">Total income tax expense </w:t>
            </w:r>
            <w:r>
              <w:rPr>
                <w:rFonts w:ascii="Times New Roman" w:cs="Times New Roman" w:eastAsia="Times New Roman" w:hAnsi="Times New Roman"/>
                <w:sz w:val="20"/>
                <w:szCs w:val="20"/>
                <w:color w:val="231F20"/>
              </w:rPr>
              <w:t>...........................................................</w:t>
            </w:r>
          </w:p>
        </w:tc>
        <w:tc>
          <w:tcPr>
            <w:tcW w:w="440" w:type="dxa"/>
            <w:vAlign w:val="bottom"/>
            <w:tcBorders>
              <w:bottom w:val="single" w:sz="8" w:color="231F20"/>
            </w:tcBorders>
          </w:tcPr>
          <w:p>
            <w:pPr>
              <w:jc w:val="right"/>
              <w:ind w:right="119"/>
              <w:spacing w:after="0" w:line="223" w:lineRule="exact"/>
              <w:rPr>
                <w:sz w:val="20"/>
                <w:szCs w:val="20"/>
                <w:color w:val="auto"/>
              </w:rPr>
            </w:pPr>
            <w:r>
              <w:rPr>
                <w:rFonts w:ascii="Arial" w:cs="Arial" w:eastAsia="Arial" w:hAnsi="Arial"/>
                <w:sz w:val="20"/>
                <w:szCs w:val="20"/>
                <w:color w:val="231F20"/>
              </w:rPr>
              <w:t>$</w:t>
            </w:r>
          </w:p>
        </w:tc>
        <w:tc>
          <w:tcPr>
            <w:tcW w:w="960" w:type="dxa"/>
            <w:vAlign w:val="bottom"/>
            <w:tcBorders>
              <w:bottom w:val="single" w:sz="8" w:color="231F20"/>
              <w:right w:val="single" w:sz="8" w:color="231F20"/>
            </w:tcBorders>
          </w:tcPr>
          <w:p>
            <w:pPr>
              <w:jc w:val="right"/>
              <w:ind w:right="122"/>
              <w:spacing w:after="0" w:line="223" w:lineRule="exact"/>
              <w:rPr>
                <w:sz w:val="20"/>
                <w:szCs w:val="20"/>
                <w:color w:val="auto"/>
              </w:rPr>
            </w:pPr>
            <w:r>
              <w:rPr>
                <w:rFonts w:ascii="Arial" w:cs="Arial" w:eastAsia="Arial" w:hAnsi="Arial"/>
                <w:sz w:val="20"/>
                <w:szCs w:val="20"/>
                <w:color w:val="231F20"/>
              </w:rPr>
              <w:t>112.4</w:t>
            </w:r>
          </w:p>
        </w:tc>
        <w:tc>
          <w:tcPr>
            <w:tcW w:w="460" w:type="dxa"/>
            <w:vAlign w:val="bottom"/>
            <w:tcBorders>
              <w:bottom w:val="single" w:sz="8" w:color="231F20"/>
            </w:tcBorders>
          </w:tcPr>
          <w:p>
            <w:pPr>
              <w:jc w:val="right"/>
              <w:ind w:right="139"/>
              <w:spacing w:after="0" w:line="223" w:lineRule="exact"/>
              <w:rPr>
                <w:sz w:val="20"/>
                <w:szCs w:val="20"/>
                <w:color w:val="auto"/>
              </w:rPr>
            </w:pPr>
            <w:r>
              <w:rPr>
                <w:rFonts w:ascii="Arial" w:cs="Arial" w:eastAsia="Arial" w:hAnsi="Arial"/>
                <w:sz w:val="20"/>
                <w:szCs w:val="20"/>
                <w:color w:val="231F20"/>
              </w:rPr>
              <w:t>$</w:t>
            </w:r>
          </w:p>
        </w:tc>
        <w:tc>
          <w:tcPr>
            <w:tcW w:w="880" w:type="dxa"/>
            <w:vAlign w:val="bottom"/>
            <w:tcBorders>
              <w:bottom w:val="single" w:sz="8" w:color="231F20"/>
            </w:tcBorders>
          </w:tcPr>
          <w:p>
            <w:pPr>
              <w:jc w:val="right"/>
              <w:ind w:right="42"/>
              <w:spacing w:after="0" w:line="223" w:lineRule="exact"/>
              <w:rPr>
                <w:sz w:val="20"/>
                <w:szCs w:val="20"/>
                <w:color w:val="auto"/>
              </w:rPr>
            </w:pPr>
            <w:r>
              <w:rPr>
                <w:rFonts w:ascii="Arial" w:cs="Arial" w:eastAsia="Arial" w:hAnsi="Arial"/>
                <w:sz w:val="20"/>
                <w:szCs w:val="20"/>
                <w:color w:val="231F20"/>
              </w:rPr>
              <w:t>127.2</w:t>
            </w:r>
          </w:p>
        </w:tc>
        <w:tc>
          <w:tcPr>
            <w:tcW w:w="420" w:type="dxa"/>
            <w:vAlign w:val="bottom"/>
            <w:tcBorders>
              <w:bottom w:val="single" w:sz="8" w:color="231F20"/>
            </w:tcBorders>
          </w:tcPr>
          <w:p>
            <w:pPr>
              <w:jc w:val="right"/>
              <w:ind w:right="139"/>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tcBorders>
          </w:tcPr>
          <w:p>
            <w:pPr>
              <w:jc w:val="right"/>
              <w:ind w:right="2"/>
              <w:spacing w:after="0" w:line="223" w:lineRule="exact"/>
              <w:rPr>
                <w:sz w:val="20"/>
                <w:szCs w:val="20"/>
                <w:color w:val="auto"/>
              </w:rPr>
            </w:pPr>
            <w:r>
              <w:rPr>
                <w:rFonts w:ascii="Arial" w:cs="Arial" w:eastAsia="Arial" w:hAnsi="Arial"/>
                <w:sz w:val="20"/>
                <w:szCs w:val="20"/>
                <w:color w:val="231F20"/>
              </w:rPr>
              <w:t>166.7</w:t>
            </w:r>
          </w:p>
        </w:tc>
      </w:tr>
    </w:tbl>
    <w:p>
      <w:pPr>
        <w:spacing w:after="0" w:line="200" w:lineRule="exact"/>
        <w:rPr>
          <w:sz w:val="20"/>
          <w:szCs w:val="20"/>
          <w:color w:val="auto"/>
        </w:rPr>
      </w:pP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81</w:t>
      </w:r>
    </w:p>
    <w:p>
      <w:pPr>
        <w:sectPr>
          <w:pgSz w:w="12240" w:h="15840" w:orient="portrait"/>
          <w:cols w:equalWidth="0" w:num="1">
            <w:col w:w="9460"/>
          </w:cols>
          <w:pgMar w:left="1380" w:top="1346" w:right="1400" w:bottom="95" w:gutter="0" w:footer="0" w:header="0"/>
          <w:type w:val="continuous"/>
        </w:sectPr>
      </w:pPr>
    </w:p>
    <w:bookmarkStart w:id="89" w:name="page90"/>
    <w:bookmarkEnd w:id="89"/>
    <w:p>
      <w:pPr>
        <w:spacing w:after="0"/>
        <w:rPr>
          <w:sz w:val="20"/>
          <w:szCs w:val="20"/>
          <w:color w:val="auto"/>
        </w:rPr>
      </w:pPr>
      <w:r>
        <w:rPr>
          <w:rFonts w:ascii="Arial" w:cs="Arial" w:eastAsia="Arial" w:hAnsi="Arial"/>
          <w:sz w:val="20"/>
          <w:szCs w:val="20"/>
          <w:color w:val="231F20"/>
        </w:rPr>
        <w:t>A reconciliation between the federal statutory tax rate and the effective tax rate is as follows: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20" w:type="dxa"/>
            <w:vAlign w:val="bottom"/>
            <w:tcBorders>
              <w:bottom w:val="single" w:sz="8" w:color="231F20"/>
            </w:tcBorders>
          </w:tcPr>
          <w:p>
            <w:pPr>
              <w:spacing w:after="0"/>
              <w:rPr>
                <w:sz w:val="15"/>
                <w:szCs w:val="15"/>
                <w:color w:val="auto"/>
              </w:rPr>
            </w:pPr>
          </w:p>
        </w:tc>
        <w:tc>
          <w:tcPr>
            <w:tcW w:w="6100" w:type="dxa"/>
            <w:vAlign w:val="bottom"/>
            <w:tcBorders>
              <w:top w:val="single" w:sz="8" w:color="231F20"/>
              <w:bottom w:val="single" w:sz="8" w:color="231F20"/>
              <w:right w:val="single" w:sz="8" w:color="231F20"/>
            </w:tcBorders>
          </w:tcPr>
          <w:p>
            <w:pPr>
              <w:spacing w:after="0" w:line="177"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340" w:type="dxa"/>
            <w:vAlign w:val="bottom"/>
            <w:tcBorders>
              <w:top w:val="single" w:sz="8" w:color="231F20"/>
              <w:bottom w:val="single" w:sz="8" w:color="231F20"/>
            </w:tcBorders>
          </w:tcPr>
          <w:p>
            <w:pPr>
              <w:spacing w:after="0"/>
              <w:rPr>
                <w:sz w:val="15"/>
                <w:szCs w:val="15"/>
                <w:color w:val="auto"/>
              </w:rPr>
            </w:pPr>
          </w:p>
        </w:tc>
        <w:tc>
          <w:tcPr>
            <w:tcW w:w="920" w:type="dxa"/>
            <w:vAlign w:val="bottom"/>
            <w:tcBorders>
              <w:top w:val="single" w:sz="8" w:color="231F20"/>
              <w:bottom w:val="single" w:sz="8" w:color="231F20"/>
              <w:right w:val="single" w:sz="8" w:color="231F20"/>
            </w:tcBorders>
          </w:tcPr>
          <w:p>
            <w:pPr>
              <w:jc w:val="right"/>
              <w:ind w:right="221"/>
              <w:spacing w:after="0"/>
              <w:rPr>
                <w:sz w:val="20"/>
                <w:szCs w:val="20"/>
                <w:color w:val="auto"/>
              </w:rPr>
            </w:pPr>
            <w:r>
              <w:rPr>
                <w:rFonts w:ascii="Arial" w:cs="Arial" w:eastAsia="Arial" w:hAnsi="Arial"/>
                <w:sz w:val="15"/>
                <w:szCs w:val="15"/>
                <w:i w:val="1"/>
                <w:iCs w:val="1"/>
                <w:color w:val="231F20"/>
              </w:rPr>
              <w:t>2023</w:t>
            </w:r>
          </w:p>
        </w:tc>
        <w:tc>
          <w:tcPr>
            <w:tcW w:w="280" w:type="dxa"/>
            <w:vAlign w:val="bottom"/>
            <w:tcBorders>
              <w:top w:val="single" w:sz="8" w:color="231F20"/>
              <w:bottom w:val="single" w:sz="8" w:color="231F20"/>
            </w:tcBorders>
          </w:tcPr>
          <w:p>
            <w:pPr>
              <w:spacing w:after="0"/>
              <w:rPr>
                <w:sz w:val="15"/>
                <w:szCs w:val="15"/>
                <w:color w:val="auto"/>
              </w:rPr>
            </w:pPr>
          </w:p>
        </w:tc>
        <w:tc>
          <w:tcPr>
            <w:tcW w:w="800" w:type="dxa"/>
            <w:vAlign w:val="bottom"/>
            <w:tcBorders>
              <w:top w:val="single" w:sz="8" w:color="231F20"/>
              <w:bottom w:val="single" w:sz="8" w:color="231F20"/>
            </w:tcBorders>
          </w:tcPr>
          <w:p>
            <w:pPr>
              <w:jc w:val="right"/>
              <w:ind w:right="141"/>
              <w:spacing w:after="0"/>
              <w:rPr>
                <w:sz w:val="20"/>
                <w:szCs w:val="20"/>
                <w:color w:val="auto"/>
              </w:rPr>
            </w:pPr>
            <w:r>
              <w:rPr>
                <w:rFonts w:ascii="Arial" w:cs="Arial" w:eastAsia="Arial" w:hAnsi="Arial"/>
                <w:sz w:val="15"/>
                <w:szCs w:val="15"/>
                <w:color w:val="231F20"/>
              </w:rPr>
              <w:t>2022</w:t>
            </w:r>
          </w:p>
        </w:tc>
        <w:tc>
          <w:tcPr>
            <w:tcW w:w="240" w:type="dxa"/>
            <w:vAlign w:val="bottom"/>
            <w:tcBorders>
              <w:top w:val="single" w:sz="8" w:color="231F20"/>
              <w:bottom w:val="single" w:sz="8" w:color="231F20"/>
            </w:tcBorders>
          </w:tcPr>
          <w:p>
            <w:pPr>
              <w:spacing w:after="0"/>
              <w:rPr>
                <w:sz w:val="15"/>
                <w:szCs w:val="15"/>
                <w:color w:val="auto"/>
              </w:rPr>
            </w:pPr>
          </w:p>
        </w:tc>
        <w:tc>
          <w:tcPr>
            <w:tcW w:w="740" w:type="dxa"/>
            <w:vAlign w:val="bottom"/>
            <w:tcBorders>
              <w:top w:val="single" w:sz="8" w:color="231F20"/>
              <w:bottom w:val="single" w:sz="8" w:color="231F20"/>
            </w:tcBorders>
          </w:tcPr>
          <w:p>
            <w:pPr>
              <w:jc w:val="right"/>
              <w:ind w:right="81"/>
              <w:spacing w:after="0"/>
              <w:rPr>
                <w:sz w:val="20"/>
                <w:szCs w:val="20"/>
                <w:color w:val="auto"/>
              </w:rPr>
            </w:pPr>
            <w:r>
              <w:rPr>
                <w:rFonts w:ascii="Arial" w:cs="Arial" w:eastAsia="Arial" w:hAnsi="Arial"/>
                <w:sz w:val="15"/>
                <w:szCs w:val="15"/>
                <w:color w:val="231F20"/>
              </w:rPr>
              <w:t>2021</w:t>
            </w:r>
          </w:p>
        </w:tc>
      </w:tr>
      <w:tr>
        <w:trPr>
          <w:trHeight w:val="185"/>
        </w:trPr>
        <w:tc>
          <w:tcPr>
            <w:tcW w:w="6120" w:type="dxa"/>
            <w:vAlign w:val="bottom"/>
            <w:tcBorders>
              <w:right w:val="single" w:sz="8" w:color="231F20"/>
            </w:tcBorders>
            <w:gridSpan w:val="2"/>
          </w:tcPr>
          <w:p>
            <w:pPr>
              <w:spacing w:after="0" w:line="184" w:lineRule="exact"/>
              <w:rPr>
                <w:sz w:val="20"/>
                <w:szCs w:val="20"/>
                <w:color w:val="auto"/>
              </w:rPr>
            </w:pPr>
            <w:r>
              <w:rPr>
                <w:rFonts w:ascii="Arial" w:cs="Arial" w:eastAsia="Arial" w:hAnsi="Arial"/>
                <w:sz w:val="20"/>
                <w:szCs w:val="20"/>
                <w:color w:val="231F20"/>
              </w:rPr>
              <w:t>Income tax expense computed at federal statutory income tax rate</w:t>
            </w:r>
            <w:r>
              <w:rPr>
                <w:rFonts w:ascii="Times New Roman" w:cs="Times New Roman" w:eastAsia="Times New Roman" w:hAnsi="Times New Roman"/>
                <w:sz w:val="20"/>
                <w:szCs w:val="20"/>
                <w:color w:val="231F20"/>
              </w:rPr>
              <w:t>.</w:t>
            </w:r>
          </w:p>
        </w:tc>
        <w:tc>
          <w:tcPr>
            <w:tcW w:w="340" w:type="dxa"/>
            <w:vAlign w:val="bottom"/>
          </w:tcPr>
          <w:p>
            <w:pPr>
              <w:jc w:val="right"/>
              <w:spacing w:after="0" w:line="184" w:lineRule="exact"/>
              <w:rPr>
                <w:sz w:val="20"/>
                <w:szCs w:val="20"/>
                <w:color w:val="auto"/>
              </w:rPr>
            </w:pPr>
            <w:r>
              <w:rPr>
                <w:rFonts w:ascii="Arial" w:cs="Arial" w:eastAsia="Arial" w:hAnsi="Arial"/>
                <w:sz w:val="20"/>
                <w:szCs w:val="20"/>
                <w:color w:val="231F20"/>
              </w:rPr>
              <w:t>$</w:t>
            </w:r>
          </w:p>
        </w:tc>
        <w:tc>
          <w:tcPr>
            <w:tcW w:w="920" w:type="dxa"/>
            <w:vAlign w:val="bottom"/>
            <w:tcBorders>
              <w:right w:val="single" w:sz="8" w:color="231F20"/>
            </w:tcBorders>
          </w:tcPr>
          <w:p>
            <w:pPr>
              <w:jc w:val="right"/>
              <w:ind w:right="221"/>
              <w:spacing w:after="0" w:line="184" w:lineRule="exact"/>
              <w:rPr>
                <w:sz w:val="20"/>
                <w:szCs w:val="20"/>
                <w:color w:val="auto"/>
              </w:rPr>
            </w:pPr>
            <w:r>
              <w:rPr>
                <w:rFonts w:ascii="Arial" w:cs="Arial" w:eastAsia="Arial" w:hAnsi="Arial"/>
                <w:sz w:val="20"/>
                <w:szCs w:val="20"/>
                <w:color w:val="231F20"/>
              </w:rPr>
              <w:t>108.8</w:t>
            </w:r>
          </w:p>
        </w:tc>
        <w:tc>
          <w:tcPr>
            <w:tcW w:w="280" w:type="dxa"/>
            <w:vAlign w:val="bottom"/>
          </w:tcPr>
          <w:p>
            <w:pPr>
              <w:jc w:val="right"/>
              <w:spacing w:after="0" w:line="184" w:lineRule="exact"/>
              <w:rPr>
                <w:sz w:val="20"/>
                <w:szCs w:val="20"/>
                <w:color w:val="auto"/>
              </w:rPr>
            </w:pPr>
            <w:r>
              <w:rPr>
                <w:rFonts w:ascii="Arial" w:cs="Arial" w:eastAsia="Arial" w:hAnsi="Arial"/>
                <w:sz w:val="20"/>
                <w:szCs w:val="20"/>
                <w:color w:val="231F20"/>
              </w:rPr>
              <w:t>$</w:t>
            </w:r>
          </w:p>
        </w:tc>
        <w:tc>
          <w:tcPr>
            <w:tcW w:w="800" w:type="dxa"/>
            <w:vAlign w:val="bottom"/>
          </w:tcPr>
          <w:p>
            <w:pPr>
              <w:jc w:val="right"/>
              <w:ind w:right="141"/>
              <w:spacing w:after="0" w:line="184" w:lineRule="exact"/>
              <w:rPr>
                <w:sz w:val="20"/>
                <w:szCs w:val="20"/>
                <w:color w:val="auto"/>
              </w:rPr>
            </w:pPr>
            <w:r>
              <w:rPr>
                <w:rFonts w:ascii="Arial" w:cs="Arial" w:eastAsia="Arial" w:hAnsi="Arial"/>
                <w:sz w:val="20"/>
                <w:szCs w:val="20"/>
                <w:color w:val="231F20"/>
              </w:rPr>
              <w:t>140.1</w:t>
            </w:r>
          </w:p>
        </w:tc>
        <w:tc>
          <w:tcPr>
            <w:tcW w:w="240" w:type="dxa"/>
            <w:vAlign w:val="bottom"/>
          </w:tcPr>
          <w:p>
            <w:pPr>
              <w:jc w:val="right"/>
              <w:spacing w:after="0" w:line="184"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81"/>
              <w:spacing w:after="0" w:line="184" w:lineRule="exact"/>
              <w:rPr>
                <w:sz w:val="20"/>
                <w:szCs w:val="20"/>
                <w:color w:val="auto"/>
              </w:rPr>
            </w:pPr>
            <w:r>
              <w:rPr>
                <w:rFonts w:ascii="Arial" w:cs="Arial" w:eastAsia="Arial" w:hAnsi="Arial"/>
                <w:sz w:val="20"/>
                <w:szCs w:val="20"/>
                <w:color w:val="231F20"/>
              </w:rPr>
              <w:t>152.5</w:t>
            </w:r>
          </w:p>
        </w:tc>
      </w:tr>
      <w:tr>
        <w:trPr>
          <w:trHeight w:val="224"/>
        </w:trPr>
        <w:tc>
          <w:tcPr>
            <w:tcW w:w="6120" w:type="dxa"/>
            <w:vAlign w:val="bottom"/>
            <w:tcBorders>
              <w:right w:val="single" w:sz="8" w:color="231F20"/>
            </w:tcBorders>
            <w:gridSpan w:val="2"/>
          </w:tcPr>
          <w:p>
            <w:pPr>
              <w:spacing w:after="0" w:line="224" w:lineRule="exact"/>
              <w:rPr>
                <w:sz w:val="20"/>
                <w:szCs w:val="20"/>
                <w:color w:val="auto"/>
              </w:rPr>
            </w:pPr>
            <w:r>
              <w:rPr>
                <w:rFonts w:ascii="Arial" w:cs="Arial" w:eastAsia="Arial" w:hAnsi="Arial"/>
                <w:sz w:val="20"/>
                <w:szCs w:val="20"/>
                <w:color w:val="231F20"/>
              </w:rPr>
              <w:t>State and local income taxes, net of federal tax benefit</w:t>
            </w: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920" w:type="dxa"/>
            <w:vAlign w:val="bottom"/>
            <w:tcBorders>
              <w:right w:val="single" w:sz="8" w:color="231F20"/>
            </w:tcBorders>
          </w:tcPr>
          <w:p>
            <w:pPr>
              <w:jc w:val="right"/>
              <w:ind w:right="221"/>
              <w:spacing w:after="0" w:line="224" w:lineRule="exact"/>
              <w:rPr>
                <w:sz w:val="20"/>
                <w:szCs w:val="20"/>
                <w:color w:val="auto"/>
              </w:rPr>
            </w:pPr>
            <w:r>
              <w:rPr>
                <w:rFonts w:ascii="Arial" w:cs="Arial" w:eastAsia="Arial" w:hAnsi="Arial"/>
                <w:sz w:val="20"/>
                <w:szCs w:val="20"/>
                <w:color w:val="231F20"/>
              </w:rPr>
              <w:t>13.2</w:t>
            </w:r>
          </w:p>
        </w:tc>
        <w:tc>
          <w:tcPr>
            <w:tcW w:w="280" w:type="dxa"/>
            <w:vAlign w:val="bottom"/>
          </w:tcPr>
          <w:p>
            <w:pPr>
              <w:spacing w:after="0"/>
              <w:rPr>
                <w:sz w:val="19"/>
                <w:szCs w:val="19"/>
                <w:color w:val="auto"/>
              </w:rPr>
            </w:pPr>
          </w:p>
        </w:tc>
        <w:tc>
          <w:tcPr>
            <w:tcW w:w="800" w:type="dxa"/>
            <w:vAlign w:val="bottom"/>
          </w:tcPr>
          <w:p>
            <w:pPr>
              <w:jc w:val="right"/>
              <w:ind w:right="141"/>
              <w:spacing w:after="0" w:line="224" w:lineRule="exact"/>
              <w:rPr>
                <w:sz w:val="20"/>
                <w:szCs w:val="20"/>
                <w:color w:val="auto"/>
              </w:rPr>
            </w:pPr>
            <w:r>
              <w:rPr>
                <w:rFonts w:ascii="Arial" w:cs="Arial" w:eastAsia="Arial" w:hAnsi="Arial"/>
                <w:sz w:val="20"/>
                <w:szCs w:val="20"/>
                <w:color w:val="231F20"/>
              </w:rPr>
              <w:t>13.2</w:t>
            </w:r>
          </w:p>
        </w:tc>
        <w:tc>
          <w:tcPr>
            <w:tcW w:w="240" w:type="dxa"/>
            <w:vAlign w:val="bottom"/>
          </w:tcPr>
          <w:p>
            <w:pPr>
              <w:spacing w:after="0"/>
              <w:rPr>
                <w:sz w:val="19"/>
                <w:szCs w:val="19"/>
                <w:color w:val="auto"/>
              </w:rPr>
            </w:pPr>
          </w:p>
        </w:tc>
        <w:tc>
          <w:tcPr>
            <w:tcW w:w="740" w:type="dxa"/>
            <w:vAlign w:val="bottom"/>
          </w:tcPr>
          <w:p>
            <w:pPr>
              <w:jc w:val="right"/>
              <w:ind w:right="81"/>
              <w:spacing w:after="0" w:line="224" w:lineRule="exact"/>
              <w:rPr>
                <w:sz w:val="20"/>
                <w:szCs w:val="20"/>
                <w:color w:val="auto"/>
              </w:rPr>
            </w:pPr>
            <w:r>
              <w:rPr>
                <w:rFonts w:ascii="Arial" w:cs="Arial" w:eastAsia="Arial" w:hAnsi="Arial"/>
                <w:sz w:val="20"/>
                <w:szCs w:val="20"/>
                <w:color w:val="231F20"/>
              </w:rPr>
              <w:t>17.4</w:t>
            </w:r>
          </w:p>
        </w:tc>
      </w:tr>
      <w:tr>
        <w:trPr>
          <w:trHeight w:val="222"/>
        </w:trPr>
        <w:tc>
          <w:tcPr>
            <w:tcW w:w="6120" w:type="dxa"/>
            <w:vAlign w:val="bottom"/>
            <w:tcBorders>
              <w:right w:val="single" w:sz="8" w:color="231F20"/>
            </w:tcBorders>
            <w:gridSpan w:val="2"/>
          </w:tcPr>
          <w:p>
            <w:pPr>
              <w:spacing w:after="0" w:line="222" w:lineRule="exact"/>
              <w:rPr>
                <w:sz w:val="20"/>
                <w:szCs w:val="20"/>
                <w:color w:val="auto"/>
              </w:rPr>
            </w:pPr>
            <w:r>
              <w:rPr>
                <w:rFonts w:ascii="Arial" w:cs="Arial" w:eastAsia="Arial" w:hAnsi="Arial"/>
                <w:sz w:val="20"/>
                <w:szCs w:val="20"/>
                <w:color w:val="231F20"/>
              </w:rPr>
              <w:t>Foreign taxes at a different rate than U.S. federal statutory income</w:t>
            </w:r>
          </w:p>
        </w:tc>
        <w:tc>
          <w:tcPr>
            <w:tcW w:w="340" w:type="dxa"/>
            <w:vAlign w:val="bottom"/>
          </w:tcPr>
          <w:p>
            <w:pPr>
              <w:spacing w:after="0"/>
              <w:rPr>
                <w:sz w:val="19"/>
                <w:szCs w:val="19"/>
                <w:color w:val="auto"/>
              </w:rPr>
            </w:pPr>
          </w:p>
        </w:tc>
        <w:tc>
          <w:tcPr>
            <w:tcW w:w="920" w:type="dxa"/>
            <w:vAlign w:val="bottom"/>
            <w:tcBorders>
              <w:right w:val="single" w:sz="8" w:color="231F20"/>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3"/>
        </w:trPr>
        <w:tc>
          <w:tcPr>
            <w:tcW w:w="6120" w:type="dxa"/>
            <w:vAlign w:val="bottom"/>
            <w:tcBorders>
              <w:right w:val="single" w:sz="8" w:color="231F20"/>
            </w:tcBorders>
            <w:gridSpan w:val="2"/>
          </w:tcPr>
          <w:p>
            <w:pPr>
              <w:spacing w:after="0" w:line="223" w:lineRule="exact"/>
              <w:rPr>
                <w:sz w:val="20"/>
                <w:szCs w:val="20"/>
                <w:color w:val="auto"/>
              </w:rPr>
            </w:pPr>
            <w:r>
              <w:rPr>
                <w:rFonts w:ascii="Arial" w:cs="Arial" w:eastAsia="Arial" w:hAnsi="Arial"/>
                <w:sz w:val="20"/>
                <w:szCs w:val="20"/>
                <w:color w:val="231F20"/>
              </w:rPr>
              <w:t>tax rate</w:t>
            </w: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920" w:type="dxa"/>
            <w:vAlign w:val="bottom"/>
            <w:tcBorders>
              <w:right w:val="single" w:sz="8" w:color="231F20"/>
            </w:tcBorders>
          </w:tcPr>
          <w:p>
            <w:pPr>
              <w:jc w:val="right"/>
              <w:ind w:right="221"/>
              <w:spacing w:after="0" w:line="223" w:lineRule="exact"/>
              <w:rPr>
                <w:sz w:val="20"/>
                <w:szCs w:val="20"/>
                <w:color w:val="auto"/>
              </w:rPr>
            </w:pPr>
            <w:r>
              <w:rPr>
                <w:rFonts w:ascii="Arial" w:cs="Arial" w:eastAsia="Arial" w:hAnsi="Arial"/>
                <w:sz w:val="20"/>
                <w:szCs w:val="20"/>
                <w:color w:val="231F20"/>
              </w:rPr>
              <w:t>5.2</w:t>
            </w:r>
          </w:p>
        </w:tc>
        <w:tc>
          <w:tcPr>
            <w:tcW w:w="280" w:type="dxa"/>
            <w:vAlign w:val="bottom"/>
          </w:tcPr>
          <w:p>
            <w:pPr>
              <w:spacing w:after="0"/>
              <w:rPr>
                <w:sz w:val="19"/>
                <w:szCs w:val="19"/>
                <w:color w:val="auto"/>
              </w:rPr>
            </w:pPr>
          </w:p>
        </w:tc>
        <w:tc>
          <w:tcPr>
            <w:tcW w:w="800" w:type="dxa"/>
            <w:vAlign w:val="bottom"/>
          </w:tcPr>
          <w:p>
            <w:pPr>
              <w:jc w:val="right"/>
              <w:ind w:right="141"/>
              <w:spacing w:after="0" w:line="223" w:lineRule="exact"/>
              <w:rPr>
                <w:sz w:val="20"/>
                <w:szCs w:val="20"/>
                <w:color w:val="auto"/>
              </w:rPr>
            </w:pPr>
            <w:r>
              <w:rPr>
                <w:rFonts w:ascii="Arial" w:cs="Arial" w:eastAsia="Arial" w:hAnsi="Arial"/>
                <w:sz w:val="20"/>
                <w:szCs w:val="20"/>
                <w:color w:val="231F20"/>
              </w:rPr>
              <w:t>9.1</w:t>
            </w:r>
          </w:p>
        </w:tc>
        <w:tc>
          <w:tcPr>
            <w:tcW w:w="240" w:type="dxa"/>
            <w:vAlign w:val="bottom"/>
          </w:tcPr>
          <w:p>
            <w:pPr>
              <w:spacing w:after="0"/>
              <w:rPr>
                <w:sz w:val="19"/>
                <w:szCs w:val="19"/>
                <w:color w:val="auto"/>
              </w:rPr>
            </w:pPr>
          </w:p>
        </w:tc>
        <w:tc>
          <w:tcPr>
            <w:tcW w:w="740" w:type="dxa"/>
            <w:vAlign w:val="bottom"/>
          </w:tcPr>
          <w:p>
            <w:pPr>
              <w:jc w:val="right"/>
              <w:ind w:right="81"/>
              <w:spacing w:after="0" w:line="223" w:lineRule="exact"/>
              <w:rPr>
                <w:sz w:val="20"/>
                <w:szCs w:val="20"/>
                <w:color w:val="auto"/>
              </w:rPr>
            </w:pPr>
            <w:r>
              <w:rPr>
                <w:rFonts w:ascii="Arial" w:cs="Arial" w:eastAsia="Arial" w:hAnsi="Arial"/>
                <w:sz w:val="20"/>
                <w:szCs w:val="20"/>
                <w:color w:val="231F20"/>
              </w:rPr>
              <w:t>9.2</w:t>
            </w:r>
          </w:p>
        </w:tc>
      </w:tr>
      <w:tr>
        <w:trPr>
          <w:trHeight w:val="223"/>
        </w:trPr>
        <w:tc>
          <w:tcPr>
            <w:tcW w:w="6120" w:type="dxa"/>
            <w:vAlign w:val="bottom"/>
            <w:tcBorders>
              <w:right w:val="single" w:sz="8" w:color="231F20"/>
            </w:tcBorders>
            <w:gridSpan w:val="2"/>
          </w:tcPr>
          <w:p>
            <w:pPr>
              <w:spacing w:after="0" w:line="223" w:lineRule="exact"/>
              <w:rPr>
                <w:sz w:val="20"/>
                <w:szCs w:val="20"/>
                <w:color w:val="auto"/>
              </w:rPr>
            </w:pPr>
            <w:r>
              <w:rPr>
                <w:rFonts w:ascii="Arial" w:cs="Arial" w:eastAsia="Arial" w:hAnsi="Arial"/>
                <w:sz w:val="20"/>
                <w:szCs w:val="20"/>
                <w:color w:val="231F20"/>
              </w:rPr>
              <w:t xml:space="preserve">Provision for foreign earnings repatriation, net </w:t>
            </w: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920" w:type="dxa"/>
            <w:vAlign w:val="bottom"/>
            <w:tcBorders>
              <w:right w:val="single" w:sz="8" w:color="231F20"/>
            </w:tcBorders>
          </w:tcPr>
          <w:p>
            <w:pPr>
              <w:jc w:val="right"/>
              <w:ind w:right="161"/>
              <w:spacing w:after="0" w:line="223" w:lineRule="exact"/>
              <w:rPr>
                <w:sz w:val="20"/>
                <w:szCs w:val="20"/>
                <w:color w:val="auto"/>
              </w:rPr>
            </w:pPr>
            <w:r>
              <w:rPr>
                <w:rFonts w:ascii="Arial" w:cs="Arial" w:eastAsia="Arial" w:hAnsi="Arial"/>
                <w:sz w:val="20"/>
                <w:szCs w:val="20"/>
                <w:color w:val="231F20"/>
              </w:rPr>
              <w:t>(2.5)</w:t>
            </w:r>
          </w:p>
        </w:tc>
        <w:tc>
          <w:tcPr>
            <w:tcW w:w="280" w:type="dxa"/>
            <w:vAlign w:val="bottom"/>
          </w:tcPr>
          <w:p>
            <w:pPr>
              <w:spacing w:after="0"/>
              <w:rPr>
                <w:sz w:val="19"/>
                <w:szCs w:val="19"/>
                <w:color w:val="auto"/>
              </w:rPr>
            </w:pPr>
          </w:p>
        </w:tc>
        <w:tc>
          <w:tcPr>
            <w:tcW w:w="800" w:type="dxa"/>
            <w:vAlign w:val="bottom"/>
          </w:tcPr>
          <w:p>
            <w:pPr>
              <w:jc w:val="right"/>
              <w:ind w:right="141"/>
              <w:spacing w:after="0" w:line="223" w:lineRule="exact"/>
              <w:rPr>
                <w:sz w:val="20"/>
                <w:szCs w:val="20"/>
                <w:color w:val="auto"/>
              </w:rPr>
            </w:pPr>
            <w:r>
              <w:rPr>
                <w:rFonts w:ascii="Arial" w:cs="Arial" w:eastAsia="Arial" w:hAnsi="Arial"/>
                <w:sz w:val="20"/>
                <w:szCs w:val="20"/>
                <w:color w:val="231F20"/>
              </w:rPr>
              <w:t>1.2</w:t>
            </w:r>
          </w:p>
        </w:tc>
        <w:tc>
          <w:tcPr>
            <w:tcW w:w="240" w:type="dxa"/>
            <w:vAlign w:val="bottom"/>
          </w:tcPr>
          <w:p>
            <w:pPr>
              <w:spacing w:after="0"/>
              <w:rPr>
                <w:sz w:val="19"/>
                <w:szCs w:val="19"/>
                <w:color w:val="auto"/>
              </w:rPr>
            </w:pPr>
          </w:p>
        </w:tc>
        <w:tc>
          <w:tcPr>
            <w:tcW w:w="740" w:type="dxa"/>
            <w:vAlign w:val="bottom"/>
          </w:tcPr>
          <w:p>
            <w:pPr>
              <w:jc w:val="right"/>
              <w:ind w:right="81"/>
              <w:spacing w:after="0" w:line="223" w:lineRule="exact"/>
              <w:rPr>
                <w:sz w:val="20"/>
                <w:szCs w:val="20"/>
                <w:color w:val="auto"/>
              </w:rPr>
            </w:pPr>
            <w:r>
              <w:rPr>
                <w:rFonts w:ascii="Arial" w:cs="Arial" w:eastAsia="Arial" w:hAnsi="Arial"/>
                <w:sz w:val="20"/>
                <w:szCs w:val="20"/>
                <w:color w:val="231F20"/>
              </w:rPr>
              <w:t>—</w:t>
            </w:r>
          </w:p>
        </w:tc>
      </w:tr>
      <w:tr>
        <w:trPr>
          <w:trHeight w:val="223"/>
        </w:trPr>
        <w:tc>
          <w:tcPr>
            <w:tcW w:w="6120" w:type="dxa"/>
            <w:vAlign w:val="bottom"/>
            <w:tcBorders>
              <w:right w:val="single" w:sz="8" w:color="231F20"/>
            </w:tcBorders>
            <w:gridSpan w:val="2"/>
          </w:tcPr>
          <w:p>
            <w:pPr>
              <w:spacing w:after="0" w:line="223" w:lineRule="exact"/>
              <w:rPr>
                <w:sz w:val="20"/>
                <w:szCs w:val="20"/>
                <w:color w:val="auto"/>
              </w:rPr>
            </w:pPr>
            <w:r>
              <w:rPr>
                <w:rFonts w:ascii="Arial" w:cs="Arial" w:eastAsia="Arial" w:hAnsi="Arial"/>
                <w:sz w:val="20"/>
                <w:szCs w:val="20"/>
                <w:color w:val="231F20"/>
              </w:rPr>
              <w:t xml:space="preserve">Net adjustments for uncertain tax positions </w:t>
            </w: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920" w:type="dxa"/>
            <w:vAlign w:val="bottom"/>
            <w:tcBorders>
              <w:right w:val="single" w:sz="8" w:color="231F20"/>
            </w:tcBorders>
          </w:tcPr>
          <w:p>
            <w:pPr>
              <w:jc w:val="right"/>
              <w:ind w:right="161"/>
              <w:spacing w:after="0" w:line="223" w:lineRule="exact"/>
              <w:rPr>
                <w:sz w:val="20"/>
                <w:szCs w:val="20"/>
                <w:color w:val="auto"/>
              </w:rPr>
            </w:pPr>
            <w:r>
              <w:rPr>
                <w:rFonts w:ascii="Arial" w:cs="Arial" w:eastAsia="Arial" w:hAnsi="Arial"/>
                <w:sz w:val="20"/>
                <w:szCs w:val="20"/>
                <w:color w:val="231F20"/>
              </w:rPr>
              <w:t>(8.0)</w:t>
            </w:r>
          </w:p>
        </w:tc>
        <w:tc>
          <w:tcPr>
            <w:tcW w:w="280" w:type="dxa"/>
            <w:vAlign w:val="bottom"/>
          </w:tcPr>
          <w:p>
            <w:pPr>
              <w:spacing w:after="0"/>
              <w:rPr>
                <w:sz w:val="19"/>
                <w:szCs w:val="19"/>
                <w:color w:val="auto"/>
              </w:rPr>
            </w:pPr>
          </w:p>
        </w:tc>
        <w:tc>
          <w:tcPr>
            <w:tcW w:w="800" w:type="dxa"/>
            <w:vAlign w:val="bottom"/>
          </w:tcPr>
          <w:p>
            <w:pPr>
              <w:jc w:val="right"/>
              <w:ind w:right="81"/>
              <w:spacing w:after="0" w:line="223" w:lineRule="exact"/>
              <w:rPr>
                <w:sz w:val="20"/>
                <w:szCs w:val="20"/>
                <w:color w:val="auto"/>
              </w:rPr>
            </w:pPr>
            <w:r>
              <w:rPr>
                <w:rFonts w:ascii="Arial" w:cs="Arial" w:eastAsia="Arial" w:hAnsi="Arial"/>
                <w:sz w:val="20"/>
                <w:szCs w:val="20"/>
                <w:color w:val="231F20"/>
              </w:rPr>
              <w:t>(26.2)</w:t>
            </w:r>
          </w:p>
        </w:tc>
        <w:tc>
          <w:tcPr>
            <w:tcW w:w="240" w:type="dxa"/>
            <w:vAlign w:val="bottom"/>
          </w:tcPr>
          <w:p>
            <w:pPr>
              <w:spacing w:after="0"/>
              <w:rPr>
                <w:sz w:val="19"/>
                <w:szCs w:val="19"/>
                <w:color w:val="auto"/>
              </w:rPr>
            </w:pPr>
          </w:p>
        </w:tc>
        <w:tc>
          <w:tcPr>
            <w:tcW w:w="740" w:type="dxa"/>
            <w:vAlign w:val="bottom"/>
          </w:tcPr>
          <w:p>
            <w:pPr>
              <w:jc w:val="right"/>
              <w:ind w:right="1"/>
              <w:spacing w:after="0" w:line="223" w:lineRule="exact"/>
              <w:rPr>
                <w:sz w:val="20"/>
                <w:szCs w:val="20"/>
                <w:color w:val="auto"/>
              </w:rPr>
            </w:pPr>
            <w:r>
              <w:rPr>
                <w:rFonts w:ascii="Arial" w:cs="Arial" w:eastAsia="Arial" w:hAnsi="Arial"/>
                <w:sz w:val="20"/>
                <w:szCs w:val="20"/>
                <w:color w:val="231F20"/>
              </w:rPr>
              <w:t>(11.3)</w:t>
            </w:r>
          </w:p>
        </w:tc>
      </w:tr>
      <w:tr>
        <w:trPr>
          <w:trHeight w:val="223"/>
        </w:trPr>
        <w:tc>
          <w:tcPr>
            <w:tcW w:w="6120" w:type="dxa"/>
            <w:vAlign w:val="bottom"/>
            <w:tcBorders>
              <w:right w:val="single" w:sz="8" w:color="231F20"/>
            </w:tcBorders>
            <w:gridSpan w:val="2"/>
          </w:tcPr>
          <w:p>
            <w:pPr>
              <w:spacing w:after="0" w:line="223" w:lineRule="exact"/>
              <w:rPr>
                <w:sz w:val="20"/>
                <w:szCs w:val="20"/>
                <w:color w:val="auto"/>
              </w:rPr>
            </w:pPr>
            <w:r>
              <w:rPr>
                <w:rFonts w:ascii="Arial" w:cs="Arial" w:eastAsia="Arial" w:hAnsi="Arial"/>
                <w:sz w:val="20"/>
                <w:szCs w:val="20"/>
                <w:color w:val="231F20"/>
              </w:rPr>
              <w:t xml:space="preserve">Share-based compensation </w:t>
            </w: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920" w:type="dxa"/>
            <w:vAlign w:val="bottom"/>
            <w:tcBorders>
              <w:right w:val="single" w:sz="8" w:color="231F20"/>
            </w:tcBorders>
          </w:tcPr>
          <w:p>
            <w:pPr>
              <w:jc w:val="right"/>
              <w:ind w:right="161"/>
              <w:spacing w:after="0" w:line="223" w:lineRule="exact"/>
              <w:rPr>
                <w:sz w:val="20"/>
                <w:szCs w:val="20"/>
                <w:color w:val="auto"/>
              </w:rPr>
            </w:pPr>
            <w:r>
              <w:rPr>
                <w:rFonts w:ascii="Arial" w:cs="Arial" w:eastAsia="Arial" w:hAnsi="Arial"/>
                <w:sz w:val="20"/>
                <w:szCs w:val="20"/>
                <w:color w:val="231F20"/>
              </w:rPr>
              <w:t>(1.3)</w:t>
            </w:r>
          </w:p>
        </w:tc>
        <w:tc>
          <w:tcPr>
            <w:tcW w:w="280" w:type="dxa"/>
            <w:vAlign w:val="bottom"/>
          </w:tcPr>
          <w:p>
            <w:pPr>
              <w:spacing w:after="0"/>
              <w:rPr>
                <w:sz w:val="19"/>
                <w:szCs w:val="19"/>
                <w:color w:val="auto"/>
              </w:rPr>
            </w:pPr>
          </w:p>
        </w:tc>
        <w:tc>
          <w:tcPr>
            <w:tcW w:w="800" w:type="dxa"/>
            <w:vAlign w:val="bottom"/>
          </w:tcPr>
          <w:p>
            <w:pPr>
              <w:jc w:val="right"/>
              <w:ind w:right="81"/>
              <w:spacing w:after="0" w:line="223" w:lineRule="exact"/>
              <w:rPr>
                <w:sz w:val="20"/>
                <w:szCs w:val="20"/>
                <w:color w:val="auto"/>
              </w:rPr>
            </w:pPr>
            <w:r>
              <w:rPr>
                <w:rFonts w:ascii="Arial" w:cs="Arial" w:eastAsia="Arial" w:hAnsi="Arial"/>
                <w:sz w:val="20"/>
                <w:szCs w:val="20"/>
                <w:color w:val="231F20"/>
              </w:rPr>
              <w:t>(5.4)</w:t>
            </w:r>
          </w:p>
        </w:tc>
        <w:tc>
          <w:tcPr>
            <w:tcW w:w="240" w:type="dxa"/>
            <w:vAlign w:val="bottom"/>
          </w:tcPr>
          <w:p>
            <w:pPr>
              <w:spacing w:after="0"/>
              <w:rPr>
                <w:sz w:val="19"/>
                <w:szCs w:val="19"/>
                <w:color w:val="auto"/>
              </w:rPr>
            </w:pPr>
          </w:p>
        </w:tc>
        <w:tc>
          <w:tcPr>
            <w:tcW w:w="740" w:type="dxa"/>
            <w:vAlign w:val="bottom"/>
          </w:tcPr>
          <w:p>
            <w:pPr>
              <w:jc w:val="right"/>
              <w:ind w:right="1"/>
              <w:spacing w:after="0" w:line="223" w:lineRule="exact"/>
              <w:rPr>
                <w:sz w:val="20"/>
                <w:szCs w:val="20"/>
                <w:color w:val="auto"/>
              </w:rPr>
            </w:pPr>
            <w:r>
              <w:rPr>
                <w:rFonts w:ascii="Arial" w:cs="Arial" w:eastAsia="Arial" w:hAnsi="Arial"/>
                <w:sz w:val="20"/>
                <w:szCs w:val="20"/>
                <w:color w:val="231F20"/>
              </w:rPr>
              <w:t>(9.0)</w:t>
            </w:r>
          </w:p>
        </w:tc>
      </w:tr>
      <w:tr>
        <w:trPr>
          <w:trHeight w:val="223"/>
        </w:trPr>
        <w:tc>
          <w:tcPr>
            <w:tcW w:w="6120" w:type="dxa"/>
            <w:vAlign w:val="bottom"/>
            <w:tcBorders>
              <w:right w:val="single" w:sz="8" w:color="231F20"/>
            </w:tcBorders>
            <w:gridSpan w:val="2"/>
          </w:tcPr>
          <w:p>
            <w:pPr>
              <w:spacing w:after="0" w:line="223" w:lineRule="exact"/>
              <w:rPr>
                <w:sz w:val="20"/>
                <w:szCs w:val="20"/>
                <w:color w:val="auto"/>
              </w:rPr>
            </w:pPr>
            <w:r>
              <w:rPr>
                <w:rFonts w:ascii="Arial" w:cs="Arial" w:eastAsia="Arial" w:hAnsi="Arial"/>
                <w:sz w:val="20"/>
                <w:szCs w:val="20"/>
                <w:color w:val="231F20"/>
              </w:rPr>
              <w:t xml:space="preserve">Valuation allowance (decrease) increase </w:t>
            </w: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920" w:type="dxa"/>
            <w:vAlign w:val="bottom"/>
            <w:tcBorders>
              <w:right w:val="single" w:sz="8" w:color="231F20"/>
            </w:tcBorders>
          </w:tcPr>
          <w:p>
            <w:pPr>
              <w:jc w:val="right"/>
              <w:ind w:right="221"/>
              <w:spacing w:after="0" w:line="223" w:lineRule="exact"/>
              <w:rPr>
                <w:sz w:val="20"/>
                <w:szCs w:val="20"/>
                <w:color w:val="auto"/>
              </w:rPr>
            </w:pPr>
            <w:r>
              <w:rPr>
                <w:rFonts w:ascii="Arial" w:cs="Arial" w:eastAsia="Arial" w:hAnsi="Arial"/>
                <w:sz w:val="20"/>
                <w:szCs w:val="20"/>
                <w:color w:val="231F20"/>
              </w:rPr>
              <w:t>1.7</w:t>
            </w:r>
          </w:p>
        </w:tc>
        <w:tc>
          <w:tcPr>
            <w:tcW w:w="280" w:type="dxa"/>
            <w:vAlign w:val="bottom"/>
          </w:tcPr>
          <w:p>
            <w:pPr>
              <w:spacing w:after="0"/>
              <w:rPr>
                <w:sz w:val="19"/>
                <w:szCs w:val="19"/>
                <w:color w:val="auto"/>
              </w:rPr>
            </w:pPr>
          </w:p>
        </w:tc>
        <w:tc>
          <w:tcPr>
            <w:tcW w:w="800" w:type="dxa"/>
            <w:vAlign w:val="bottom"/>
          </w:tcPr>
          <w:p>
            <w:pPr>
              <w:jc w:val="right"/>
              <w:ind w:right="81"/>
              <w:spacing w:after="0" w:line="223" w:lineRule="exact"/>
              <w:rPr>
                <w:sz w:val="20"/>
                <w:szCs w:val="20"/>
                <w:color w:val="auto"/>
              </w:rPr>
            </w:pPr>
            <w:r>
              <w:rPr>
                <w:rFonts w:ascii="Arial" w:cs="Arial" w:eastAsia="Arial" w:hAnsi="Arial"/>
                <w:sz w:val="20"/>
                <w:szCs w:val="20"/>
                <w:color w:val="231F20"/>
              </w:rPr>
              <w:t>(5.8)</w:t>
            </w:r>
          </w:p>
        </w:tc>
        <w:tc>
          <w:tcPr>
            <w:tcW w:w="240" w:type="dxa"/>
            <w:vAlign w:val="bottom"/>
          </w:tcPr>
          <w:p>
            <w:pPr>
              <w:spacing w:after="0"/>
              <w:rPr>
                <w:sz w:val="19"/>
                <w:szCs w:val="19"/>
                <w:color w:val="auto"/>
              </w:rPr>
            </w:pPr>
          </w:p>
        </w:tc>
        <w:tc>
          <w:tcPr>
            <w:tcW w:w="740" w:type="dxa"/>
            <w:vAlign w:val="bottom"/>
          </w:tcPr>
          <w:p>
            <w:pPr>
              <w:jc w:val="right"/>
              <w:ind w:right="81"/>
              <w:spacing w:after="0" w:line="223" w:lineRule="exact"/>
              <w:rPr>
                <w:sz w:val="20"/>
                <w:szCs w:val="20"/>
                <w:color w:val="auto"/>
              </w:rPr>
            </w:pPr>
            <w:r>
              <w:rPr>
                <w:rFonts w:ascii="Arial" w:cs="Arial" w:eastAsia="Arial" w:hAnsi="Arial"/>
                <w:sz w:val="20"/>
                <w:szCs w:val="20"/>
                <w:color w:val="231F20"/>
              </w:rPr>
              <w:t>4.7</w:t>
            </w:r>
          </w:p>
        </w:tc>
      </w:tr>
      <w:tr>
        <w:trPr>
          <w:trHeight w:val="223"/>
        </w:trPr>
        <w:tc>
          <w:tcPr>
            <w:tcW w:w="6120" w:type="dxa"/>
            <w:vAlign w:val="bottom"/>
            <w:tcBorders>
              <w:right w:val="single" w:sz="8" w:color="231F20"/>
            </w:tcBorders>
            <w:gridSpan w:val="2"/>
          </w:tcPr>
          <w:p>
            <w:pPr>
              <w:spacing w:after="0" w:line="223" w:lineRule="exact"/>
              <w:rPr>
                <w:sz w:val="20"/>
                <w:szCs w:val="20"/>
                <w:color w:val="auto"/>
              </w:rPr>
            </w:pPr>
            <w:r>
              <w:rPr>
                <w:rFonts w:ascii="Arial" w:cs="Arial" w:eastAsia="Arial" w:hAnsi="Arial"/>
                <w:sz w:val="20"/>
                <w:szCs w:val="20"/>
                <w:color w:val="231F20"/>
              </w:rPr>
              <w:t xml:space="preserve">Non-deductible executive compensation </w:t>
            </w: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920" w:type="dxa"/>
            <w:vAlign w:val="bottom"/>
            <w:tcBorders>
              <w:right w:val="single" w:sz="8" w:color="231F20"/>
            </w:tcBorders>
          </w:tcPr>
          <w:p>
            <w:pPr>
              <w:jc w:val="right"/>
              <w:ind w:right="221"/>
              <w:spacing w:after="0" w:line="223" w:lineRule="exact"/>
              <w:rPr>
                <w:sz w:val="20"/>
                <w:szCs w:val="20"/>
                <w:color w:val="auto"/>
              </w:rPr>
            </w:pPr>
            <w:r>
              <w:rPr>
                <w:rFonts w:ascii="Arial" w:cs="Arial" w:eastAsia="Arial" w:hAnsi="Arial"/>
                <w:sz w:val="20"/>
                <w:szCs w:val="20"/>
                <w:color w:val="231F20"/>
              </w:rPr>
              <w:t>3.5</w:t>
            </w:r>
          </w:p>
        </w:tc>
        <w:tc>
          <w:tcPr>
            <w:tcW w:w="280" w:type="dxa"/>
            <w:vAlign w:val="bottom"/>
          </w:tcPr>
          <w:p>
            <w:pPr>
              <w:spacing w:after="0"/>
              <w:rPr>
                <w:sz w:val="19"/>
                <w:szCs w:val="19"/>
                <w:color w:val="auto"/>
              </w:rPr>
            </w:pPr>
          </w:p>
        </w:tc>
        <w:tc>
          <w:tcPr>
            <w:tcW w:w="800" w:type="dxa"/>
            <w:vAlign w:val="bottom"/>
          </w:tcPr>
          <w:p>
            <w:pPr>
              <w:jc w:val="right"/>
              <w:ind w:right="141"/>
              <w:spacing w:after="0" w:line="223" w:lineRule="exact"/>
              <w:rPr>
                <w:sz w:val="20"/>
                <w:szCs w:val="20"/>
                <w:color w:val="auto"/>
              </w:rPr>
            </w:pPr>
            <w:r>
              <w:rPr>
                <w:rFonts w:ascii="Arial" w:cs="Arial" w:eastAsia="Arial" w:hAnsi="Arial"/>
                <w:sz w:val="20"/>
                <w:szCs w:val="20"/>
                <w:color w:val="231F20"/>
              </w:rPr>
              <w:t>7.5</w:t>
            </w:r>
          </w:p>
        </w:tc>
        <w:tc>
          <w:tcPr>
            <w:tcW w:w="240" w:type="dxa"/>
            <w:vAlign w:val="bottom"/>
          </w:tcPr>
          <w:p>
            <w:pPr>
              <w:spacing w:after="0"/>
              <w:rPr>
                <w:sz w:val="19"/>
                <w:szCs w:val="19"/>
                <w:color w:val="auto"/>
              </w:rPr>
            </w:pPr>
          </w:p>
        </w:tc>
        <w:tc>
          <w:tcPr>
            <w:tcW w:w="740" w:type="dxa"/>
            <w:vAlign w:val="bottom"/>
          </w:tcPr>
          <w:p>
            <w:pPr>
              <w:jc w:val="right"/>
              <w:ind w:right="81"/>
              <w:spacing w:after="0" w:line="223" w:lineRule="exact"/>
              <w:rPr>
                <w:sz w:val="20"/>
                <w:szCs w:val="20"/>
                <w:color w:val="auto"/>
              </w:rPr>
            </w:pPr>
            <w:r>
              <w:rPr>
                <w:rFonts w:ascii="Arial" w:cs="Arial" w:eastAsia="Arial" w:hAnsi="Arial"/>
                <w:sz w:val="20"/>
                <w:szCs w:val="20"/>
                <w:color w:val="231F20"/>
              </w:rPr>
              <w:t>5.0</w:t>
            </w:r>
          </w:p>
        </w:tc>
      </w:tr>
      <w:tr>
        <w:trPr>
          <w:trHeight w:val="223"/>
        </w:trPr>
        <w:tc>
          <w:tcPr>
            <w:tcW w:w="6120" w:type="dxa"/>
            <w:vAlign w:val="bottom"/>
            <w:tcBorders>
              <w:right w:val="single" w:sz="8" w:color="231F20"/>
            </w:tcBorders>
            <w:gridSpan w:val="2"/>
          </w:tcPr>
          <w:p>
            <w:pPr>
              <w:spacing w:after="0" w:line="223" w:lineRule="exact"/>
              <w:rPr>
                <w:sz w:val="20"/>
                <w:szCs w:val="20"/>
                <w:color w:val="auto"/>
              </w:rPr>
            </w:pPr>
            <w:r>
              <w:rPr>
                <w:rFonts w:ascii="Arial" w:cs="Arial" w:eastAsia="Arial" w:hAnsi="Arial"/>
                <w:sz w:val="20"/>
                <w:szCs w:val="20"/>
                <w:color w:val="231F20"/>
              </w:rPr>
              <w:t xml:space="preserve">Research and development credit </w:t>
            </w: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920" w:type="dxa"/>
            <w:vAlign w:val="bottom"/>
            <w:tcBorders>
              <w:right w:val="single" w:sz="8" w:color="231F20"/>
            </w:tcBorders>
          </w:tcPr>
          <w:p>
            <w:pPr>
              <w:jc w:val="right"/>
              <w:ind w:right="161"/>
              <w:spacing w:after="0" w:line="223" w:lineRule="exact"/>
              <w:rPr>
                <w:sz w:val="20"/>
                <w:szCs w:val="20"/>
                <w:color w:val="auto"/>
              </w:rPr>
            </w:pPr>
            <w:r>
              <w:rPr>
                <w:rFonts w:ascii="Arial" w:cs="Arial" w:eastAsia="Arial" w:hAnsi="Arial"/>
                <w:sz w:val="20"/>
                <w:szCs w:val="20"/>
                <w:color w:val="231F20"/>
              </w:rPr>
              <w:t>(5.1)</w:t>
            </w:r>
          </w:p>
        </w:tc>
        <w:tc>
          <w:tcPr>
            <w:tcW w:w="280" w:type="dxa"/>
            <w:vAlign w:val="bottom"/>
          </w:tcPr>
          <w:p>
            <w:pPr>
              <w:spacing w:after="0"/>
              <w:rPr>
                <w:sz w:val="19"/>
                <w:szCs w:val="19"/>
                <w:color w:val="auto"/>
              </w:rPr>
            </w:pPr>
          </w:p>
        </w:tc>
        <w:tc>
          <w:tcPr>
            <w:tcW w:w="800" w:type="dxa"/>
            <w:vAlign w:val="bottom"/>
          </w:tcPr>
          <w:p>
            <w:pPr>
              <w:jc w:val="right"/>
              <w:ind w:right="81"/>
              <w:spacing w:after="0" w:line="223" w:lineRule="exact"/>
              <w:rPr>
                <w:sz w:val="20"/>
                <w:szCs w:val="20"/>
                <w:color w:val="auto"/>
              </w:rPr>
            </w:pPr>
            <w:r>
              <w:rPr>
                <w:rFonts w:ascii="Arial" w:cs="Arial" w:eastAsia="Arial" w:hAnsi="Arial"/>
                <w:sz w:val="20"/>
                <w:szCs w:val="20"/>
                <w:color w:val="231F20"/>
              </w:rPr>
              <w:t>(3.0)</w:t>
            </w:r>
          </w:p>
        </w:tc>
        <w:tc>
          <w:tcPr>
            <w:tcW w:w="240" w:type="dxa"/>
            <w:vAlign w:val="bottom"/>
          </w:tcPr>
          <w:p>
            <w:pPr>
              <w:spacing w:after="0"/>
              <w:rPr>
                <w:sz w:val="19"/>
                <w:szCs w:val="19"/>
                <w:color w:val="auto"/>
              </w:rPr>
            </w:pPr>
          </w:p>
        </w:tc>
        <w:tc>
          <w:tcPr>
            <w:tcW w:w="740" w:type="dxa"/>
            <w:vAlign w:val="bottom"/>
          </w:tcPr>
          <w:p>
            <w:pPr>
              <w:jc w:val="right"/>
              <w:ind w:right="1"/>
              <w:spacing w:after="0" w:line="223" w:lineRule="exact"/>
              <w:rPr>
                <w:sz w:val="20"/>
                <w:szCs w:val="20"/>
                <w:color w:val="auto"/>
              </w:rPr>
            </w:pPr>
            <w:r>
              <w:rPr>
                <w:rFonts w:ascii="Arial" w:cs="Arial" w:eastAsia="Arial" w:hAnsi="Arial"/>
                <w:sz w:val="20"/>
                <w:szCs w:val="20"/>
                <w:color w:val="231F20"/>
              </w:rPr>
              <w:t>(2.3)</w:t>
            </w:r>
          </w:p>
        </w:tc>
      </w:tr>
      <w:tr>
        <w:trPr>
          <w:trHeight w:val="251"/>
        </w:trPr>
        <w:tc>
          <w:tcPr>
            <w:tcW w:w="6120" w:type="dxa"/>
            <w:vAlign w:val="bottom"/>
            <w:tcBorders>
              <w:bottom w:val="single" w:sz="8" w:color="231F20"/>
              <w:right w:val="single" w:sz="8" w:color="231F20"/>
            </w:tcBorders>
            <w:gridSpan w:val="2"/>
          </w:tcPr>
          <w:p>
            <w:pPr>
              <w:spacing w:after="0"/>
              <w:rPr>
                <w:sz w:val="20"/>
                <w:szCs w:val="20"/>
                <w:color w:val="auto"/>
              </w:rPr>
            </w:pPr>
            <w:r>
              <w:rPr>
                <w:rFonts w:ascii="Arial" w:cs="Arial" w:eastAsia="Arial" w:hAnsi="Arial"/>
                <w:sz w:val="20"/>
                <w:szCs w:val="20"/>
                <w:color w:val="231F20"/>
              </w:rPr>
              <w:t>Miscellaneous other, net</w:t>
            </w:r>
            <w:r>
              <w:rPr>
                <w:rFonts w:ascii="Times New Roman" w:cs="Times New Roman" w:eastAsia="Times New Roman" w:hAnsi="Times New Roman"/>
                <w:sz w:val="20"/>
                <w:szCs w:val="20"/>
                <w:color w:val="231F20"/>
              </w:rPr>
              <w:t>...........................................................................</w:t>
            </w:r>
          </w:p>
        </w:tc>
        <w:tc>
          <w:tcPr>
            <w:tcW w:w="34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right w:val="single" w:sz="8" w:color="231F20"/>
            </w:tcBorders>
          </w:tcPr>
          <w:p>
            <w:pPr>
              <w:jc w:val="right"/>
              <w:ind w:right="161"/>
              <w:spacing w:after="0"/>
              <w:rPr>
                <w:sz w:val="20"/>
                <w:szCs w:val="20"/>
                <w:color w:val="auto"/>
              </w:rPr>
            </w:pPr>
            <w:r>
              <w:rPr>
                <w:rFonts w:ascii="Arial" w:cs="Arial" w:eastAsia="Arial" w:hAnsi="Arial"/>
                <w:sz w:val="20"/>
                <w:szCs w:val="20"/>
                <w:color w:val="231F20"/>
              </w:rPr>
              <w:t>(3.1)</w:t>
            </w:r>
          </w:p>
        </w:tc>
        <w:tc>
          <w:tcPr>
            <w:tcW w:w="28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tcBorders>
          </w:tcPr>
          <w:p>
            <w:pPr>
              <w:jc w:val="right"/>
              <w:ind w:right="81"/>
              <w:spacing w:after="0"/>
              <w:rPr>
                <w:sz w:val="20"/>
                <w:szCs w:val="20"/>
                <w:color w:val="auto"/>
              </w:rPr>
            </w:pPr>
            <w:r>
              <w:rPr>
                <w:rFonts w:ascii="Arial" w:cs="Arial" w:eastAsia="Arial" w:hAnsi="Arial"/>
                <w:sz w:val="20"/>
                <w:szCs w:val="20"/>
                <w:color w:val="231F20"/>
              </w:rPr>
              <w:t>(3.5)</w:t>
            </w:r>
          </w:p>
        </w:tc>
        <w:tc>
          <w:tcPr>
            <w:tcW w:w="24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jc w:val="right"/>
              <w:ind w:right="81"/>
              <w:spacing w:after="0"/>
              <w:rPr>
                <w:sz w:val="20"/>
                <w:szCs w:val="20"/>
                <w:color w:val="auto"/>
              </w:rPr>
            </w:pPr>
            <w:r>
              <w:rPr>
                <w:rFonts w:ascii="Arial" w:cs="Arial" w:eastAsia="Arial" w:hAnsi="Arial"/>
                <w:sz w:val="20"/>
                <w:szCs w:val="20"/>
                <w:color w:val="231F20"/>
              </w:rPr>
              <w:t>0.5</w:t>
            </w:r>
          </w:p>
        </w:tc>
      </w:tr>
      <w:tr>
        <w:trPr>
          <w:trHeight w:val="239"/>
        </w:trPr>
        <w:tc>
          <w:tcPr>
            <w:tcW w:w="6120" w:type="dxa"/>
            <w:vAlign w:val="bottom"/>
            <w:tcBorders>
              <w:bottom w:val="single" w:sz="8" w:color="231F20"/>
              <w:right w:val="single" w:sz="8" w:color="231F20"/>
            </w:tcBorders>
            <w:gridSpan w:val="2"/>
          </w:tcPr>
          <w:p>
            <w:pPr>
              <w:spacing w:after="0" w:line="213" w:lineRule="exact"/>
              <w:rPr>
                <w:sz w:val="20"/>
                <w:szCs w:val="20"/>
                <w:color w:val="auto"/>
              </w:rPr>
            </w:pPr>
            <w:r>
              <w:rPr>
                <w:rFonts w:ascii="Arial" w:cs="Arial" w:eastAsia="Arial" w:hAnsi="Arial"/>
                <w:sz w:val="20"/>
                <w:szCs w:val="20"/>
                <w:color w:val="231F20"/>
              </w:rPr>
              <w:t>Income tax expense as reported</w:t>
            </w:r>
            <w:r>
              <w:rPr>
                <w:rFonts w:ascii="Times New Roman" w:cs="Times New Roman" w:eastAsia="Times New Roman" w:hAnsi="Times New Roman"/>
                <w:sz w:val="20"/>
                <w:szCs w:val="20"/>
                <w:color w:val="231F20"/>
              </w:rPr>
              <w:t>.............................................................</w:t>
            </w:r>
          </w:p>
        </w:tc>
        <w:tc>
          <w:tcPr>
            <w:tcW w:w="340" w:type="dxa"/>
            <w:vAlign w:val="bottom"/>
            <w:tcBorders>
              <w:bottom w:val="single" w:sz="8" w:color="231F20"/>
            </w:tcBorders>
          </w:tcPr>
          <w:p>
            <w:pPr>
              <w:jc w:val="right"/>
              <w:spacing w:after="0" w:line="213" w:lineRule="exact"/>
              <w:rPr>
                <w:sz w:val="20"/>
                <w:szCs w:val="20"/>
                <w:color w:val="auto"/>
              </w:rPr>
            </w:pPr>
            <w:r>
              <w:rPr>
                <w:rFonts w:ascii="Arial" w:cs="Arial" w:eastAsia="Arial" w:hAnsi="Arial"/>
                <w:sz w:val="20"/>
                <w:szCs w:val="20"/>
                <w:color w:val="231F20"/>
              </w:rPr>
              <w:t>$</w:t>
            </w:r>
          </w:p>
        </w:tc>
        <w:tc>
          <w:tcPr>
            <w:tcW w:w="920" w:type="dxa"/>
            <w:vAlign w:val="bottom"/>
            <w:tcBorders>
              <w:bottom w:val="single" w:sz="8" w:color="231F20"/>
              <w:right w:val="single" w:sz="8" w:color="231F20"/>
            </w:tcBorders>
          </w:tcPr>
          <w:p>
            <w:pPr>
              <w:jc w:val="right"/>
              <w:ind w:right="221"/>
              <w:spacing w:after="0" w:line="213" w:lineRule="exact"/>
              <w:rPr>
                <w:sz w:val="20"/>
                <w:szCs w:val="20"/>
                <w:color w:val="auto"/>
              </w:rPr>
            </w:pPr>
            <w:r>
              <w:rPr>
                <w:rFonts w:ascii="Arial" w:cs="Arial" w:eastAsia="Arial" w:hAnsi="Arial"/>
                <w:sz w:val="20"/>
                <w:szCs w:val="20"/>
                <w:color w:val="231F20"/>
              </w:rPr>
              <w:t>112.4</w:t>
            </w:r>
          </w:p>
        </w:tc>
        <w:tc>
          <w:tcPr>
            <w:tcW w:w="280" w:type="dxa"/>
            <w:vAlign w:val="bottom"/>
            <w:tcBorders>
              <w:bottom w:val="single" w:sz="8" w:color="231F20"/>
            </w:tcBorders>
          </w:tcPr>
          <w:p>
            <w:pPr>
              <w:jc w:val="right"/>
              <w:spacing w:after="0" w:line="213" w:lineRule="exact"/>
              <w:rPr>
                <w:sz w:val="20"/>
                <w:szCs w:val="20"/>
                <w:color w:val="auto"/>
              </w:rPr>
            </w:pPr>
            <w:r>
              <w:rPr>
                <w:rFonts w:ascii="Arial" w:cs="Arial" w:eastAsia="Arial" w:hAnsi="Arial"/>
                <w:sz w:val="20"/>
                <w:szCs w:val="20"/>
                <w:color w:val="231F20"/>
              </w:rPr>
              <w:t>$</w:t>
            </w:r>
          </w:p>
        </w:tc>
        <w:tc>
          <w:tcPr>
            <w:tcW w:w="800" w:type="dxa"/>
            <w:vAlign w:val="bottom"/>
            <w:tcBorders>
              <w:bottom w:val="single" w:sz="8" w:color="231F20"/>
            </w:tcBorders>
          </w:tcPr>
          <w:p>
            <w:pPr>
              <w:jc w:val="right"/>
              <w:ind w:right="141"/>
              <w:spacing w:after="0" w:line="213" w:lineRule="exact"/>
              <w:rPr>
                <w:sz w:val="20"/>
                <w:szCs w:val="20"/>
                <w:color w:val="auto"/>
              </w:rPr>
            </w:pPr>
            <w:r>
              <w:rPr>
                <w:rFonts w:ascii="Arial" w:cs="Arial" w:eastAsia="Arial" w:hAnsi="Arial"/>
                <w:sz w:val="20"/>
                <w:szCs w:val="20"/>
                <w:color w:val="231F20"/>
              </w:rPr>
              <w:t>127.2</w:t>
            </w:r>
          </w:p>
        </w:tc>
        <w:tc>
          <w:tcPr>
            <w:tcW w:w="240" w:type="dxa"/>
            <w:vAlign w:val="bottom"/>
            <w:tcBorders>
              <w:bottom w:val="single" w:sz="8" w:color="231F20"/>
            </w:tcBorders>
          </w:tcPr>
          <w:p>
            <w:pPr>
              <w:jc w:val="right"/>
              <w:spacing w:after="0" w:line="213" w:lineRule="exact"/>
              <w:rPr>
                <w:sz w:val="20"/>
                <w:szCs w:val="20"/>
                <w:color w:val="auto"/>
              </w:rPr>
            </w:pPr>
            <w:r>
              <w:rPr>
                <w:rFonts w:ascii="Arial" w:cs="Arial" w:eastAsia="Arial" w:hAnsi="Arial"/>
                <w:sz w:val="20"/>
                <w:szCs w:val="20"/>
                <w:color w:val="231F20"/>
              </w:rPr>
              <w:t>$</w:t>
            </w:r>
          </w:p>
        </w:tc>
        <w:tc>
          <w:tcPr>
            <w:tcW w:w="740" w:type="dxa"/>
            <w:vAlign w:val="bottom"/>
            <w:tcBorders>
              <w:bottom w:val="single" w:sz="8" w:color="231F20"/>
            </w:tcBorders>
          </w:tcPr>
          <w:p>
            <w:pPr>
              <w:jc w:val="right"/>
              <w:ind w:right="81"/>
              <w:spacing w:after="0" w:line="213" w:lineRule="exact"/>
              <w:rPr>
                <w:sz w:val="20"/>
                <w:szCs w:val="20"/>
                <w:color w:val="auto"/>
              </w:rPr>
            </w:pPr>
            <w:r>
              <w:rPr>
                <w:rFonts w:ascii="Arial" w:cs="Arial" w:eastAsia="Arial" w:hAnsi="Arial"/>
                <w:sz w:val="20"/>
                <w:szCs w:val="20"/>
                <w:color w:val="231F20"/>
              </w:rPr>
              <w:t>166.7</w:t>
            </w:r>
          </w:p>
        </w:tc>
      </w:tr>
      <w:tr>
        <w:trPr>
          <w:trHeight w:val="223"/>
        </w:trPr>
        <w:tc>
          <w:tcPr>
            <w:tcW w:w="6120" w:type="dxa"/>
            <w:vAlign w:val="bottom"/>
            <w:tcBorders>
              <w:right w:val="single" w:sz="8" w:color="231F20"/>
            </w:tcBorders>
            <w:gridSpan w:val="2"/>
          </w:tcPr>
          <w:p>
            <w:pPr>
              <w:spacing w:after="0" w:line="223" w:lineRule="exact"/>
              <w:rPr>
                <w:sz w:val="20"/>
                <w:szCs w:val="20"/>
                <w:color w:val="auto"/>
              </w:rPr>
            </w:pPr>
            <w:r>
              <w:rPr>
                <w:rFonts w:ascii="Arial" w:cs="Arial" w:eastAsia="Arial" w:hAnsi="Arial"/>
                <w:sz w:val="20"/>
                <w:szCs w:val="20"/>
                <w:color w:val="231F20"/>
              </w:rPr>
              <w:t xml:space="preserve">Effective income tax rate </w:t>
            </w:r>
            <w:r>
              <w:rPr>
                <w:rFonts w:ascii="Times New Roman" w:cs="Times New Roman" w:eastAsia="Times New Roman" w:hAnsi="Times New Roman"/>
                <w:sz w:val="20"/>
                <w:szCs w:val="20"/>
                <w:color w:val="231F20"/>
              </w:rPr>
              <w:t>..........................................................................</w:t>
            </w:r>
          </w:p>
        </w:tc>
        <w:tc>
          <w:tcPr>
            <w:tcW w:w="340" w:type="dxa"/>
            <w:vAlign w:val="bottom"/>
          </w:tcPr>
          <w:p>
            <w:pPr>
              <w:spacing w:after="0"/>
              <w:rPr>
                <w:sz w:val="19"/>
                <w:szCs w:val="19"/>
                <w:color w:val="auto"/>
              </w:rPr>
            </w:pPr>
          </w:p>
        </w:tc>
        <w:tc>
          <w:tcPr>
            <w:tcW w:w="920" w:type="dxa"/>
            <w:vAlign w:val="bottom"/>
            <w:tcBorders>
              <w:right w:val="single" w:sz="8" w:color="231F20"/>
            </w:tcBorders>
          </w:tcPr>
          <w:p>
            <w:pPr>
              <w:jc w:val="right"/>
              <w:ind w:right="41"/>
              <w:spacing w:after="0" w:line="223" w:lineRule="exact"/>
              <w:rPr>
                <w:sz w:val="20"/>
                <w:szCs w:val="20"/>
                <w:color w:val="auto"/>
              </w:rPr>
            </w:pPr>
            <w:r>
              <w:rPr>
                <w:rFonts w:ascii="Arial" w:cs="Arial" w:eastAsia="Arial" w:hAnsi="Arial"/>
                <w:sz w:val="20"/>
                <w:szCs w:val="20"/>
                <w:color w:val="231F20"/>
              </w:rPr>
              <w:t>21.7%</w:t>
            </w:r>
          </w:p>
        </w:tc>
        <w:tc>
          <w:tcPr>
            <w:tcW w:w="280" w:type="dxa"/>
            <w:vAlign w:val="bottom"/>
          </w:tcPr>
          <w:p>
            <w:pPr>
              <w:spacing w:after="0"/>
              <w:rPr>
                <w:sz w:val="19"/>
                <w:szCs w:val="19"/>
                <w:color w:val="auto"/>
              </w:rPr>
            </w:pPr>
          </w:p>
        </w:tc>
        <w:tc>
          <w:tcPr>
            <w:tcW w:w="800" w:type="dxa"/>
            <w:vAlign w:val="bottom"/>
          </w:tcPr>
          <w:p>
            <w:pPr>
              <w:jc w:val="right"/>
              <w:spacing w:after="0" w:line="223" w:lineRule="exact"/>
              <w:rPr>
                <w:sz w:val="20"/>
                <w:szCs w:val="20"/>
                <w:color w:val="auto"/>
              </w:rPr>
            </w:pPr>
            <w:r>
              <w:rPr>
                <w:rFonts w:ascii="Arial" w:cs="Arial" w:eastAsia="Arial" w:hAnsi="Arial"/>
                <w:sz w:val="20"/>
                <w:szCs w:val="20"/>
                <w:color w:val="231F20"/>
              </w:rPr>
              <w:t>19.1%</w:t>
            </w:r>
          </w:p>
        </w:tc>
        <w:tc>
          <w:tcPr>
            <w:tcW w:w="240" w:type="dxa"/>
            <w:vAlign w:val="bottom"/>
          </w:tcPr>
          <w:p>
            <w:pPr>
              <w:spacing w:after="0"/>
              <w:rPr>
                <w:sz w:val="19"/>
                <w:szCs w:val="19"/>
                <w:color w:val="auto"/>
              </w:rPr>
            </w:pPr>
          </w:p>
        </w:tc>
        <w:tc>
          <w:tcPr>
            <w:tcW w:w="740" w:type="dxa"/>
            <w:vAlign w:val="bottom"/>
          </w:tcPr>
          <w:p>
            <w:pPr>
              <w:jc w:val="right"/>
              <w:spacing w:after="0" w:line="223" w:lineRule="exact"/>
              <w:rPr>
                <w:sz w:val="20"/>
                <w:szCs w:val="20"/>
                <w:color w:val="auto"/>
              </w:rPr>
            </w:pPr>
            <w:r>
              <w:rPr>
                <w:rFonts w:ascii="Arial" w:cs="Arial" w:eastAsia="Arial" w:hAnsi="Arial"/>
                <w:sz w:val="20"/>
                <w:szCs w:val="20"/>
                <w:color w:val="231F20"/>
              </w:rPr>
              <w:t>22.9%</w:t>
            </w:r>
          </w:p>
        </w:tc>
      </w:tr>
      <w:tr>
        <w:trPr>
          <w:trHeight w:val="20"/>
        </w:trPr>
        <w:tc>
          <w:tcPr>
            <w:tcW w:w="20" w:type="dxa"/>
            <w:vAlign w:val="bottom"/>
          </w:tcPr>
          <w:p>
            <w:pPr>
              <w:spacing w:after="0" w:line="20" w:lineRule="exact"/>
              <w:rPr>
                <w:sz w:val="1"/>
                <w:szCs w:val="1"/>
                <w:color w:val="auto"/>
              </w:rPr>
            </w:pPr>
          </w:p>
        </w:tc>
        <w:tc>
          <w:tcPr>
            <w:tcW w:w="6100" w:type="dxa"/>
            <w:vAlign w:val="bottom"/>
            <w:tcBorders>
              <w:right w:val="single" w:sz="8" w:color="231F20"/>
            </w:tcBorders>
            <w:shd w:val="clear" w:color="auto" w:fill="231F20"/>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920" w:type="dxa"/>
            <w:vAlign w:val="bottom"/>
            <w:tcBorders>
              <w:right w:val="single" w:sz="8" w:color="231F20"/>
            </w:tcBorders>
            <w:shd w:val="clear" w:color="auto" w:fill="231F20"/>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r>
    </w:tbl>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231F20"/>
        </w:rPr>
        <w:t>The 2023 effective income tax rate was unfavorably impacted by state and local income taxes and foreign income taxed at higher rates. This expense was offset by favorable benefits for the release of uncertain tax positions for statute of limitations lapses and federal tax credits.</w:t>
      </w:r>
    </w:p>
    <w:p>
      <w:pPr>
        <w:spacing w:after="0" w:line="159" w:lineRule="exact"/>
        <w:rPr>
          <w:sz w:val="20"/>
          <w:szCs w:val="20"/>
          <w:color w:val="auto"/>
        </w:rPr>
      </w:pPr>
    </w:p>
    <w:p>
      <w:pPr>
        <w:jc w:val="both"/>
        <w:ind w:right="500"/>
        <w:spacing w:after="0" w:line="243" w:lineRule="auto"/>
        <w:rPr>
          <w:sz w:val="20"/>
          <w:szCs w:val="20"/>
          <w:color w:val="auto"/>
        </w:rPr>
      </w:pPr>
      <w:r>
        <w:rPr>
          <w:rFonts w:ascii="Arial" w:cs="Arial" w:eastAsia="Arial" w:hAnsi="Arial"/>
          <w:sz w:val="20"/>
          <w:szCs w:val="20"/>
          <w:color w:val="231F20"/>
        </w:rPr>
        <w:t>The 2022 and 2021 effective income tax rates were unfavorably impacted by state and local income taxes, foreign income taxed at higher rates, as well as non-deductible executive compensation. Both 2022 and 2021 expenses were offset by favorable benefits for the release of uncertain tax positions, primarily related to statute of limitations lapses, and share-based compensation. The 2022 effective income rate was also favorably impacted by audit closures and a valuation allowance decrease.</w:t>
      </w:r>
    </w:p>
    <w:p>
      <w:pPr>
        <w:spacing w:after="0" w:line="173"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231F20"/>
        </w:rPr>
        <w:t>In 2021, the Organization for Economic Cooperation &amp; Development (“OECD”), with the support of over 130 countries, endorsed a framework (“Pillar Two”), which includes establishing a 15 percent global minimum corporate tax rate on a country-by-country basis. Numerous countries have adopted legislation in support of Pillar Two or are in the process of doing so, with certain rules becoming effective on January 1, 2024, and the remainder becoming effective on January 1, 2025. Any minimum tax arising from Pillar Two legislation is a period cost and does not impact the 2023 financial statements. The Company is continuing to monitor and evaluate Pillar Two legislation and does not expect it to have a material impact on the Company’s tax liability in 2024.</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231F20"/>
        </w:rPr>
        <w:t>A reconciliation of the beginning and ending amount of unrecognized tax benefits (“UTBs”) is as follows: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140" w:type="dxa"/>
            <w:vAlign w:val="bottom"/>
            <w:tcBorders>
              <w:top w:val="single" w:sz="8" w:color="231F20"/>
              <w:bottom w:val="single" w:sz="8" w:color="231F20"/>
              <w:right w:val="single" w:sz="8" w:color="231F20"/>
            </w:tcBorders>
          </w:tcPr>
          <w:p>
            <w:pPr>
              <w:spacing w:after="0" w:line="177"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320" w:type="dxa"/>
            <w:vAlign w:val="bottom"/>
            <w:tcBorders>
              <w:top w:val="single" w:sz="8" w:color="231F20"/>
              <w:bottom w:val="single" w:sz="8" w:color="231F20"/>
            </w:tcBorders>
          </w:tcPr>
          <w:p>
            <w:pPr>
              <w:spacing w:after="0"/>
              <w:rPr>
                <w:sz w:val="15"/>
                <w:szCs w:val="15"/>
                <w:color w:val="auto"/>
              </w:rPr>
            </w:pPr>
          </w:p>
        </w:tc>
        <w:tc>
          <w:tcPr>
            <w:tcW w:w="800" w:type="dxa"/>
            <w:vAlign w:val="bottom"/>
            <w:tcBorders>
              <w:top w:val="single" w:sz="8" w:color="231F20"/>
              <w:bottom w:val="single" w:sz="8" w:color="231F20"/>
              <w:right w:val="single" w:sz="8" w:color="231F20"/>
            </w:tcBorders>
          </w:tcPr>
          <w:p>
            <w:pPr>
              <w:jc w:val="right"/>
              <w:ind w:right="102"/>
              <w:spacing w:after="0"/>
              <w:rPr>
                <w:sz w:val="20"/>
                <w:szCs w:val="20"/>
                <w:color w:val="auto"/>
              </w:rPr>
            </w:pPr>
            <w:r>
              <w:rPr>
                <w:rFonts w:ascii="Arial" w:cs="Arial" w:eastAsia="Arial" w:hAnsi="Arial"/>
                <w:sz w:val="15"/>
                <w:szCs w:val="15"/>
                <w:i w:val="1"/>
                <w:iCs w:val="1"/>
                <w:color w:val="231F20"/>
              </w:rPr>
              <w:t>2023</w:t>
            </w:r>
          </w:p>
        </w:tc>
        <w:tc>
          <w:tcPr>
            <w:tcW w:w="340" w:type="dxa"/>
            <w:vAlign w:val="bottom"/>
            <w:tcBorders>
              <w:top w:val="single" w:sz="8" w:color="231F20"/>
              <w:bottom w:val="single" w:sz="8" w:color="231F20"/>
            </w:tcBorders>
          </w:tcPr>
          <w:p>
            <w:pPr>
              <w:spacing w:after="0"/>
              <w:rPr>
                <w:sz w:val="15"/>
                <w:szCs w:val="15"/>
                <w:color w:val="auto"/>
              </w:rPr>
            </w:pPr>
          </w:p>
        </w:tc>
        <w:tc>
          <w:tcPr>
            <w:tcW w:w="720" w:type="dxa"/>
            <w:vAlign w:val="bottom"/>
            <w:tcBorders>
              <w:top w:val="single" w:sz="8" w:color="231F20"/>
              <w:bottom w:val="single" w:sz="8" w:color="231F20"/>
            </w:tcBorders>
          </w:tcPr>
          <w:p>
            <w:pPr>
              <w:jc w:val="right"/>
              <w:ind w:right="42"/>
              <w:spacing w:after="0"/>
              <w:rPr>
                <w:sz w:val="20"/>
                <w:szCs w:val="20"/>
                <w:color w:val="auto"/>
              </w:rPr>
            </w:pPr>
            <w:r>
              <w:rPr>
                <w:rFonts w:ascii="Arial" w:cs="Arial" w:eastAsia="Arial" w:hAnsi="Arial"/>
                <w:sz w:val="15"/>
                <w:szCs w:val="15"/>
                <w:color w:val="231F20"/>
              </w:rPr>
              <w:t>2022</w:t>
            </w:r>
          </w:p>
        </w:tc>
        <w:tc>
          <w:tcPr>
            <w:tcW w:w="360" w:type="dxa"/>
            <w:vAlign w:val="bottom"/>
            <w:tcBorders>
              <w:top w:val="single" w:sz="8" w:color="231F20"/>
              <w:bottom w:val="single" w:sz="8" w:color="231F20"/>
            </w:tcBorders>
          </w:tcPr>
          <w:p>
            <w:pPr>
              <w:spacing w:after="0"/>
              <w:rPr>
                <w:sz w:val="15"/>
                <w:szCs w:val="15"/>
                <w:color w:val="auto"/>
              </w:rPr>
            </w:pPr>
          </w:p>
        </w:tc>
        <w:tc>
          <w:tcPr>
            <w:tcW w:w="760" w:type="dxa"/>
            <w:vAlign w:val="bottom"/>
            <w:tcBorders>
              <w:top w:val="single" w:sz="8" w:color="231F20"/>
              <w:bottom w:val="single" w:sz="8" w:color="231F20"/>
            </w:tcBorders>
          </w:tcPr>
          <w:p>
            <w:pPr>
              <w:jc w:val="right"/>
              <w:ind w:right="2"/>
              <w:spacing w:after="0"/>
              <w:rPr>
                <w:sz w:val="20"/>
                <w:szCs w:val="20"/>
                <w:color w:val="auto"/>
              </w:rPr>
            </w:pPr>
            <w:r>
              <w:rPr>
                <w:rFonts w:ascii="Arial" w:cs="Arial" w:eastAsia="Arial" w:hAnsi="Arial"/>
                <w:sz w:val="15"/>
                <w:szCs w:val="15"/>
                <w:color w:val="231F20"/>
              </w:rPr>
              <w:t>2021</w:t>
            </w:r>
          </w:p>
        </w:tc>
      </w:tr>
      <w:tr>
        <w:trPr>
          <w:trHeight w:val="185"/>
        </w:trPr>
        <w:tc>
          <w:tcPr>
            <w:tcW w:w="6140" w:type="dxa"/>
            <w:vAlign w:val="bottom"/>
            <w:tcBorders>
              <w:right w:val="single" w:sz="8" w:color="231F20"/>
            </w:tcBorders>
          </w:tcPr>
          <w:p>
            <w:pPr>
              <w:spacing w:after="0" w:line="184" w:lineRule="exact"/>
              <w:rPr>
                <w:sz w:val="20"/>
                <w:szCs w:val="20"/>
                <w:color w:val="auto"/>
              </w:rPr>
            </w:pPr>
            <w:r>
              <w:rPr>
                <w:rFonts w:ascii="Arial" w:cs="Arial" w:eastAsia="Arial" w:hAnsi="Arial"/>
                <w:sz w:val="20"/>
                <w:szCs w:val="20"/>
                <w:color w:val="231F20"/>
              </w:rPr>
              <w:t>Unrecognized tax benefits—beginning of year</w:t>
            </w:r>
            <w:r>
              <w:rPr>
                <w:rFonts w:ascii="Times New Roman" w:cs="Times New Roman" w:eastAsia="Times New Roman" w:hAnsi="Times New Roman"/>
                <w:sz w:val="20"/>
                <w:szCs w:val="20"/>
                <w:color w:val="231F20"/>
              </w:rPr>
              <w:t>......................................</w:t>
            </w:r>
          </w:p>
        </w:tc>
        <w:tc>
          <w:tcPr>
            <w:tcW w:w="320" w:type="dxa"/>
            <w:vAlign w:val="bottom"/>
          </w:tcPr>
          <w:p>
            <w:pPr>
              <w:jc w:val="right"/>
              <w:ind w:right="39"/>
              <w:spacing w:after="0" w:line="184" w:lineRule="exact"/>
              <w:rPr>
                <w:sz w:val="20"/>
                <w:szCs w:val="20"/>
                <w:color w:val="auto"/>
              </w:rPr>
            </w:pPr>
            <w:r>
              <w:rPr>
                <w:rFonts w:ascii="Arial" w:cs="Arial" w:eastAsia="Arial" w:hAnsi="Arial"/>
                <w:sz w:val="20"/>
                <w:szCs w:val="20"/>
                <w:color w:val="231F20"/>
              </w:rPr>
              <w:t>$</w:t>
            </w:r>
          </w:p>
        </w:tc>
        <w:tc>
          <w:tcPr>
            <w:tcW w:w="800" w:type="dxa"/>
            <w:vAlign w:val="bottom"/>
            <w:tcBorders>
              <w:right w:val="single" w:sz="8" w:color="231F20"/>
            </w:tcBorders>
          </w:tcPr>
          <w:p>
            <w:pPr>
              <w:jc w:val="right"/>
              <w:ind w:right="102"/>
              <w:spacing w:after="0" w:line="184" w:lineRule="exact"/>
              <w:rPr>
                <w:sz w:val="20"/>
                <w:szCs w:val="20"/>
                <w:color w:val="auto"/>
              </w:rPr>
            </w:pPr>
            <w:r>
              <w:rPr>
                <w:rFonts w:ascii="Arial" w:cs="Arial" w:eastAsia="Arial" w:hAnsi="Arial"/>
                <w:sz w:val="20"/>
                <w:szCs w:val="20"/>
                <w:color w:val="231F20"/>
              </w:rPr>
              <w:t>33.4</w:t>
            </w:r>
          </w:p>
        </w:tc>
        <w:tc>
          <w:tcPr>
            <w:tcW w:w="340" w:type="dxa"/>
            <w:vAlign w:val="bottom"/>
          </w:tcPr>
          <w:p>
            <w:pPr>
              <w:jc w:val="right"/>
              <w:ind w:right="39"/>
              <w:spacing w:after="0" w:line="184" w:lineRule="exact"/>
              <w:rPr>
                <w:sz w:val="20"/>
                <w:szCs w:val="20"/>
                <w:color w:val="auto"/>
              </w:rPr>
            </w:pPr>
            <w:r>
              <w:rPr>
                <w:rFonts w:ascii="Arial" w:cs="Arial" w:eastAsia="Arial" w:hAnsi="Arial"/>
                <w:sz w:val="20"/>
                <w:szCs w:val="20"/>
                <w:color w:val="231F20"/>
              </w:rPr>
              <w:t>$</w:t>
            </w:r>
          </w:p>
        </w:tc>
        <w:tc>
          <w:tcPr>
            <w:tcW w:w="720" w:type="dxa"/>
            <w:vAlign w:val="bottom"/>
          </w:tcPr>
          <w:p>
            <w:pPr>
              <w:jc w:val="right"/>
              <w:ind w:right="42"/>
              <w:spacing w:after="0" w:line="184" w:lineRule="exact"/>
              <w:rPr>
                <w:sz w:val="20"/>
                <w:szCs w:val="20"/>
                <w:color w:val="auto"/>
              </w:rPr>
            </w:pPr>
            <w:r>
              <w:rPr>
                <w:rFonts w:ascii="Arial" w:cs="Arial" w:eastAsia="Arial" w:hAnsi="Arial"/>
                <w:sz w:val="20"/>
                <w:szCs w:val="20"/>
                <w:color w:val="231F20"/>
              </w:rPr>
              <w:t>83.1</w:t>
            </w:r>
          </w:p>
        </w:tc>
        <w:tc>
          <w:tcPr>
            <w:tcW w:w="360" w:type="dxa"/>
            <w:vAlign w:val="bottom"/>
          </w:tcPr>
          <w:p>
            <w:pPr>
              <w:jc w:val="right"/>
              <w:ind w:right="99"/>
              <w:spacing w:after="0" w:line="184" w:lineRule="exact"/>
              <w:rPr>
                <w:sz w:val="20"/>
                <w:szCs w:val="20"/>
                <w:color w:val="auto"/>
              </w:rPr>
            </w:pPr>
            <w:r>
              <w:rPr>
                <w:rFonts w:ascii="Arial" w:cs="Arial" w:eastAsia="Arial" w:hAnsi="Arial"/>
                <w:sz w:val="20"/>
                <w:szCs w:val="20"/>
                <w:color w:val="231F20"/>
              </w:rPr>
              <w:t>$</w:t>
            </w:r>
          </w:p>
        </w:tc>
        <w:tc>
          <w:tcPr>
            <w:tcW w:w="760" w:type="dxa"/>
            <w:vAlign w:val="bottom"/>
          </w:tcPr>
          <w:p>
            <w:pPr>
              <w:jc w:val="right"/>
              <w:ind w:right="2"/>
              <w:spacing w:after="0" w:line="184" w:lineRule="exact"/>
              <w:rPr>
                <w:sz w:val="20"/>
                <w:szCs w:val="20"/>
                <w:color w:val="auto"/>
              </w:rPr>
            </w:pPr>
            <w:r>
              <w:rPr>
                <w:rFonts w:ascii="Arial" w:cs="Arial" w:eastAsia="Arial" w:hAnsi="Arial"/>
                <w:sz w:val="20"/>
                <w:szCs w:val="20"/>
                <w:color w:val="231F20"/>
              </w:rPr>
              <w:t>96.1</w:t>
            </w:r>
          </w:p>
        </w:tc>
      </w:tr>
      <w:tr>
        <w:trPr>
          <w:trHeight w:val="223"/>
        </w:trPr>
        <w:tc>
          <w:tcPr>
            <w:tcW w:w="6140" w:type="dxa"/>
            <w:vAlign w:val="bottom"/>
            <w:tcBorders>
              <w:right w:val="single" w:sz="8" w:color="231F20"/>
            </w:tcBorders>
          </w:tcPr>
          <w:p>
            <w:pPr>
              <w:spacing w:after="0" w:line="223" w:lineRule="exact"/>
              <w:rPr>
                <w:sz w:val="20"/>
                <w:szCs w:val="20"/>
                <w:color w:val="auto"/>
              </w:rPr>
            </w:pPr>
            <w:r>
              <w:rPr>
                <w:rFonts w:ascii="Arial" w:cs="Arial" w:eastAsia="Arial" w:hAnsi="Arial"/>
                <w:sz w:val="20"/>
                <w:szCs w:val="20"/>
                <w:color w:val="231F20"/>
              </w:rPr>
              <w:t xml:space="preserve">Gross additions—current year tax positions </w:t>
            </w:r>
            <w:r>
              <w:rPr>
                <w:rFonts w:ascii="Times New Roman" w:cs="Times New Roman" w:eastAsia="Times New Roman" w:hAnsi="Times New Roman"/>
                <w:sz w:val="20"/>
                <w:szCs w:val="20"/>
                <w:color w:val="231F20"/>
              </w:rPr>
              <w:t>..........................................</w:t>
            </w:r>
          </w:p>
        </w:tc>
        <w:tc>
          <w:tcPr>
            <w:tcW w:w="320" w:type="dxa"/>
            <w:vAlign w:val="bottom"/>
          </w:tcPr>
          <w:p>
            <w:pPr>
              <w:spacing w:after="0"/>
              <w:rPr>
                <w:sz w:val="19"/>
                <w:szCs w:val="19"/>
                <w:color w:val="auto"/>
              </w:rPr>
            </w:pPr>
          </w:p>
        </w:tc>
        <w:tc>
          <w:tcPr>
            <w:tcW w:w="80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2.1</w:t>
            </w:r>
          </w:p>
        </w:tc>
        <w:tc>
          <w:tcPr>
            <w:tcW w:w="340" w:type="dxa"/>
            <w:vAlign w:val="bottom"/>
          </w:tcPr>
          <w:p>
            <w:pPr>
              <w:spacing w:after="0"/>
              <w:rPr>
                <w:sz w:val="19"/>
                <w:szCs w:val="19"/>
                <w:color w:val="auto"/>
              </w:rPr>
            </w:pPr>
          </w:p>
        </w:tc>
        <w:tc>
          <w:tcPr>
            <w:tcW w:w="720" w:type="dxa"/>
            <w:vAlign w:val="bottom"/>
          </w:tcPr>
          <w:p>
            <w:pPr>
              <w:jc w:val="right"/>
              <w:ind w:right="42"/>
              <w:spacing w:after="0" w:line="223" w:lineRule="exact"/>
              <w:rPr>
                <w:sz w:val="20"/>
                <w:szCs w:val="20"/>
                <w:color w:val="auto"/>
              </w:rPr>
            </w:pPr>
            <w:r>
              <w:rPr>
                <w:rFonts w:ascii="Arial" w:cs="Arial" w:eastAsia="Arial" w:hAnsi="Arial"/>
                <w:sz w:val="20"/>
                <w:szCs w:val="20"/>
                <w:color w:val="231F20"/>
              </w:rPr>
              <w:t>2.1</w:t>
            </w:r>
          </w:p>
        </w:tc>
        <w:tc>
          <w:tcPr>
            <w:tcW w:w="360" w:type="dxa"/>
            <w:vAlign w:val="bottom"/>
          </w:tcPr>
          <w:p>
            <w:pPr>
              <w:spacing w:after="0"/>
              <w:rPr>
                <w:sz w:val="19"/>
                <w:szCs w:val="19"/>
                <w:color w:val="auto"/>
              </w:rPr>
            </w:pPr>
          </w:p>
        </w:tc>
        <w:tc>
          <w:tcPr>
            <w:tcW w:w="760" w:type="dxa"/>
            <w:vAlign w:val="bottom"/>
          </w:tcPr>
          <w:p>
            <w:pPr>
              <w:jc w:val="right"/>
              <w:ind w:right="2"/>
              <w:spacing w:after="0" w:line="223" w:lineRule="exact"/>
              <w:rPr>
                <w:sz w:val="20"/>
                <w:szCs w:val="20"/>
                <w:color w:val="auto"/>
              </w:rPr>
            </w:pPr>
            <w:r>
              <w:rPr>
                <w:rFonts w:ascii="Arial" w:cs="Arial" w:eastAsia="Arial" w:hAnsi="Arial"/>
                <w:sz w:val="20"/>
                <w:szCs w:val="20"/>
                <w:color w:val="231F20"/>
              </w:rPr>
              <w:t>2.6</w:t>
            </w:r>
          </w:p>
        </w:tc>
      </w:tr>
      <w:tr>
        <w:trPr>
          <w:trHeight w:val="223"/>
        </w:trPr>
        <w:tc>
          <w:tcPr>
            <w:tcW w:w="6140" w:type="dxa"/>
            <w:vAlign w:val="bottom"/>
            <w:tcBorders>
              <w:right w:val="single" w:sz="8" w:color="231F20"/>
            </w:tcBorders>
          </w:tcPr>
          <w:p>
            <w:pPr>
              <w:spacing w:after="0" w:line="223" w:lineRule="exact"/>
              <w:rPr>
                <w:sz w:val="20"/>
                <w:szCs w:val="20"/>
                <w:color w:val="auto"/>
              </w:rPr>
            </w:pPr>
            <w:r>
              <w:rPr>
                <w:rFonts w:ascii="Arial" w:cs="Arial" w:eastAsia="Arial" w:hAnsi="Arial"/>
                <w:sz w:val="20"/>
                <w:szCs w:val="20"/>
                <w:color w:val="231F20"/>
              </w:rPr>
              <w:t>Gross additions—prior year tax positions</w:t>
            </w:r>
            <w:r>
              <w:rPr>
                <w:rFonts w:ascii="Times New Roman" w:cs="Times New Roman" w:eastAsia="Times New Roman" w:hAnsi="Times New Roman"/>
                <w:sz w:val="20"/>
                <w:szCs w:val="20"/>
                <w:color w:val="231F20"/>
              </w:rPr>
              <w:t>...............................................</w:t>
            </w:r>
          </w:p>
        </w:tc>
        <w:tc>
          <w:tcPr>
            <w:tcW w:w="320" w:type="dxa"/>
            <w:vAlign w:val="bottom"/>
          </w:tcPr>
          <w:p>
            <w:pPr>
              <w:spacing w:after="0"/>
              <w:rPr>
                <w:sz w:val="19"/>
                <w:szCs w:val="19"/>
                <w:color w:val="auto"/>
              </w:rPr>
            </w:pPr>
          </w:p>
        </w:tc>
        <w:tc>
          <w:tcPr>
            <w:tcW w:w="80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0.2</w:t>
            </w:r>
          </w:p>
        </w:tc>
        <w:tc>
          <w:tcPr>
            <w:tcW w:w="340" w:type="dxa"/>
            <w:vAlign w:val="bottom"/>
          </w:tcPr>
          <w:p>
            <w:pPr>
              <w:spacing w:after="0"/>
              <w:rPr>
                <w:sz w:val="19"/>
                <w:szCs w:val="19"/>
                <w:color w:val="auto"/>
              </w:rPr>
            </w:pPr>
          </w:p>
        </w:tc>
        <w:tc>
          <w:tcPr>
            <w:tcW w:w="720" w:type="dxa"/>
            <w:vAlign w:val="bottom"/>
          </w:tcPr>
          <w:p>
            <w:pPr>
              <w:jc w:val="right"/>
              <w:ind w:right="42"/>
              <w:spacing w:after="0" w:line="223" w:lineRule="exact"/>
              <w:rPr>
                <w:sz w:val="20"/>
                <w:szCs w:val="20"/>
                <w:color w:val="auto"/>
              </w:rPr>
            </w:pPr>
            <w:r>
              <w:rPr>
                <w:rFonts w:ascii="Arial" w:cs="Arial" w:eastAsia="Arial" w:hAnsi="Arial"/>
                <w:sz w:val="20"/>
                <w:szCs w:val="20"/>
                <w:color w:val="231F20"/>
              </w:rPr>
              <w:t>—</w:t>
            </w:r>
          </w:p>
        </w:tc>
        <w:tc>
          <w:tcPr>
            <w:tcW w:w="360" w:type="dxa"/>
            <w:vAlign w:val="bottom"/>
          </w:tcPr>
          <w:p>
            <w:pPr>
              <w:spacing w:after="0"/>
              <w:rPr>
                <w:sz w:val="19"/>
                <w:szCs w:val="19"/>
                <w:color w:val="auto"/>
              </w:rPr>
            </w:pPr>
          </w:p>
        </w:tc>
        <w:tc>
          <w:tcPr>
            <w:tcW w:w="760" w:type="dxa"/>
            <w:vAlign w:val="bottom"/>
          </w:tcPr>
          <w:p>
            <w:pPr>
              <w:jc w:val="right"/>
              <w:ind w:right="2"/>
              <w:spacing w:after="0" w:line="223" w:lineRule="exact"/>
              <w:rPr>
                <w:sz w:val="20"/>
                <w:szCs w:val="20"/>
                <w:color w:val="auto"/>
              </w:rPr>
            </w:pPr>
            <w:r>
              <w:rPr>
                <w:rFonts w:ascii="Arial" w:cs="Arial" w:eastAsia="Arial" w:hAnsi="Arial"/>
                <w:sz w:val="20"/>
                <w:szCs w:val="20"/>
                <w:color w:val="231F20"/>
              </w:rPr>
              <w:t>2.0</w:t>
            </w:r>
          </w:p>
        </w:tc>
      </w:tr>
      <w:tr>
        <w:trPr>
          <w:trHeight w:val="223"/>
        </w:trPr>
        <w:tc>
          <w:tcPr>
            <w:tcW w:w="6140" w:type="dxa"/>
            <w:vAlign w:val="bottom"/>
            <w:tcBorders>
              <w:right w:val="single" w:sz="8" w:color="231F20"/>
            </w:tcBorders>
          </w:tcPr>
          <w:p>
            <w:pPr>
              <w:spacing w:after="0" w:line="223" w:lineRule="exact"/>
              <w:rPr>
                <w:sz w:val="20"/>
                <w:szCs w:val="20"/>
                <w:color w:val="auto"/>
              </w:rPr>
            </w:pPr>
            <w:r>
              <w:rPr>
                <w:rFonts w:ascii="Arial" w:cs="Arial" w:eastAsia="Arial" w:hAnsi="Arial"/>
                <w:sz w:val="20"/>
                <w:szCs w:val="20"/>
                <w:color w:val="231F20"/>
              </w:rPr>
              <w:t xml:space="preserve">Gross additions (reductions)—purchase accounting adjustments </w:t>
            </w:r>
            <w:r>
              <w:rPr>
                <w:rFonts w:ascii="Times New Roman" w:cs="Times New Roman" w:eastAsia="Times New Roman" w:hAnsi="Times New Roman"/>
                <w:sz w:val="20"/>
                <w:szCs w:val="20"/>
                <w:color w:val="231F20"/>
              </w:rPr>
              <w:t>.....</w:t>
            </w:r>
          </w:p>
        </w:tc>
        <w:tc>
          <w:tcPr>
            <w:tcW w:w="320" w:type="dxa"/>
            <w:vAlign w:val="bottom"/>
          </w:tcPr>
          <w:p>
            <w:pPr>
              <w:spacing w:after="0"/>
              <w:rPr>
                <w:sz w:val="19"/>
                <w:szCs w:val="19"/>
                <w:color w:val="auto"/>
              </w:rPr>
            </w:pPr>
          </w:p>
        </w:tc>
        <w:tc>
          <w:tcPr>
            <w:tcW w:w="800" w:type="dxa"/>
            <w:vAlign w:val="bottom"/>
            <w:tcBorders>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w:t>
            </w:r>
          </w:p>
        </w:tc>
        <w:tc>
          <w:tcPr>
            <w:tcW w:w="340" w:type="dxa"/>
            <w:vAlign w:val="bottom"/>
          </w:tcPr>
          <w:p>
            <w:pPr>
              <w:spacing w:after="0"/>
              <w:rPr>
                <w:sz w:val="19"/>
                <w:szCs w:val="19"/>
                <w:color w:val="auto"/>
              </w:rPr>
            </w:pPr>
          </w:p>
        </w:tc>
        <w:tc>
          <w:tcPr>
            <w:tcW w:w="720" w:type="dxa"/>
            <w:vAlign w:val="bottom"/>
          </w:tcPr>
          <w:p>
            <w:pPr>
              <w:jc w:val="right"/>
              <w:ind w:right="42"/>
              <w:spacing w:after="0" w:line="223" w:lineRule="exact"/>
              <w:rPr>
                <w:sz w:val="20"/>
                <w:szCs w:val="20"/>
                <w:color w:val="auto"/>
              </w:rPr>
            </w:pPr>
            <w:r>
              <w:rPr>
                <w:rFonts w:ascii="Arial" w:cs="Arial" w:eastAsia="Arial" w:hAnsi="Arial"/>
                <w:sz w:val="20"/>
                <w:szCs w:val="20"/>
                <w:color w:val="231F20"/>
              </w:rPr>
              <w:t>—</w:t>
            </w:r>
          </w:p>
        </w:tc>
        <w:tc>
          <w:tcPr>
            <w:tcW w:w="360" w:type="dxa"/>
            <w:vAlign w:val="bottom"/>
          </w:tcPr>
          <w:p>
            <w:pPr>
              <w:spacing w:after="0"/>
              <w:rPr>
                <w:sz w:val="19"/>
                <w:szCs w:val="19"/>
                <w:color w:val="auto"/>
              </w:rPr>
            </w:pPr>
          </w:p>
        </w:tc>
        <w:tc>
          <w:tcPr>
            <w:tcW w:w="760" w:type="dxa"/>
            <w:vAlign w:val="bottom"/>
          </w:tcPr>
          <w:p>
            <w:pPr>
              <w:jc w:val="right"/>
              <w:ind w:right="2"/>
              <w:spacing w:after="0" w:line="223" w:lineRule="exact"/>
              <w:rPr>
                <w:sz w:val="20"/>
                <w:szCs w:val="20"/>
                <w:color w:val="auto"/>
              </w:rPr>
            </w:pPr>
            <w:r>
              <w:rPr>
                <w:rFonts w:ascii="Arial" w:cs="Arial" w:eastAsia="Arial" w:hAnsi="Arial"/>
                <w:sz w:val="20"/>
                <w:szCs w:val="20"/>
                <w:color w:val="231F20"/>
              </w:rPr>
              <w:t>—</w:t>
            </w:r>
          </w:p>
        </w:tc>
      </w:tr>
      <w:tr>
        <w:trPr>
          <w:trHeight w:val="223"/>
        </w:trPr>
        <w:tc>
          <w:tcPr>
            <w:tcW w:w="6140" w:type="dxa"/>
            <w:vAlign w:val="bottom"/>
            <w:tcBorders>
              <w:right w:val="single" w:sz="8" w:color="231F20"/>
            </w:tcBorders>
          </w:tcPr>
          <w:p>
            <w:pPr>
              <w:spacing w:after="0" w:line="223" w:lineRule="exact"/>
              <w:rPr>
                <w:sz w:val="20"/>
                <w:szCs w:val="20"/>
                <w:color w:val="auto"/>
              </w:rPr>
            </w:pPr>
            <w:r>
              <w:rPr>
                <w:rFonts w:ascii="Arial" w:cs="Arial" w:eastAsia="Arial" w:hAnsi="Arial"/>
                <w:sz w:val="20"/>
                <w:szCs w:val="20"/>
                <w:color w:val="231F20"/>
              </w:rPr>
              <w:t xml:space="preserve">Gross reductions—prior year tax positions </w:t>
            </w:r>
            <w:r>
              <w:rPr>
                <w:rFonts w:ascii="Times New Roman" w:cs="Times New Roman" w:eastAsia="Times New Roman" w:hAnsi="Times New Roman"/>
                <w:sz w:val="20"/>
                <w:szCs w:val="20"/>
                <w:color w:val="231F20"/>
              </w:rPr>
              <w:t>............................................</w:t>
            </w:r>
          </w:p>
        </w:tc>
        <w:tc>
          <w:tcPr>
            <w:tcW w:w="320" w:type="dxa"/>
            <w:vAlign w:val="bottom"/>
          </w:tcPr>
          <w:p>
            <w:pPr>
              <w:spacing w:after="0"/>
              <w:rPr>
                <w:sz w:val="19"/>
                <w:szCs w:val="19"/>
                <w:color w:val="auto"/>
              </w:rPr>
            </w:pPr>
          </w:p>
        </w:tc>
        <w:tc>
          <w:tcPr>
            <w:tcW w:w="800" w:type="dxa"/>
            <w:vAlign w:val="bottom"/>
            <w:tcBorders>
              <w:right w:val="single" w:sz="8" w:color="231F20"/>
            </w:tcBorders>
          </w:tcPr>
          <w:p>
            <w:pPr>
              <w:jc w:val="right"/>
              <w:ind w:right="22"/>
              <w:spacing w:after="0" w:line="223" w:lineRule="exact"/>
              <w:rPr>
                <w:sz w:val="20"/>
                <w:szCs w:val="20"/>
                <w:color w:val="auto"/>
              </w:rPr>
            </w:pPr>
            <w:r>
              <w:rPr>
                <w:rFonts w:ascii="Arial" w:cs="Arial" w:eastAsia="Arial" w:hAnsi="Arial"/>
                <w:sz w:val="20"/>
                <w:szCs w:val="20"/>
                <w:color w:val="231F20"/>
              </w:rPr>
              <w:t>(10.1)</w:t>
            </w:r>
          </w:p>
        </w:tc>
        <w:tc>
          <w:tcPr>
            <w:tcW w:w="340" w:type="dxa"/>
            <w:vAlign w:val="bottom"/>
          </w:tcPr>
          <w:p>
            <w:pPr>
              <w:spacing w:after="0"/>
              <w:rPr>
                <w:sz w:val="19"/>
                <w:szCs w:val="19"/>
                <w:color w:val="auto"/>
              </w:rPr>
            </w:pPr>
          </w:p>
        </w:tc>
        <w:tc>
          <w:tcPr>
            <w:tcW w:w="720" w:type="dxa"/>
            <w:vAlign w:val="bottom"/>
          </w:tcPr>
          <w:p>
            <w:pPr>
              <w:jc w:val="right"/>
              <w:spacing w:after="0" w:line="223" w:lineRule="exact"/>
              <w:rPr>
                <w:sz w:val="20"/>
                <w:szCs w:val="20"/>
                <w:color w:val="auto"/>
              </w:rPr>
            </w:pPr>
            <w:r>
              <w:rPr>
                <w:rFonts w:ascii="Arial" w:cs="Arial" w:eastAsia="Arial" w:hAnsi="Arial"/>
                <w:sz w:val="20"/>
                <w:szCs w:val="20"/>
                <w:color w:val="231F20"/>
              </w:rPr>
              <w:t>(50.5)</w:t>
            </w:r>
          </w:p>
        </w:tc>
        <w:tc>
          <w:tcPr>
            <w:tcW w:w="360" w:type="dxa"/>
            <w:vAlign w:val="bottom"/>
          </w:tcPr>
          <w:p>
            <w:pPr>
              <w:spacing w:after="0"/>
              <w:rPr>
                <w:sz w:val="19"/>
                <w:szCs w:val="19"/>
                <w:color w:val="auto"/>
              </w:rPr>
            </w:pPr>
          </w:p>
        </w:tc>
        <w:tc>
          <w:tcPr>
            <w:tcW w:w="760" w:type="dxa"/>
            <w:vAlign w:val="bottom"/>
          </w:tcPr>
          <w:p>
            <w:pPr>
              <w:jc w:val="right"/>
              <w:spacing w:after="0" w:line="223" w:lineRule="exact"/>
              <w:rPr>
                <w:sz w:val="20"/>
                <w:szCs w:val="20"/>
                <w:color w:val="auto"/>
              </w:rPr>
            </w:pPr>
            <w:r>
              <w:rPr>
                <w:rFonts w:ascii="Arial" w:cs="Arial" w:eastAsia="Arial" w:hAnsi="Arial"/>
                <w:sz w:val="20"/>
                <w:szCs w:val="20"/>
                <w:color w:val="231F20"/>
              </w:rPr>
              <w:t>(16.6)</w:t>
            </w:r>
          </w:p>
        </w:tc>
      </w:tr>
      <w:tr>
        <w:trPr>
          <w:trHeight w:val="251"/>
        </w:trPr>
        <w:tc>
          <w:tcPr>
            <w:tcW w:w="6140" w:type="dxa"/>
            <w:vAlign w:val="bottom"/>
            <w:tcBorders>
              <w:bottom w:val="single" w:sz="8" w:color="231F20"/>
              <w:right w:val="single" w:sz="8" w:color="231F20"/>
            </w:tcBorders>
          </w:tcPr>
          <w:p>
            <w:pPr>
              <w:spacing w:after="0"/>
              <w:rPr>
                <w:sz w:val="20"/>
                <w:szCs w:val="20"/>
                <w:color w:val="auto"/>
              </w:rPr>
            </w:pPr>
            <w:r>
              <w:rPr>
                <w:rFonts w:ascii="Arial" w:cs="Arial" w:eastAsia="Arial" w:hAnsi="Arial"/>
                <w:sz w:val="20"/>
                <w:szCs w:val="20"/>
                <w:color w:val="231F20"/>
              </w:rPr>
              <w:t xml:space="preserve">Gross reductions—settlements with taxing authorities </w:t>
            </w:r>
            <w:r>
              <w:rPr>
                <w:rFonts w:ascii="Times New Roman" w:cs="Times New Roman" w:eastAsia="Times New Roman" w:hAnsi="Times New Roman"/>
                <w:sz w:val="20"/>
                <w:szCs w:val="20"/>
                <w:color w:val="231F20"/>
              </w:rPr>
              <w:t>........................</w:t>
            </w:r>
          </w:p>
        </w:tc>
        <w:tc>
          <w:tcPr>
            <w:tcW w:w="320" w:type="dxa"/>
            <w:vAlign w:val="bottom"/>
            <w:tcBorders>
              <w:bottom w:val="single" w:sz="8" w:color="231F20"/>
            </w:tcBorders>
          </w:tcPr>
          <w:p>
            <w:pPr>
              <w:spacing w:after="0"/>
              <w:rPr>
                <w:sz w:val="21"/>
                <w:szCs w:val="21"/>
                <w:color w:val="auto"/>
              </w:rPr>
            </w:pPr>
          </w:p>
        </w:tc>
        <w:tc>
          <w:tcPr>
            <w:tcW w:w="800" w:type="dxa"/>
            <w:vAlign w:val="bottom"/>
            <w:tcBorders>
              <w:bottom w:val="single" w:sz="8" w:color="231F20"/>
              <w:right w:val="single" w:sz="8" w:color="231F20"/>
            </w:tcBorders>
          </w:tcPr>
          <w:p>
            <w:pPr>
              <w:jc w:val="right"/>
              <w:ind w:right="102"/>
              <w:spacing w:after="0"/>
              <w:rPr>
                <w:sz w:val="20"/>
                <w:szCs w:val="20"/>
                <w:color w:val="auto"/>
              </w:rPr>
            </w:pPr>
            <w:r>
              <w:rPr>
                <w:rFonts w:ascii="Arial" w:cs="Arial" w:eastAsia="Arial" w:hAnsi="Arial"/>
                <w:sz w:val="20"/>
                <w:szCs w:val="20"/>
                <w:color w:val="231F20"/>
              </w:rPr>
              <w:t>—</w:t>
            </w:r>
          </w:p>
        </w:tc>
        <w:tc>
          <w:tcPr>
            <w:tcW w:w="34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(1.3)</w:t>
            </w:r>
          </w:p>
        </w:tc>
        <w:tc>
          <w:tcPr>
            <w:tcW w:w="36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(1.0)</w:t>
            </w:r>
          </w:p>
        </w:tc>
      </w:tr>
      <w:tr>
        <w:trPr>
          <w:trHeight w:val="239"/>
        </w:trPr>
        <w:tc>
          <w:tcPr>
            <w:tcW w:w="6140" w:type="dxa"/>
            <w:vAlign w:val="bottom"/>
            <w:tcBorders>
              <w:bottom w:val="single" w:sz="8" w:color="231F20"/>
              <w:right w:val="single" w:sz="8" w:color="231F20"/>
            </w:tcBorders>
          </w:tcPr>
          <w:p>
            <w:pPr>
              <w:spacing w:after="0" w:line="213" w:lineRule="exact"/>
              <w:rPr>
                <w:sz w:val="20"/>
                <w:szCs w:val="20"/>
                <w:color w:val="auto"/>
              </w:rPr>
            </w:pPr>
            <w:r>
              <w:rPr>
                <w:rFonts w:ascii="Arial" w:cs="Arial" w:eastAsia="Arial" w:hAnsi="Arial"/>
                <w:sz w:val="20"/>
                <w:szCs w:val="20"/>
                <w:color w:val="231F20"/>
              </w:rPr>
              <w:t xml:space="preserve">Unrecognized tax benefits—end of year </w:t>
            </w:r>
            <w:r>
              <w:rPr>
                <w:rFonts w:ascii="Times New Roman" w:cs="Times New Roman" w:eastAsia="Times New Roman" w:hAnsi="Times New Roman"/>
                <w:sz w:val="20"/>
                <w:szCs w:val="20"/>
                <w:color w:val="231F20"/>
              </w:rPr>
              <w:t>................................................</w:t>
            </w:r>
          </w:p>
        </w:tc>
        <w:tc>
          <w:tcPr>
            <w:tcW w:w="320" w:type="dxa"/>
            <w:vAlign w:val="bottom"/>
            <w:tcBorders>
              <w:bottom w:val="single" w:sz="8" w:color="231F20"/>
            </w:tcBorders>
          </w:tcPr>
          <w:p>
            <w:pPr>
              <w:jc w:val="right"/>
              <w:ind w:right="39"/>
              <w:spacing w:after="0" w:line="213" w:lineRule="exact"/>
              <w:rPr>
                <w:sz w:val="20"/>
                <w:szCs w:val="20"/>
                <w:color w:val="auto"/>
              </w:rPr>
            </w:pPr>
            <w:r>
              <w:rPr>
                <w:rFonts w:ascii="Arial" w:cs="Arial" w:eastAsia="Arial" w:hAnsi="Arial"/>
                <w:sz w:val="20"/>
                <w:szCs w:val="20"/>
                <w:color w:val="231F20"/>
              </w:rPr>
              <w:t>$</w:t>
            </w:r>
          </w:p>
        </w:tc>
        <w:tc>
          <w:tcPr>
            <w:tcW w:w="800" w:type="dxa"/>
            <w:vAlign w:val="bottom"/>
            <w:tcBorders>
              <w:bottom w:val="single" w:sz="8" w:color="231F20"/>
              <w:right w:val="single" w:sz="8" w:color="231F20"/>
            </w:tcBorders>
          </w:tcPr>
          <w:p>
            <w:pPr>
              <w:jc w:val="right"/>
              <w:ind w:right="102"/>
              <w:spacing w:after="0" w:line="213" w:lineRule="exact"/>
              <w:rPr>
                <w:sz w:val="20"/>
                <w:szCs w:val="20"/>
                <w:color w:val="auto"/>
              </w:rPr>
            </w:pPr>
            <w:r>
              <w:rPr>
                <w:rFonts w:ascii="Arial" w:cs="Arial" w:eastAsia="Arial" w:hAnsi="Arial"/>
                <w:sz w:val="20"/>
                <w:szCs w:val="20"/>
                <w:color w:val="231F20"/>
              </w:rPr>
              <w:t>25.6</w:t>
            </w:r>
          </w:p>
        </w:tc>
        <w:tc>
          <w:tcPr>
            <w:tcW w:w="340" w:type="dxa"/>
            <w:vAlign w:val="bottom"/>
            <w:tcBorders>
              <w:bottom w:val="single" w:sz="8" w:color="231F20"/>
            </w:tcBorders>
          </w:tcPr>
          <w:p>
            <w:pPr>
              <w:jc w:val="right"/>
              <w:ind w:right="39"/>
              <w:spacing w:after="0" w:line="213" w:lineRule="exact"/>
              <w:rPr>
                <w:sz w:val="20"/>
                <w:szCs w:val="20"/>
                <w:color w:val="auto"/>
              </w:rPr>
            </w:pPr>
            <w:r>
              <w:rPr>
                <w:rFonts w:ascii="Arial" w:cs="Arial" w:eastAsia="Arial" w:hAnsi="Arial"/>
                <w:sz w:val="20"/>
                <w:szCs w:val="20"/>
                <w:color w:val="231F20"/>
              </w:rPr>
              <w:t>$</w:t>
            </w:r>
          </w:p>
        </w:tc>
        <w:tc>
          <w:tcPr>
            <w:tcW w:w="720" w:type="dxa"/>
            <w:vAlign w:val="bottom"/>
            <w:tcBorders>
              <w:bottom w:val="single" w:sz="8" w:color="231F20"/>
            </w:tcBorders>
          </w:tcPr>
          <w:p>
            <w:pPr>
              <w:jc w:val="right"/>
              <w:ind w:right="42"/>
              <w:spacing w:after="0" w:line="213" w:lineRule="exact"/>
              <w:rPr>
                <w:sz w:val="20"/>
                <w:szCs w:val="20"/>
                <w:color w:val="auto"/>
              </w:rPr>
            </w:pPr>
            <w:r>
              <w:rPr>
                <w:rFonts w:ascii="Arial" w:cs="Arial" w:eastAsia="Arial" w:hAnsi="Arial"/>
                <w:sz w:val="20"/>
                <w:szCs w:val="20"/>
                <w:color w:val="231F20"/>
              </w:rPr>
              <w:t>33.4</w:t>
            </w:r>
          </w:p>
        </w:tc>
        <w:tc>
          <w:tcPr>
            <w:tcW w:w="360" w:type="dxa"/>
            <w:vAlign w:val="bottom"/>
            <w:tcBorders>
              <w:bottom w:val="single" w:sz="8" w:color="231F20"/>
            </w:tcBorders>
          </w:tcPr>
          <w:p>
            <w:pPr>
              <w:jc w:val="right"/>
              <w:ind w:right="99"/>
              <w:spacing w:after="0" w:line="213" w:lineRule="exact"/>
              <w:rPr>
                <w:sz w:val="20"/>
                <w:szCs w:val="20"/>
                <w:color w:val="auto"/>
              </w:rPr>
            </w:pPr>
            <w:r>
              <w:rPr>
                <w:rFonts w:ascii="Arial" w:cs="Arial" w:eastAsia="Arial" w:hAnsi="Arial"/>
                <w:sz w:val="20"/>
                <w:szCs w:val="20"/>
                <w:color w:val="231F20"/>
              </w:rPr>
              <w:t>$</w:t>
            </w:r>
          </w:p>
        </w:tc>
        <w:tc>
          <w:tcPr>
            <w:tcW w:w="760" w:type="dxa"/>
            <w:vAlign w:val="bottom"/>
            <w:tcBorders>
              <w:bottom w:val="single" w:sz="8" w:color="231F20"/>
            </w:tcBorders>
          </w:tcPr>
          <w:p>
            <w:pPr>
              <w:jc w:val="right"/>
              <w:ind w:right="2"/>
              <w:spacing w:after="0" w:line="213" w:lineRule="exact"/>
              <w:rPr>
                <w:sz w:val="20"/>
                <w:szCs w:val="20"/>
                <w:color w:val="auto"/>
              </w:rPr>
            </w:pPr>
            <w:r>
              <w:rPr>
                <w:rFonts w:ascii="Arial" w:cs="Arial" w:eastAsia="Arial" w:hAnsi="Arial"/>
                <w:sz w:val="20"/>
                <w:szCs w:val="20"/>
                <w:color w:val="231F20"/>
              </w:rPr>
              <w:t>83.1</w:t>
            </w:r>
          </w:p>
        </w:tc>
      </w:tr>
    </w:tbl>
    <w:p>
      <w:pPr>
        <w:spacing w:after="0" w:line="173"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color w:val="231F20"/>
        </w:rPr>
        <w:t>The amount of UTBs that, if recognized as of December 30, 2023, would affect the Company’s effective tax rate is $25.6 million. It is reasonably possible that, within the next twelve months, total UTBs may decrease by $7.7 million primarily as a result of the lapse of statutes of U.S. federal, state and foreign income taxes.</w:t>
      </w:r>
    </w:p>
    <w:p>
      <w:pPr>
        <w:spacing w:after="0" w:line="168"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231F20"/>
        </w:rPr>
        <w:t>The Company classifies interest and penalty accruals related to UTBs as income tax expense. In 2023, the Company recognized an interest and penalty expense of $1.2 million. In 2022 and 2021, the Company recognized an interest and penalty benefit of approximately $6.4 million and $1.9 million, respectively. As of December 30, 2023 and December 31, 2022, the Company had accruals for the payment of interest and penalties of $7.7 million and $8.8 million, respectively.</w:t>
      </w:r>
    </w:p>
    <w:p>
      <w:pPr>
        <w:sectPr>
          <w:pgSz w:w="12240" w:h="15840" w:orient="portrait"/>
          <w:cols w:equalWidth="0" w:num="1">
            <w:col w:w="9460"/>
          </w:cols>
          <w:pgMar w:left="1380" w:top="1338"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82</w:t>
      </w:r>
    </w:p>
    <w:p>
      <w:pPr>
        <w:sectPr>
          <w:pgSz w:w="12240" w:h="15840" w:orient="portrait"/>
          <w:cols w:equalWidth="0" w:num="1">
            <w:col w:w="9460"/>
          </w:cols>
          <w:pgMar w:left="1380" w:top="1338" w:right="1400" w:bottom="95" w:gutter="0" w:footer="0" w:header="0"/>
          <w:type w:val="continuous"/>
        </w:sectPr>
      </w:pPr>
    </w:p>
    <w:bookmarkStart w:id="90" w:name="page91"/>
    <w:bookmarkEnd w:id="90"/>
    <w:p>
      <w:pPr>
        <w:ind w:right="60"/>
        <w:spacing w:after="0" w:line="251" w:lineRule="auto"/>
        <w:rPr>
          <w:sz w:val="20"/>
          <w:szCs w:val="20"/>
          <w:color w:val="auto"/>
        </w:rPr>
      </w:pPr>
      <w:r>
        <w:rPr>
          <w:rFonts w:ascii="Arial" w:cs="Arial" w:eastAsia="Arial" w:hAnsi="Arial"/>
          <w:sz w:val="20"/>
          <w:szCs w:val="20"/>
          <w:color w:val="231F20"/>
        </w:rPr>
        <w:t>The Company files income tax returns in the U.S., various state, and foreign jurisdictions. In 2022, the Company concluded its examination by the U.S. Internal Revenue Service for the periods related to 2017 and 2018 and is generally subject to examination by the IRS for years 2020 and later. In addition to the U.S., the Company has tax years that remain open and subject to examination by tax authorities in the following major taxing jurisdictions: Canada for years after 2018, Mexico for years after 2017 and China for years after 2017.</w:t>
      </w:r>
    </w:p>
    <w:p>
      <w:pPr>
        <w:spacing w:after="0" w:line="162" w:lineRule="exact"/>
        <w:rPr>
          <w:sz w:val="20"/>
          <w:szCs w:val="20"/>
          <w:color w:val="auto"/>
        </w:rPr>
      </w:pPr>
    </w:p>
    <w:p>
      <w:pPr>
        <w:ind w:right="100"/>
        <w:spacing w:after="0" w:line="287" w:lineRule="auto"/>
        <w:rPr>
          <w:sz w:val="20"/>
          <w:szCs w:val="20"/>
          <w:color w:val="auto"/>
        </w:rPr>
      </w:pPr>
      <w:r>
        <w:rPr>
          <w:rFonts w:ascii="Arial" w:cs="Arial" w:eastAsia="Arial" w:hAnsi="Arial"/>
          <w:sz w:val="20"/>
          <w:szCs w:val="20"/>
          <w:color w:val="231F20"/>
        </w:rPr>
        <w:t>The components of net deferred tax assets (liabilities) as of December 30, 2023 and December 31, 2022 were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300" w:type="dxa"/>
            <w:vAlign w:val="bottom"/>
            <w:tcBorders>
              <w:top w:val="single" w:sz="8" w:color="231F20"/>
              <w:bottom w:val="single" w:sz="8" w:color="231F20"/>
              <w:right w:val="single" w:sz="8" w:color="231F20"/>
            </w:tcBorders>
          </w:tcPr>
          <w:p>
            <w:pPr>
              <w:jc w:val="right"/>
              <w:ind w:right="60"/>
              <w:spacing w:after="0" w:line="184"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520" w:type="dxa"/>
            <w:vAlign w:val="bottom"/>
            <w:tcBorders>
              <w:top w:val="single" w:sz="8" w:color="231F20"/>
              <w:bottom w:val="single" w:sz="8" w:color="231F20"/>
            </w:tcBorders>
          </w:tcPr>
          <w:p>
            <w:pPr>
              <w:spacing w:after="0"/>
              <w:rPr>
                <w:sz w:val="16"/>
                <w:szCs w:val="16"/>
                <w:color w:val="auto"/>
              </w:rPr>
            </w:pPr>
          </w:p>
        </w:tc>
        <w:tc>
          <w:tcPr>
            <w:tcW w:w="1120" w:type="dxa"/>
            <w:vAlign w:val="bottom"/>
            <w:tcBorders>
              <w:top w:val="single" w:sz="8" w:color="231F20"/>
              <w:bottom w:val="single" w:sz="8" w:color="231F20"/>
              <w:right w:val="single" w:sz="8" w:color="231F20"/>
            </w:tcBorders>
          </w:tcPr>
          <w:p>
            <w:pPr>
              <w:jc w:val="right"/>
              <w:ind w:right="140"/>
              <w:spacing w:after="0"/>
              <w:rPr>
                <w:sz w:val="20"/>
                <w:szCs w:val="20"/>
                <w:color w:val="auto"/>
              </w:rPr>
            </w:pPr>
            <w:r>
              <w:rPr>
                <w:rFonts w:ascii="Arial" w:cs="Arial" w:eastAsia="Arial" w:hAnsi="Arial"/>
                <w:sz w:val="15"/>
                <w:szCs w:val="15"/>
                <w:i w:val="1"/>
                <w:iCs w:val="1"/>
                <w:color w:val="231F20"/>
              </w:rPr>
              <w:t>2023</w:t>
            </w:r>
          </w:p>
        </w:tc>
        <w:tc>
          <w:tcPr>
            <w:tcW w:w="520" w:type="dxa"/>
            <w:vAlign w:val="bottom"/>
            <w:tcBorders>
              <w:top w:val="single" w:sz="8" w:color="231F20"/>
              <w:bottom w:val="single" w:sz="8" w:color="231F20"/>
            </w:tcBorders>
          </w:tcPr>
          <w:p>
            <w:pPr>
              <w:spacing w:after="0"/>
              <w:rPr>
                <w:sz w:val="16"/>
                <w:szCs w:val="16"/>
                <w:color w:val="auto"/>
              </w:rPr>
            </w:pPr>
          </w:p>
        </w:tc>
        <w:tc>
          <w:tcPr>
            <w:tcW w:w="96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5"/>
                <w:szCs w:val="15"/>
                <w:color w:val="231F20"/>
              </w:rPr>
              <w:t>2022</w:t>
            </w:r>
          </w:p>
        </w:tc>
      </w:tr>
      <w:tr>
        <w:trPr>
          <w:trHeight w:val="202"/>
        </w:trPr>
        <w:tc>
          <w:tcPr>
            <w:tcW w:w="20" w:type="dxa"/>
            <w:vAlign w:val="bottom"/>
          </w:tcPr>
          <w:p>
            <w:pPr>
              <w:spacing w:after="0"/>
              <w:rPr>
                <w:sz w:val="17"/>
                <w:szCs w:val="17"/>
                <w:color w:val="auto"/>
              </w:rPr>
            </w:pPr>
          </w:p>
        </w:tc>
        <w:tc>
          <w:tcPr>
            <w:tcW w:w="6300" w:type="dxa"/>
            <w:vAlign w:val="bottom"/>
            <w:tcBorders>
              <w:right w:val="single" w:sz="8" w:color="231F20"/>
            </w:tcBorders>
          </w:tcPr>
          <w:p>
            <w:pPr>
              <w:spacing w:after="0" w:line="203" w:lineRule="exact"/>
              <w:rPr>
                <w:sz w:val="20"/>
                <w:szCs w:val="20"/>
                <w:color w:val="auto"/>
              </w:rPr>
            </w:pPr>
            <w:r>
              <w:rPr>
                <w:rFonts w:ascii="Arial" w:cs="Arial" w:eastAsia="Arial" w:hAnsi="Arial"/>
                <w:sz w:val="20"/>
                <w:szCs w:val="20"/>
                <w:color w:val="231F20"/>
              </w:rPr>
              <w:t>Deferred tax assets:</w:t>
            </w:r>
          </w:p>
        </w:tc>
        <w:tc>
          <w:tcPr>
            <w:tcW w:w="520" w:type="dxa"/>
            <w:vAlign w:val="bottom"/>
          </w:tcPr>
          <w:p>
            <w:pPr>
              <w:spacing w:after="0"/>
              <w:rPr>
                <w:sz w:val="17"/>
                <w:szCs w:val="17"/>
                <w:color w:val="auto"/>
              </w:rPr>
            </w:pPr>
          </w:p>
        </w:tc>
        <w:tc>
          <w:tcPr>
            <w:tcW w:w="1120" w:type="dxa"/>
            <w:vAlign w:val="bottom"/>
            <w:tcBorders>
              <w:right w:val="single" w:sz="8" w:color="231F20"/>
            </w:tcBorders>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Compensation and benefits </w:t>
            </w:r>
            <w:r>
              <w:rPr>
                <w:rFonts w:ascii="Times New Roman" w:cs="Times New Roman" w:eastAsia="Times New Roman" w:hAnsi="Times New Roman"/>
                <w:sz w:val="20"/>
                <w:szCs w:val="20"/>
                <w:color w:val="231F20"/>
              </w:rPr>
              <w:t>...................................................................</w:t>
            </w:r>
          </w:p>
        </w:tc>
        <w:tc>
          <w:tcPr>
            <w:tcW w:w="520" w:type="dxa"/>
            <w:vAlign w:val="bottom"/>
          </w:tcPr>
          <w:p>
            <w:pPr>
              <w:jc w:val="right"/>
              <w:ind w:right="179"/>
              <w:spacing w:after="0"/>
              <w:rPr>
                <w:sz w:val="20"/>
                <w:szCs w:val="20"/>
                <w:color w:val="auto"/>
              </w:rPr>
            </w:pPr>
            <w:r>
              <w:rPr>
                <w:rFonts w:ascii="Arial" w:cs="Arial" w:eastAsia="Arial" w:hAnsi="Arial"/>
                <w:sz w:val="20"/>
                <w:szCs w:val="20"/>
                <w:color w:val="231F20"/>
              </w:rPr>
              <w:t>$</w:t>
            </w:r>
          </w:p>
        </w:tc>
        <w:tc>
          <w:tcPr>
            <w:tcW w:w="1120" w:type="dxa"/>
            <w:vAlign w:val="bottom"/>
            <w:tcBorders>
              <w:right w:val="single" w:sz="8" w:color="231F20"/>
            </w:tcBorders>
          </w:tcPr>
          <w:p>
            <w:pPr>
              <w:jc w:val="right"/>
              <w:ind w:right="140"/>
              <w:spacing w:after="0"/>
              <w:rPr>
                <w:sz w:val="20"/>
                <w:szCs w:val="20"/>
                <w:color w:val="auto"/>
              </w:rPr>
            </w:pPr>
            <w:r>
              <w:rPr>
                <w:rFonts w:ascii="Arial" w:cs="Arial" w:eastAsia="Arial" w:hAnsi="Arial"/>
                <w:sz w:val="20"/>
                <w:szCs w:val="20"/>
                <w:color w:val="231F20"/>
              </w:rPr>
              <w:t>29.5</w:t>
            </w:r>
          </w:p>
        </w:tc>
        <w:tc>
          <w:tcPr>
            <w:tcW w:w="520" w:type="dxa"/>
            <w:vAlign w:val="bottom"/>
          </w:tcPr>
          <w:p>
            <w:pPr>
              <w:jc w:val="right"/>
              <w:ind w:right="179"/>
              <w:spacing w:after="0"/>
              <w:rPr>
                <w:sz w:val="20"/>
                <w:szCs w:val="20"/>
                <w:color w:val="auto"/>
              </w:rPr>
            </w:pPr>
            <w:r>
              <w:rPr>
                <w:rFonts w:ascii="Arial" w:cs="Arial" w:eastAsia="Arial" w:hAnsi="Arial"/>
                <w:sz w:val="20"/>
                <w:szCs w:val="20"/>
                <w:color w:val="231F20"/>
              </w:rPr>
              <w:t>$</w:t>
            </w:r>
          </w:p>
        </w:tc>
        <w:tc>
          <w:tcPr>
            <w:tcW w:w="960" w:type="dxa"/>
            <w:vAlign w:val="bottom"/>
          </w:tcPr>
          <w:p>
            <w:pPr>
              <w:jc w:val="right"/>
              <w:spacing w:after="0"/>
              <w:rPr>
                <w:sz w:val="20"/>
                <w:szCs w:val="20"/>
                <w:color w:val="auto"/>
              </w:rPr>
            </w:pPr>
            <w:r>
              <w:rPr>
                <w:rFonts w:ascii="Arial" w:cs="Arial" w:eastAsia="Arial" w:hAnsi="Arial"/>
                <w:sz w:val="20"/>
                <w:szCs w:val="20"/>
                <w:color w:val="231F20"/>
              </w:rPr>
              <w:t>21.0</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Defined benefit plans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140"/>
              <w:spacing w:after="0"/>
              <w:rPr>
                <w:sz w:val="20"/>
                <w:szCs w:val="20"/>
                <w:color w:val="auto"/>
              </w:rPr>
            </w:pPr>
            <w:r>
              <w:rPr>
                <w:rFonts w:ascii="Arial" w:cs="Arial" w:eastAsia="Arial" w:hAnsi="Arial"/>
                <w:sz w:val="20"/>
                <w:szCs w:val="20"/>
                <w:color w:val="231F20"/>
              </w:rPr>
              <w:t>10.9</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15.4</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Capitalized inventories</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140"/>
              <w:spacing w:after="0"/>
              <w:rPr>
                <w:sz w:val="20"/>
                <w:szCs w:val="20"/>
                <w:color w:val="auto"/>
              </w:rPr>
            </w:pPr>
            <w:r>
              <w:rPr>
                <w:rFonts w:ascii="Arial" w:cs="Arial" w:eastAsia="Arial" w:hAnsi="Arial"/>
                <w:sz w:val="20"/>
                <w:szCs w:val="20"/>
                <w:color w:val="231F20"/>
              </w:rPr>
              <w:t>24.5</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17.8</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Capitalized research and development costs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140"/>
              <w:spacing w:after="0"/>
              <w:rPr>
                <w:sz w:val="20"/>
                <w:szCs w:val="20"/>
                <w:color w:val="auto"/>
              </w:rPr>
            </w:pPr>
            <w:r>
              <w:rPr>
                <w:rFonts w:ascii="Arial" w:cs="Arial" w:eastAsia="Arial" w:hAnsi="Arial"/>
                <w:sz w:val="20"/>
                <w:szCs w:val="20"/>
                <w:color w:val="231F20"/>
              </w:rPr>
              <w:t>37.4</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13.8</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Accounts receivable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140"/>
              <w:spacing w:after="0"/>
              <w:rPr>
                <w:sz w:val="20"/>
                <w:szCs w:val="20"/>
                <w:color w:val="auto"/>
              </w:rPr>
            </w:pPr>
            <w:r>
              <w:rPr>
                <w:rFonts w:ascii="Arial" w:cs="Arial" w:eastAsia="Arial" w:hAnsi="Arial"/>
                <w:sz w:val="20"/>
                <w:szCs w:val="20"/>
                <w:color w:val="231F20"/>
              </w:rPr>
              <w:t>4.9</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4.2</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Operating lease liabilities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140"/>
              <w:spacing w:after="0"/>
              <w:rPr>
                <w:sz w:val="20"/>
                <w:szCs w:val="20"/>
                <w:color w:val="auto"/>
              </w:rPr>
            </w:pPr>
            <w:r>
              <w:rPr>
                <w:rFonts w:ascii="Arial" w:cs="Arial" w:eastAsia="Arial" w:hAnsi="Arial"/>
                <w:sz w:val="20"/>
                <w:szCs w:val="20"/>
                <w:color w:val="231F20"/>
              </w:rPr>
              <w:t>43.2</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31.0</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Other accrued expenses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140"/>
              <w:spacing w:after="0"/>
              <w:rPr>
                <w:sz w:val="20"/>
                <w:szCs w:val="20"/>
                <w:color w:val="auto"/>
              </w:rPr>
            </w:pPr>
            <w:r>
              <w:rPr>
                <w:rFonts w:ascii="Arial" w:cs="Arial" w:eastAsia="Arial" w:hAnsi="Arial"/>
                <w:sz w:val="20"/>
                <w:szCs w:val="20"/>
                <w:color w:val="231F20"/>
              </w:rPr>
              <w:t>40.3</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51.2</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Net operating loss and other tax carryforwards</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140"/>
              <w:spacing w:after="0"/>
              <w:rPr>
                <w:sz w:val="20"/>
                <w:szCs w:val="20"/>
                <w:color w:val="auto"/>
              </w:rPr>
            </w:pPr>
            <w:r>
              <w:rPr>
                <w:rFonts w:ascii="Arial" w:cs="Arial" w:eastAsia="Arial" w:hAnsi="Arial"/>
                <w:sz w:val="20"/>
                <w:szCs w:val="20"/>
                <w:color w:val="231F20"/>
              </w:rPr>
              <w:t>27.5</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23.5</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Valuation allowance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80"/>
              <w:spacing w:after="0"/>
              <w:rPr>
                <w:sz w:val="20"/>
                <w:szCs w:val="20"/>
                <w:color w:val="auto"/>
              </w:rPr>
            </w:pPr>
            <w:r>
              <w:rPr>
                <w:rFonts w:ascii="Arial" w:cs="Arial" w:eastAsia="Arial" w:hAnsi="Arial"/>
                <w:sz w:val="20"/>
                <w:szCs w:val="20"/>
                <w:color w:val="231F20"/>
              </w:rPr>
              <w:t>(15.1)</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(13.8)</w:t>
            </w:r>
          </w:p>
        </w:tc>
      </w:tr>
      <w:tr>
        <w:trPr>
          <w:trHeight w:val="253"/>
        </w:trPr>
        <w:tc>
          <w:tcPr>
            <w:tcW w:w="20" w:type="dxa"/>
            <w:vAlign w:val="bottom"/>
          </w:tcPr>
          <w:p>
            <w:pPr>
              <w:spacing w:after="0"/>
              <w:rPr>
                <w:sz w:val="22"/>
                <w:szCs w:val="22"/>
                <w:color w:val="auto"/>
              </w:rPr>
            </w:pPr>
          </w:p>
        </w:tc>
        <w:tc>
          <w:tcPr>
            <w:tcW w:w="6300" w:type="dxa"/>
            <w:vAlign w:val="bottom"/>
            <w:tcBorders>
              <w:bottom w:val="single" w:sz="8" w:color="231F20"/>
              <w:right w:val="single" w:sz="8" w:color="231F20"/>
            </w:tcBorders>
          </w:tcPr>
          <w:p>
            <w:pPr>
              <w:jc w:val="right"/>
              <w:ind w:right="60"/>
              <w:spacing w:after="0"/>
              <w:rPr>
                <w:sz w:val="20"/>
                <w:szCs w:val="20"/>
                <w:color w:val="auto"/>
              </w:rPr>
            </w:pPr>
            <w:r>
              <w:rPr>
                <w:rFonts w:ascii="Arial" w:cs="Arial" w:eastAsia="Arial" w:hAnsi="Arial"/>
                <w:sz w:val="20"/>
                <w:szCs w:val="20"/>
                <w:color w:val="231F20"/>
              </w:rPr>
              <w:t>Miscellaneous</w:t>
            </w:r>
            <w:r>
              <w:rPr>
                <w:rFonts w:ascii="Times New Roman" w:cs="Times New Roman" w:eastAsia="Times New Roman" w:hAnsi="Times New Roman"/>
                <w:sz w:val="20"/>
                <w:szCs w:val="20"/>
                <w:color w:val="231F20"/>
              </w:rPr>
              <w:t>...........................................................................................</w:t>
            </w:r>
          </w:p>
        </w:tc>
        <w:tc>
          <w:tcPr>
            <w:tcW w:w="52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right w:val="single" w:sz="8" w:color="231F20"/>
            </w:tcBorders>
          </w:tcPr>
          <w:p>
            <w:pPr>
              <w:jc w:val="right"/>
              <w:ind w:right="140"/>
              <w:spacing w:after="0"/>
              <w:rPr>
                <w:sz w:val="20"/>
                <w:szCs w:val="20"/>
                <w:color w:val="auto"/>
              </w:rPr>
            </w:pPr>
            <w:r>
              <w:rPr>
                <w:rFonts w:ascii="Arial" w:cs="Arial" w:eastAsia="Arial" w:hAnsi="Arial"/>
                <w:sz w:val="20"/>
                <w:szCs w:val="20"/>
                <w:color w:val="231F20"/>
              </w:rPr>
              <w:t>6.7</w:t>
            </w:r>
          </w:p>
        </w:tc>
        <w:tc>
          <w:tcPr>
            <w:tcW w:w="52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6.7</w:t>
            </w:r>
          </w:p>
        </w:tc>
      </w:tr>
      <w:tr>
        <w:trPr>
          <w:trHeight w:val="203"/>
        </w:trPr>
        <w:tc>
          <w:tcPr>
            <w:tcW w:w="20" w:type="dxa"/>
            <w:vAlign w:val="bottom"/>
          </w:tcPr>
          <w:p>
            <w:pPr>
              <w:spacing w:after="0"/>
              <w:rPr>
                <w:sz w:val="17"/>
                <w:szCs w:val="17"/>
                <w:color w:val="auto"/>
              </w:rPr>
            </w:pPr>
          </w:p>
        </w:tc>
        <w:tc>
          <w:tcPr>
            <w:tcW w:w="6300" w:type="dxa"/>
            <w:vAlign w:val="bottom"/>
            <w:tcBorders>
              <w:right w:val="single" w:sz="8" w:color="231F20"/>
            </w:tcBorders>
          </w:tcPr>
          <w:p>
            <w:pPr>
              <w:jc w:val="right"/>
              <w:ind w:right="60"/>
              <w:spacing w:after="0" w:line="203" w:lineRule="exact"/>
              <w:rPr>
                <w:sz w:val="20"/>
                <w:szCs w:val="20"/>
                <w:color w:val="auto"/>
              </w:rPr>
            </w:pPr>
            <w:r>
              <w:rPr>
                <w:rFonts w:ascii="Arial" w:cs="Arial" w:eastAsia="Arial" w:hAnsi="Arial"/>
                <w:sz w:val="20"/>
                <w:szCs w:val="20"/>
                <w:color w:val="231F20"/>
              </w:rPr>
              <w:t>Total deferred tax assets</w:t>
            </w:r>
            <w:r>
              <w:rPr>
                <w:rFonts w:ascii="Times New Roman" w:cs="Times New Roman" w:eastAsia="Times New Roman" w:hAnsi="Times New Roman"/>
                <w:sz w:val="20"/>
                <w:szCs w:val="20"/>
                <w:color w:val="231F20"/>
              </w:rPr>
              <w:t>........................................................................</w:t>
            </w:r>
          </w:p>
        </w:tc>
        <w:tc>
          <w:tcPr>
            <w:tcW w:w="520" w:type="dxa"/>
            <w:vAlign w:val="bottom"/>
          </w:tcPr>
          <w:p>
            <w:pPr>
              <w:spacing w:after="0"/>
              <w:rPr>
                <w:sz w:val="17"/>
                <w:szCs w:val="17"/>
                <w:color w:val="auto"/>
              </w:rPr>
            </w:pPr>
          </w:p>
        </w:tc>
        <w:tc>
          <w:tcPr>
            <w:tcW w:w="1120" w:type="dxa"/>
            <w:vAlign w:val="bottom"/>
            <w:tcBorders>
              <w:right w:val="single" w:sz="8" w:color="231F20"/>
            </w:tcBorders>
          </w:tcPr>
          <w:p>
            <w:pPr>
              <w:jc w:val="right"/>
              <w:ind w:right="140"/>
              <w:spacing w:after="0" w:line="204" w:lineRule="exact"/>
              <w:rPr>
                <w:sz w:val="20"/>
                <w:szCs w:val="20"/>
                <w:color w:val="auto"/>
              </w:rPr>
            </w:pPr>
            <w:r>
              <w:rPr>
                <w:rFonts w:ascii="Arial" w:cs="Arial" w:eastAsia="Arial" w:hAnsi="Arial"/>
                <w:sz w:val="20"/>
                <w:szCs w:val="20"/>
                <w:color w:val="231F20"/>
              </w:rPr>
              <w:t>209.8</w:t>
            </w:r>
          </w:p>
        </w:tc>
        <w:tc>
          <w:tcPr>
            <w:tcW w:w="52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20"/>
                <w:szCs w:val="20"/>
                <w:color w:val="231F20"/>
              </w:rPr>
              <w:t>170.8</w:t>
            </w:r>
          </w:p>
        </w:tc>
      </w:tr>
      <w:tr>
        <w:trPr>
          <w:trHeight w:val="231"/>
        </w:trPr>
        <w:tc>
          <w:tcPr>
            <w:tcW w:w="632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Deferred tax liabilities:</w:t>
            </w:r>
          </w:p>
        </w:tc>
        <w:tc>
          <w:tcPr>
            <w:tcW w:w="520" w:type="dxa"/>
            <w:vAlign w:val="bottom"/>
          </w:tcPr>
          <w:p>
            <w:pPr>
              <w:spacing w:after="0"/>
              <w:rPr>
                <w:sz w:val="20"/>
                <w:szCs w:val="20"/>
                <w:color w:val="auto"/>
              </w:rPr>
            </w:pPr>
          </w:p>
        </w:tc>
        <w:tc>
          <w:tcPr>
            <w:tcW w:w="1120" w:type="dxa"/>
            <w:vAlign w:val="bottom"/>
            <w:tcBorders>
              <w:right w:val="single" w:sz="8" w:color="231F20"/>
            </w:tcBorders>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Fixed assets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80"/>
              <w:spacing w:after="0"/>
              <w:rPr>
                <w:sz w:val="20"/>
                <w:szCs w:val="20"/>
                <w:color w:val="auto"/>
              </w:rPr>
            </w:pPr>
            <w:r>
              <w:rPr>
                <w:rFonts w:ascii="Arial" w:cs="Arial" w:eastAsia="Arial" w:hAnsi="Arial"/>
                <w:sz w:val="20"/>
                <w:szCs w:val="20"/>
                <w:color w:val="231F20"/>
              </w:rPr>
              <w:t>(75.1)</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(74.1)</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Intangible assets</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80"/>
              <w:spacing w:after="0"/>
              <w:rPr>
                <w:sz w:val="20"/>
                <w:szCs w:val="20"/>
                <w:color w:val="auto"/>
              </w:rPr>
            </w:pPr>
            <w:r>
              <w:rPr>
                <w:rFonts w:ascii="Arial" w:cs="Arial" w:eastAsia="Arial" w:hAnsi="Arial"/>
                <w:sz w:val="20"/>
                <w:szCs w:val="20"/>
                <w:color w:val="231F20"/>
              </w:rPr>
              <w:t>(153.2)</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(152.5)</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Operating lease assets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80"/>
              <w:spacing w:after="0"/>
              <w:rPr>
                <w:sz w:val="20"/>
                <w:szCs w:val="20"/>
                <w:color w:val="auto"/>
              </w:rPr>
            </w:pPr>
            <w:r>
              <w:rPr>
                <w:rFonts w:ascii="Arial" w:cs="Arial" w:eastAsia="Arial" w:hAnsi="Arial"/>
                <w:sz w:val="20"/>
                <w:szCs w:val="20"/>
                <w:color w:val="231F20"/>
              </w:rPr>
              <w:t>(42.7)</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(29.3)</w:t>
            </w:r>
          </w:p>
        </w:tc>
      </w:tr>
      <w:tr>
        <w:trPr>
          <w:trHeight w:val="233"/>
        </w:trPr>
        <w:tc>
          <w:tcPr>
            <w:tcW w:w="20" w:type="dxa"/>
            <w:vAlign w:val="bottom"/>
          </w:tcPr>
          <w:p>
            <w:pPr>
              <w:spacing w:after="0"/>
              <w:rPr>
                <w:sz w:val="20"/>
                <w:szCs w:val="20"/>
                <w:color w:val="auto"/>
              </w:rPr>
            </w:pPr>
          </w:p>
        </w:tc>
        <w:tc>
          <w:tcPr>
            <w:tcW w:w="6300" w:type="dxa"/>
            <w:vAlign w:val="bottom"/>
            <w:tcBorders>
              <w:right w:val="single" w:sz="8" w:color="231F20"/>
            </w:tcBorders>
          </w:tcPr>
          <w:p>
            <w:pPr>
              <w:jc w:val="right"/>
              <w:ind w:right="60"/>
              <w:spacing w:after="0"/>
              <w:rPr>
                <w:sz w:val="20"/>
                <w:szCs w:val="20"/>
                <w:color w:val="auto"/>
              </w:rPr>
            </w:pPr>
            <w:r>
              <w:rPr>
                <w:rFonts w:ascii="Arial" w:cs="Arial" w:eastAsia="Arial" w:hAnsi="Arial"/>
                <w:sz w:val="20"/>
                <w:szCs w:val="20"/>
                <w:color w:val="231F20"/>
              </w:rPr>
              <w:t xml:space="preserve">Other investments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1120" w:type="dxa"/>
            <w:vAlign w:val="bottom"/>
            <w:tcBorders>
              <w:right w:val="single" w:sz="8" w:color="231F20"/>
            </w:tcBorders>
          </w:tcPr>
          <w:p>
            <w:pPr>
              <w:jc w:val="right"/>
              <w:ind w:right="80"/>
              <w:spacing w:after="0"/>
              <w:rPr>
                <w:sz w:val="20"/>
                <w:szCs w:val="20"/>
                <w:color w:val="auto"/>
              </w:rPr>
            </w:pPr>
            <w:r>
              <w:rPr>
                <w:rFonts w:ascii="Arial" w:cs="Arial" w:eastAsia="Arial" w:hAnsi="Arial"/>
                <w:sz w:val="20"/>
                <w:szCs w:val="20"/>
                <w:color w:val="231F20"/>
              </w:rPr>
              <w:t>(26.4)</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231F20"/>
              </w:rPr>
              <w:t>(28.2)</w:t>
            </w:r>
          </w:p>
        </w:tc>
      </w:tr>
      <w:tr>
        <w:trPr>
          <w:trHeight w:val="253"/>
        </w:trPr>
        <w:tc>
          <w:tcPr>
            <w:tcW w:w="20" w:type="dxa"/>
            <w:vAlign w:val="bottom"/>
          </w:tcPr>
          <w:p>
            <w:pPr>
              <w:spacing w:after="0"/>
              <w:rPr>
                <w:sz w:val="22"/>
                <w:szCs w:val="22"/>
                <w:color w:val="auto"/>
              </w:rPr>
            </w:pPr>
          </w:p>
        </w:tc>
        <w:tc>
          <w:tcPr>
            <w:tcW w:w="6300" w:type="dxa"/>
            <w:vAlign w:val="bottom"/>
            <w:tcBorders>
              <w:bottom w:val="single" w:sz="8" w:color="231F20"/>
              <w:right w:val="single" w:sz="8" w:color="231F20"/>
            </w:tcBorders>
          </w:tcPr>
          <w:p>
            <w:pPr>
              <w:jc w:val="right"/>
              <w:ind w:right="60"/>
              <w:spacing w:after="0"/>
              <w:rPr>
                <w:sz w:val="20"/>
                <w:szCs w:val="20"/>
                <w:color w:val="auto"/>
              </w:rPr>
            </w:pPr>
            <w:r>
              <w:rPr>
                <w:rFonts w:ascii="Arial" w:cs="Arial" w:eastAsia="Arial" w:hAnsi="Arial"/>
                <w:sz w:val="20"/>
                <w:szCs w:val="20"/>
                <w:color w:val="231F20"/>
              </w:rPr>
              <w:t>Miscellaneous</w:t>
            </w:r>
            <w:r>
              <w:rPr>
                <w:rFonts w:ascii="Times New Roman" w:cs="Times New Roman" w:eastAsia="Times New Roman" w:hAnsi="Times New Roman"/>
                <w:sz w:val="20"/>
                <w:szCs w:val="20"/>
                <w:color w:val="231F20"/>
              </w:rPr>
              <w:t>...........................................................................................</w:t>
            </w:r>
          </w:p>
        </w:tc>
        <w:tc>
          <w:tcPr>
            <w:tcW w:w="52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right w:val="single" w:sz="8" w:color="231F20"/>
            </w:tcBorders>
          </w:tcPr>
          <w:p>
            <w:pPr>
              <w:jc w:val="right"/>
              <w:ind w:right="80"/>
              <w:spacing w:after="0"/>
              <w:rPr>
                <w:sz w:val="20"/>
                <w:szCs w:val="20"/>
                <w:color w:val="auto"/>
              </w:rPr>
            </w:pPr>
            <w:r>
              <w:rPr>
                <w:rFonts w:ascii="Arial" w:cs="Arial" w:eastAsia="Arial" w:hAnsi="Arial"/>
                <w:sz w:val="20"/>
                <w:szCs w:val="20"/>
                <w:color w:val="231F20"/>
              </w:rPr>
              <w:t>(5.2)</w:t>
            </w:r>
          </w:p>
        </w:tc>
        <w:tc>
          <w:tcPr>
            <w:tcW w:w="52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(6.5)</w:t>
            </w:r>
          </w:p>
        </w:tc>
      </w:tr>
      <w:tr>
        <w:trPr>
          <w:trHeight w:val="223"/>
        </w:trPr>
        <w:tc>
          <w:tcPr>
            <w:tcW w:w="20" w:type="dxa"/>
            <w:vAlign w:val="bottom"/>
          </w:tcPr>
          <w:p>
            <w:pPr>
              <w:spacing w:after="0"/>
              <w:rPr>
                <w:sz w:val="19"/>
                <w:szCs w:val="19"/>
                <w:color w:val="auto"/>
              </w:rPr>
            </w:pPr>
          </w:p>
        </w:tc>
        <w:tc>
          <w:tcPr>
            <w:tcW w:w="6300" w:type="dxa"/>
            <w:vAlign w:val="bottom"/>
            <w:tcBorders>
              <w:bottom w:val="single" w:sz="8" w:color="231F20"/>
              <w:right w:val="single" w:sz="8" w:color="231F20"/>
            </w:tcBorders>
          </w:tcPr>
          <w:p>
            <w:pPr>
              <w:jc w:val="right"/>
              <w:ind w:right="60"/>
              <w:spacing w:after="0" w:line="223" w:lineRule="exact"/>
              <w:rPr>
                <w:sz w:val="20"/>
                <w:szCs w:val="20"/>
                <w:color w:val="auto"/>
              </w:rPr>
            </w:pPr>
            <w:r>
              <w:rPr>
                <w:rFonts w:ascii="Arial" w:cs="Arial" w:eastAsia="Arial" w:hAnsi="Arial"/>
                <w:sz w:val="20"/>
                <w:szCs w:val="20"/>
                <w:color w:val="231F20"/>
              </w:rPr>
              <w:t xml:space="preserve">Total deferred tax liabilities </w:t>
            </w:r>
            <w:r>
              <w:rPr>
                <w:rFonts w:ascii="Times New Roman" w:cs="Times New Roman" w:eastAsia="Times New Roman" w:hAnsi="Times New Roman"/>
                <w:sz w:val="20"/>
                <w:szCs w:val="20"/>
                <w:color w:val="231F20"/>
              </w:rPr>
              <w:t>....................................................................</w:t>
            </w:r>
          </w:p>
        </w:tc>
        <w:tc>
          <w:tcPr>
            <w:tcW w:w="520" w:type="dxa"/>
            <w:vAlign w:val="bottom"/>
            <w:tcBorders>
              <w:bottom w:val="single" w:sz="8" w:color="231F20"/>
            </w:tcBorders>
          </w:tcPr>
          <w:p>
            <w:pPr>
              <w:spacing w:after="0"/>
              <w:rPr>
                <w:sz w:val="19"/>
                <w:szCs w:val="19"/>
                <w:color w:val="auto"/>
              </w:rPr>
            </w:pPr>
          </w:p>
        </w:tc>
        <w:tc>
          <w:tcPr>
            <w:tcW w:w="1120" w:type="dxa"/>
            <w:vAlign w:val="bottom"/>
            <w:tcBorders>
              <w:bottom w:val="single" w:sz="8" w:color="231F20"/>
              <w:right w:val="single" w:sz="8" w:color="231F20"/>
            </w:tcBorders>
          </w:tcPr>
          <w:p>
            <w:pPr>
              <w:jc w:val="right"/>
              <w:ind w:right="80"/>
              <w:spacing w:after="0" w:line="223" w:lineRule="exact"/>
              <w:rPr>
                <w:sz w:val="20"/>
                <w:szCs w:val="20"/>
                <w:color w:val="auto"/>
              </w:rPr>
            </w:pPr>
            <w:r>
              <w:rPr>
                <w:rFonts w:ascii="Arial" w:cs="Arial" w:eastAsia="Arial" w:hAnsi="Arial"/>
                <w:sz w:val="20"/>
                <w:szCs w:val="20"/>
                <w:color w:val="231F20"/>
              </w:rPr>
              <w:t>(302.6)</w:t>
            </w:r>
          </w:p>
        </w:tc>
        <w:tc>
          <w:tcPr>
            <w:tcW w:w="520" w:type="dxa"/>
            <w:vAlign w:val="bottom"/>
            <w:tcBorders>
              <w:bottom w:val="single" w:sz="8" w:color="231F20"/>
            </w:tcBorders>
          </w:tcPr>
          <w:p>
            <w:pPr>
              <w:spacing w:after="0"/>
              <w:rPr>
                <w:sz w:val="19"/>
                <w:szCs w:val="19"/>
                <w:color w:val="auto"/>
              </w:rPr>
            </w:pPr>
          </w:p>
        </w:tc>
        <w:tc>
          <w:tcPr>
            <w:tcW w:w="9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(290.6)</w:t>
            </w:r>
          </w:p>
        </w:tc>
      </w:tr>
      <w:tr>
        <w:trPr>
          <w:trHeight w:val="248"/>
        </w:trPr>
        <w:tc>
          <w:tcPr>
            <w:tcW w:w="20" w:type="dxa"/>
            <w:vAlign w:val="bottom"/>
          </w:tcPr>
          <w:p>
            <w:pPr>
              <w:spacing w:after="0"/>
              <w:rPr>
                <w:sz w:val="21"/>
                <w:szCs w:val="21"/>
                <w:color w:val="auto"/>
              </w:rPr>
            </w:pPr>
          </w:p>
        </w:tc>
        <w:tc>
          <w:tcPr>
            <w:tcW w:w="6300" w:type="dxa"/>
            <w:vAlign w:val="bottom"/>
            <w:tcBorders>
              <w:bottom w:val="single" w:sz="8" w:color="231F20"/>
              <w:right w:val="single" w:sz="8" w:color="231F20"/>
            </w:tcBorders>
          </w:tcPr>
          <w:p>
            <w:pPr>
              <w:jc w:val="right"/>
              <w:ind w:right="60"/>
              <w:spacing w:after="0" w:line="223" w:lineRule="exact"/>
              <w:rPr>
                <w:sz w:val="20"/>
                <w:szCs w:val="20"/>
                <w:color w:val="auto"/>
              </w:rPr>
            </w:pPr>
            <w:r>
              <w:rPr>
                <w:rFonts w:ascii="Arial" w:cs="Arial" w:eastAsia="Arial" w:hAnsi="Arial"/>
                <w:sz w:val="20"/>
                <w:szCs w:val="20"/>
                <w:color w:val="231F20"/>
              </w:rPr>
              <w:t>Net deferred tax liability</w:t>
            </w:r>
            <w:r>
              <w:rPr>
                <w:rFonts w:ascii="Times New Roman" w:cs="Times New Roman" w:eastAsia="Times New Roman" w:hAnsi="Times New Roman"/>
                <w:sz w:val="20"/>
                <w:szCs w:val="20"/>
                <w:color w:val="231F20"/>
              </w:rPr>
              <w:t>................................................................................</w:t>
            </w:r>
          </w:p>
        </w:tc>
        <w:tc>
          <w:tcPr>
            <w:tcW w:w="520" w:type="dxa"/>
            <w:vAlign w:val="bottom"/>
            <w:tcBorders>
              <w:bottom w:val="single" w:sz="8" w:color="231F20"/>
            </w:tcBorders>
          </w:tcPr>
          <w:p>
            <w:pPr>
              <w:jc w:val="right"/>
              <w:ind w:right="179"/>
              <w:spacing w:after="0" w:line="223" w:lineRule="exact"/>
              <w:rPr>
                <w:sz w:val="20"/>
                <w:szCs w:val="20"/>
                <w:color w:val="auto"/>
              </w:rPr>
            </w:pPr>
            <w:r>
              <w:rPr>
                <w:rFonts w:ascii="Arial" w:cs="Arial" w:eastAsia="Arial" w:hAnsi="Arial"/>
                <w:sz w:val="20"/>
                <w:szCs w:val="20"/>
                <w:color w:val="231F20"/>
              </w:rPr>
              <w:t>$</w:t>
            </w:r>
          </w:p>
        </w:tc>
        <w:tc>
          <w:tcPr>
            <w:tcW w:w="1120" w:type="dxa"/>
            <w:vAlign w:val="bottom"/>
            <w:tcBorders>
              <w:bottom w:val="single" w:sz="8" w:color="231F20"/>
              <w:right w:val="single" w:sz="8" w:color="231F20"/>
            </w:tcBorders>
          </w:tcPr>
          <w:p>
            <w:pPr>
              <w:jc w:val="right"/>
              <w:ind w:right="80"/>
              <w:spacing w:after="0" w:line="223" w:lineRule="exact"/>
              <w:rPr>
                <w:sz w:val="20"/>
                <w:szCs w:val="20"/>
                <w:color w:val="auto"/>
              </w:rPr>
            </w:pPr>
            <w:r>
              <w:rPr>
                <w:rFonts w:ascii="Arial" w:cs="Arial" w:eastAsia="Arial" w:hAnsi="Arial"/>
                <w:sz w:val="20"/>
                <w:szCs w:val="20"/>
                <w:color w:val="231F20"/>
              </w:rPr>
              <w:t>(92.8)</w:t>
            </w:r>
          </w:p>
        </w:tc>
        <w:tc>
          <w:tcPr>
            <w:tcW w:w="520" w:type="dxa"/>
            <w:vAlign w:val="bottom"/>
            <w:tcBorders>
              <w:bottom w:val="single" w:sz="8" w:color="231F20"/>
            </w:tcBorders>
          </w:tcPr>
          <w:p>
            <w:pPr>
              <w:jc w:val="right"/>
              <w:ind w:right="179"/>
              <w:spacing w:after="0" w:line="223" w:lineRule="exact"/>
              <w:rPr>
                <w:sz w:val="20"/>
                <w:szCs w:val="20"/>
                <w:color w:val="auto"/>
              </w:rPr>
            </w:pPr>
            <w:r>
              <w:rPr>
                <w:rFonts w:ascii="Arial" w:cs="Arial" w:eastAsia="Arial" w:hAnsi="Arial"/>
                <w:sz w:val="20"/>
                <w:szCs w:val="20"/>
                <w:color w:val="231F20"/>
              </w:rPr>
              <w:t>$</w:t>
            </w:r>
          </w:p>
        </w:tc>
        <w:tc>
          <w:tcPr>
            <w:tcW w:w="9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(119.8)</w:t>
            </w:r>
          </w:p>
        </w:tc>
      </w:tr>
    </w:tbl>
    <w:p>
      <w:pPr>
        <w:spacing w:after="0" w:line="190" w:lineRule="exact"/>
        <w:rPr>
          <w:sz w:val="20"/>
          <w:szCs w:val="20"/>
          <w:color w:val="auto"/>
        </w:rPr>
      </w:pPr>
    </w:p>
    <w:p>
      <w:pPr>
        <w:ind w:right="1100"/>
        <w:spacing w:after="0" w:line="287" w:lineRule="auto"/>
        <w:rPr>
          <w:sz w:val="20"/>
          <w:szCs w:val="20"/>
          <w:color w:val="auto"/>
        </w:rPr>
      </w:pPr>
      <w:r>
        <w:rPr>
          <w:rFonts w:ascii="Arial" w:cs="Arial" w:eastAsia="Arial" w:hAnsi="Arial"/>
          <w:sz w:val="20"/>
          <w:szCs w:val="20"/>
          <w:color w:val="231F20"/>
        </w:rPr>
        <w:t>In accordance with ASC requirements for Income Taxes, deferred taxes were classified in the consolidated balance sheets as of December 30, 2023 and December 31, 2022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280" w:type="dxa"/>
            <w:vAlign w:val="bottom"/>
            <w:tcBorders>
              <w:top w:val="single" w:sz="8" w:color="231F20"/>
              <w:bottom w:val="single" w:sz="8" w:color="231F20"/>
              <w:right w:val="single" w:sz="8" w:color="231F20"/>
            </w:tcBorders>
          </w:tcPr>
          <w:p>
            <w:pPr>
              <w:jc w:val="right"/>
              <w:ind w:right="59"/>
              <w:spacing w:after="0" w:line="184" w:lineRule="exact"/>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15"/>
                <w:szCs w:val="15"/>
                <w:i w:val="1"/>
                <w:iCs w:val="1"/>
                <w:color w:val="231F20"/>
              </w:rPr>
              <w:t>(Inmillions)</w:t>
            </w:r>
          </w:p>
        </w:tc>
        <w:tc>
          <w:tcPr>
            <w:tcW w:w="540" w:type="dxa"/>
            <w:vAlign w:val="bottom"/>
            <w:tcBorders>
              <w:top w:val="single" w:sz="8" w:color="231F20"/>
              <w:bottom w:val="single" w:sz="8" w:color="231F20"/>
            </w:tcBorders>
          </w:tcPr>
          <w:p>
            <w:pPr>
              <w:spacing w:after="0"/>
              <w:rPr>
                <w:sz w:val="16"/>
                <w:szCs w:val="16"/>
                <w:color w:val="auto"/>
              </w:rPr>
            </w:pPr>
          </w:p>
        </w:tc>
        <w:tc>
          <w:tcPr>
            <w:tcW w:w="1120" w:type="dxa"/>
            <w:vAlign w:val="bottom"/>
            <w:tcBorders>
              <w:top w:val="single" w:sz="8" w:color="231F20"/>
              <w:bottom w:val="single" w:sz="8" w:color="231F20"/>
              <w:right w:val="single" w:sz="8" w:color="231F20"/>
            </w:tcBorders>
          </w:tcPr>
          <w:p>
            <w:pPr>
              <w:jc w:val="right"/>
              <w:ind w:right="165"/>
              <w:spacing w:after="0"/>
              <w:rPr>
                <w:sz w:val="20"/>
                <w:szCs w:val="20"/>
                <w:color w:val="auto"/>
              </w:rPr>
            </w:pPr>
            <w:r>
              <w:rPr>
                <w:rFonts w:ascii="Arial" w:cs="Arial" w:eastAsia="Arial" w:hAnsi="Arial"/>
                <w:sz w:val="15"/>
                <w:szCs w:val="15"/>
                <w:i w:val="1"/>
                <w:iCs w:val="1"/>
                <w:color w:val="231F20"/>
              </w:rPr>
              <w:t>2023</w:t>
            </w:r>
          </w:p>
        </w:tc>
        <w:tc>
          <w:tcPr>
            <w:tcW w:w="540" w:type="dxa"/>
            <w:vAlign w:val="bottom"/>
            <w:tcBorders>
              <w:top w:val="single" w:sz="8" w:color="231F20"/>
              <w:bottom w:val="single" w:sz="8" w:color="231F20"/>
            </w:tcBorders>
          </w:tcPr>
          <w:p>
            <w:pPr>
              <w:spacing w:after="0"/>
              <w:rPr>
                <w:sz w:val="16"/>
                <w:szCs w:val="16"/>
                <w:color w:val="auto"/>
              </w:rPr>
            </w:pPr>
          </w:p>
        </w:tc>
        <w:tc>
          <w:tcPr>
            <w:tcW w:w="960" w:type="dxa"/>
            <w:vAlign w:val="bottom"/>
            <w:tcBorders>
              <w:top w:val="single" w:sz="8" w:color="231F20"/>
              <w:bottom w:val="single" w:sz="8" w:color="231F20"/>
            </w:tcBorders>
          </w:tcPr>
          <w:p>
            <w:pPr>
              <w:jc w:val="right"/>
              <w:ind w:right="5"/>
              <w:spacing w:after="0"/>
              <w:rPr>
                <w:sz w:val="20"/>
                <w:szCs w:val="20"/>
                <w:color w:val="auto"/>
              </w:rPr>
            </w:pPr>
            <w:r>
              <w:rPr>
                <w:rFonts w:ascii="Arial" w:cs="Arial" w:eastAsia="Arial" w:hAnsi="Arial"/>
                <w:sz w:val="15"/>
                <w:szCs w:val="15"/>
                <w:color w:val="231F20"/>
              </w:rPr>
              <w:t>2022</w:t>
            </w:r>
          </w:p>
        </w:tc>
      </w:tr>
      <w:tr>
        <w:trPr>
          <w:trHeight w:val="202"/>
        </w:trPr>
        <w:tc>
          <w:tcPr>
            <w:tcW w:w="6280" w:type="dxa"/>
            <w:vAlign w:val="bottom"/>
            <w:tcBorders>
              <w:right w:val="single" w:sz="8" w:color="231F20"/>
            </w:tcBorders>
          </w:tcPr>
          <w:p>
            <w:pPr>
              <w:jc w:val="right"/>
              <w:ind w:right="59"/>
              <w:spacing w:after="0" w:line="202" w:lineRule="exact"/>
              <w:rPr>
                <w:sz w:val="20"/>
                <w:szCs w:val="20"/>
                <w:color w:val="auto"/>
              </w:rPr>
            </w:pPr>
            <w:r>
              <w:rPr>
                <w:rFonts w:ascii="Arial" w:cs="Arial" w:eastAsia="Arial" w:hAnsi="Arial"/>
                <w:sz w:val="20"/>
                <w:szCs w:val="20"/>
                <w:color w:val="231F20"/>
              </w:rPr>
              <w:t>Other assets</w:t>
            </w:r>
            <w:r>
              <w:rPr>
                <w:rFonts w:ascii="Times New Roman" w:cs="Times New Roman" w:eastAsia="Times New Roman" w:hAnsi="Times New Roman"/>
                <w:sz w:val="20"/>
                <w:szCs w:val="20"/>
                <w:color w:val="231F20"/>
              </w:rPr>
              <w:t>..................................................................................................</w:t>
            </w:r>
          </w:p>
        </w:tc>
        <w:tc>
          <w:tcPr>
            <w:tcW w:w="540" w:type="dxa"/>
            <w:vAlign w:val="bottom"/>
          </w:tcPr>
          <w:p>
            <w:pPr>
              <w:spacing w:after="0"/>
              <w:rPr>
                <w:sz w:val="17"/>
                <w:szCs w:val="17"/>
                <w:color w:val="auto"/>
              </w:rPr>
            </w:pPr>
          </w:p>
        </w:tc>
        <w:tc>
          <w:tcPr>
            <w:tcW w:w="1120" w:type="dxa"/>
            <w:vAlign w:val="bottom"/>
            <w:tcBorders>
              <w:right w:val="single" w:sz="8" w:color="231F20"/>
            </w:tcBorders>
          </w:tcPr>
          <w:p>
            <w:pPr>
              <w:jc w:val="right"/>
              <w:ind w:right="165"/>
              <w:spacing w:after="0" w:line="203" w:lineRule="exact"/>
              <w:rPr>
                <w:sz w:val="20"/>
                <w:szCs w:val="20"/>
                <w:color w:val="auto"/>
              </w:rPr>
            </w:pPr>
            <w:r>
              <w:rPr>
                <w:rFonts w:ascii="Arial" w:cs="Arial" w:eastAsia="Arial" w:hAnsi="Arial"/>
                <w:sz w:val="20"/>
                <w:szCs w:val="20"/>
                <w:color w:val="231F20"/>
              </w:rPr>
              <w:t>18.5</w:t>
            </w:r>
          </w:p>
        </w:tc>
        <w:tc>
          <w:tcPr>
            <w:tcW w:w="540" w:type="dxa"/>
            <w:vAlign w:val="bottom"/>
          </w:tcPr>
          <w:p>
            <w:pPr>
              <w:spacing w:after="0"/>
              <w:rPr>
                <w:sz w:val="17"/>
                <w:szCs w:val="17"/>
                <w:color w:val="auto"/>
              </w:rPr>
            </w:pPr>
          </w:p>
        </w:tc>
        <w:tc>
          <w:tcPr>
            <w:tcW w:w="960" w:type="dxa"/>
            <w:vAlign w:val="bottom"/>
          </w:tcPr>
          <w:p>
            <w:pPr>
              <w:jc w:val="right"/>
              <w:ind w:right="5"/>
              <w:spacing w:after="0" w:line="203" w:lineRule="exact"/>
              <w:rPr>
                <w:sz w:val="20"/>
                <w:szCs w:val="20"/>
                <w:color w:val="auto"/>
              </w:rPr>
            </w:pPr>
            <w:r>
              <w:rPr>
                <w:rFonts w:ascii="Arial" w:cs="Arial" w:eastAsia="Arial" w:hAnsi="Arial"/>
                <w:sz w:val="20"/>
                <w:szCs w:val="20"/>
                <w:color w:val="231F20"/>
              </w:rPr>
              <w:t>17.1</w:t>
            </w:r>
          </w:p>
        </w:tc>
      </w:tr>
      <w:tr>
        <w:trPr>
          <w:trHeight w:val="253"/>
        </w:trPr>
        <w:tc>
          <w:tcPr>
            <w:tcW w:w="6280" w:type="dxa"/>
            <w:vAlign w:val="bottom"/>
            <w:tcBorders>
              <w:bottom w:val="single" w:sz="8" w:color="231F20"/>
              <w:right w:val="single" w:sz="8" w:color="231F20"/>
            </w:tcBorders>
          </w:tcPr>
          <w:p>
            <w:pPr>
              <w:jc w:val="right"/>
              <w:ind w:right="59"/>
              <w:spacing w:after="0"/>
              <w:rPr>
                <w:sz w:val="20"/>
                <w:szCs w:val="20"/>
                <w:color w:val="auto"/>
              </w:rPr>
            </w:pPr>
            <w:r>
              <w:rPr>
                <w:rFonts w:ascii="Arial" w:cs="Arial" w:eastAsia="Arial" w:hAnsi="Arial"/>
                <w:sz w:val="20"/>
                <w:szCs w:val="20"/>
                <w:color w:val="231F20"/>
              </w:rPr>
              <w:t xml:space="preserve">Deferred income taxes </w:t>
            </w:r>
            <w:r>
              <w:rPr>
                <w:rFonts w:ascii="Times New Roman" w:cs="Times New Roman" w:eastAsia="Times New Roman" w:hAnsi="Times New Roman"/>
                <w:sz w:val="20"/>
                <w:szCs w:val="20"/>
                <w:color w:val="231F20"/>
              </w:rPr>
              <w:t>................................................................................</w:t>
            </w:r>
          </w:p>
        </w:tc>
        <w:tc>
          <w:tcPr>
            <w:tcW w:w="54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right w:val="single" w:sz="8" w:color="231F20"/>
            </w:tcBorders>
          </w:tcPr>
          <w:p>
            <w:pPr>
              <w:jc w:val="right"/>
              <w:ind w:right="85"/>
              <w:spacing w:after="0"/>
              <w:rPr>
                <w:sz w:val="20"/>
                <w:szCs w:val="20"/>
                <w:color w:val="auto"/>
              </w:rPr>
            </w:pPr>
            <w:r>
              <w:rPr>
                <w:rFonts w:ascii="Arial" w:cs="Arial" w:eastAsia="Arial" w:hAnsi="Arial"/>
                <w:sz w:val="20"/>
                <w:szCs w:val="20"/>
                <w:color w:val="231F20"/>
              </w:rPr>
              <w:t>(111.3)</w:t>
            </w:r>
          </w:p>
        </w:tc>
        <w:tc>
          <w:tcPr>
            <w:tcW w:w="540" w:type="dxa"/>
            <w:vAlign w:val="bottom"/>
            <w:tcBorders>
              <w:bottom w:val="single" w:sz="8" w:color="231F20"/>
            </w:tcBorders>
          </w:tcPr>
          <w:p>
            <w:pPr>
              <w:spacing w:after="0"/>
              <w:rPr>
                <w:sz w:val="22"/>
                <w:szCs w:val="22"/>
                <w:color w:val="auto"/>
              </w:rPr>
            </w:pP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(136.9)</w:t>
            </w:r>
          </w:p>
        </w:tc>
      </w:tr>
      <w:tr>
        <w:trPr>
          <w:trHeight w:val="248"/>
        </w:trPr>
        <w:tc>
          <w:tcPr>
            <w:tcW w:w="6280" w:type="dxa"/>
            <w:vAlign w:val="bottom"/>
            <w:tcBorders>
              <w:bottom w:val="single" w:sz="8" w:color="231F20"/>
              <w:right w:val="single" w:sz="8" w:color="231F20"/>
            </w:tcBorders>
          </w:tcPr>
          <w:p>
            <w:pPr>
              <w:jc w:val="right"/>
              <w:ind w:right="59"/>
              <w:spacing w:after="0" w:line="223" w:lineRule="exact"/>
              <w:rPr>
                <w:sz w:val="20"/>
                <w:szCs w:val="20"/>
                <w:color w:val="auto"/>
              </w:rPr>
            </w:pPr>
            <w:r>
              <w:rPr>
                <w:rFonts w:ascii="Arial" w:cs="Arial" w:eastAsia="Arial" w:hAnsi="Arial"/>
                <w:sz w:val="20"/>
                <w:szCs w:val="20"/>
                <w:color w:val="231F20"/>
              </w:rPr>
              <w:t>Net deferred tax liability</w:t>
            </w:r>
            <w:r>
              <w:rPr>
                <w:rFonts w:ascii="Times New Roman" w:cs="Times New Roman" w:eastAsia="Times New Roman" w:hAnsi="Times New Roman"/>
                <w:sz w:val="20"/>
                <w:szCs w:val="20"/>
                <w:color w:val="231F20"/>
              </w:rPr>
              <w:t>............................................................................</w:t>
            </w:r>
          </w:p>
        </w:tc>
        <w:tc>
          <w:tcPr>
            <w:tcW w:w="540" w:type="dxa"/>
            <w:vAlign w:val="bottom"/>
            <w:tcBorders>
              <w:bottom w:val="single" w:sz="8" w:color="231F20"/>
            </w:tcBorders>
          </w:tcPr>
          <w:p>
            <w:pPr>
              <w:jc w:val="right"/>
              <w:ind w:right="199"/>
              <w:spacing w:after="0" w:line="223" w:lineRule="exact"/>
              <w:rPr>
                <w:sz w:val="20"/>
                <w:szCs w:val="20"/>
                <w:color w:val="auto"/>
              </w:rPr>
            </w:pPr>
            <w:r>
              <w:rPr>
                <w:rFonts w:ascii="Arial" w:cs="Arial" w:eastAsia="Arial" w:hAnsi="Arial"/>
                <w:sz w:val="20"/>
                <w:szCs w:val="20"/>
                <w:color w:val="231F20"/>
              </w:rPr>
              <w:t>$</w:t>
            </w:r>
          </w:p>
        </w:tc>
        <w:tc>
          <w:tcPr>
            <w:tcW w:w="1120" w:type="dxa"/>
            <w:vAlign w:val="bottom"/>
            <w:tcBorders>
              <w:bottom w:val="single" w:sz="8" w:color="231F20"/>
              <w:right w:val="single" w:sz="8" w:color="231F20"/>
            </w:tcBorders>
          </w:tcPr>
          <w:p>
            <w:pPr>
              <w:jc w:val="right"/>
              <w:ind w:right="85"/>
              <w:spacing w:after="0" w:line="223" w:lineRule="exact"/>
              <w:rPr>
                <w:sz w:val="20"/>
                <w:szCs w:val="20"/>
                <w:color w:val="auto"/>
              </w:rPr>
            </w:pPr>
            <w:r>
              <w:rPr>
                <w:rFonts w:ascii="Arial" w:cs="Arial" w:eastAsia="Arial" w:hAnsi="Arial"/>
                <w:sz w:val="20"/>
                <w:szCs w:val="20"/>
                <w:color w:val="231F20"/>
              </w:rPr>
              <w:t>(92.8)</w:t>
            </w:r>
          </w:p>
        </w:tc>
        <w:tc>
          <w:tcPr>
            <w:tcW w:w="540" w:type="dxa"/>
            <w:vAlign w:val="bottom"/>
            <w:tcBorders>
              <w:bottom w:val="single" w:sz="8" w:color="231F20"/>
            </w:tcBorders>
          </w:tcPr>
          <w:p>
            <w:pPr>
              <w:jc w:val="right"/>
              <w:ind w:right="199"/>
              <w:spacing w:after="0" w:line="223" w:lineRule="exact"/>
              <w:rPr>
                <w:sz w:val="20"/>
                <w:szCs w:val="20"/>
                <w:color w:val="auto"/>
              </w:rPr>
            </w:pPr>
            <w:r>
              <w:rPr>
                <w:rFonts w:ascii="Arial" w:cs="Arial" w:eastAsia="Arial" w:hAnsi="Arial"/>
                <w:sz w:val="20"/>
                <w:szCs w:val="20"/>
                <w:color w:val="231F20"/>
              </w:rPr>
              <w:t>$</w:t>
            </w:r>
          </w:p>
        </w:tc>
        <w:tc>
          <w:tcPr>
            <w:tcW w:w="9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(119.8)</w:t>
            </w:r>
          </w:p>
        </w:tc>
      </w:tr>
    </w:tbl>
    <w:p>
      <w:pPr>
        <w:spacing w:after="0" w:line="192" w:lineRule="exact"/>
        <w:rPr>
          <w:sz w:val="20"/>
          <w:szCs w:val="20"/>
          <w:color w:val="auto"/>
        </w:rPr>
      </w:pPr>
    </w:p>
    <w:p>
      <w:pPr>
        <w:ind w:right="220"/>
        <w:spacing w:after="0" w:line="245" w:lineRule="auto"/>
        <w:rPr>
          <w:sz w:val="20"/>
          <w:szCs w:val="20"/>
          <w:color w:val="auto"/>
        </w:rPr>
      </w:pPr>
      <w:r>
        <w:rPr>
          <w:rFonts w:ascii="Arial" w:cs="Arial" w:eastAsia="Arial" w:hAnsi="Arial"/>
          <w:sz w:val="20"/>
          <w:szCs w:val="20"/>
          <w:color w:val="231F20"/>
        </w:rPr>
        <w:t>As of December 30, 2023 and December 31, 2022, the Company had deferred tax assets related to net operating losses and other tax carryforwards of $27.5 million and $23.5 million, respectively. Approximately $4.5 million expires between 2024 and 2028, and the remainder will expire in 2029 and thereafter.</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231F20"/>
        </w:rPr>
        <w:t>The Company has provided a valuation allowance to reduce the carrying value of certain deferred tax assets. The valuation allowance is $15.1 million in 2023 and $13.8 million in 2022. Management has concluded that, based on the available evidence, it is more likely than not that the deferred tax assets will not be fully realized.</w:t>
      </w:r>
    </w:p>
    <w:p>
      <w:pPr>
        <w:spacing w:after="0" w:line="178"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231F20"/>
        </w:rPr>
        <w:t>Accumulated foreign earnings and profits of the Company’s foreign subsidiaries as of December 31, 2017, were subject to a deemed repatriation tax and should not be subject to additional U.S. federal income tax upon an actual repatriation of these earnings. As of December 30, 2023, the Company has recorded an estimated deferred tax liability of $0.6 million for taxes that will be payable upon distribution of these earnings.</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83</w:t>
      </w:r>
    </w:p>
    <w:p>
      <w:pPr>
        <w:sectPr>
          <w:pgSz w:w="12240" w:h="15840" w:orient="portrait"/>
          <w:cols w:equalWidth="0" w:num="1">
            <w:col w:w="9460"/>
          </w:cols>
          <w:pgMar w:left="1380" w:top="1346" w:right="1400" w:bottom="95" w:gutter="0" w:footer="0" w:header="0"/>
          <w:type w:val="continuous"/>
        </w:sectPr>
      </w:pPr>
    </w:p>
    <w:bookmarkStart w:id="91" w:name="page92"/>
    <w:bookmarkEnd w:id="91"/>
    <w:p>
      <w:pPr>
        <w:ind w:right="80"/>
        <w:spacing w:after="0" w:line="254" w:lineRule="auto"/>
        <w:rPr>
          <w:sz w:val="20"/>
          <w:szCs w:val="20"/>
          <w:color w:val="auto"/>
        </w:rPr>
      </w:pPr>
      <w:r>
        <w:rPr>
          <w:rFonts w:ascii="Arial" w:cs="Arial" w:eastAsia="Arial" w:hAnsi="Arial"/>
          <w:sz w:val="20"/>
          <w:szCs w:val="20"/>
          <w:color w:val="231F20"/>
        </w:rPr>
        <w:t>Subsequent to December 31, 2017, we consider the unremitted earnings of certain foreign subsidiaries that impose local country taxes on dividends to be indefinitely reinvested. We have not provided deferred taxes on the remaining book over tax outside basis difference of $242.3 million related to these subsidiaries. The amount of unrecognized deferred tax liabilities for local country withholding taxes that would be owed related to these earnings is $15.7 million.</w:t>
      </w:r>
    </w:p>
    <w:p>
      <w:pPr>
        <w:spacing w:after="0" w:line="124" w:lineRule="exact"/>
        <w:rPr>
          <w:sz w:val="20"/>
          <w:szCs w:val="20"/>
          <w:color w:val="auto"/>
        </w:rPr>
      </w:pPr>
    </w:p>
    <w:p>
      <w:pPr>
        <w:ind w:left="520" w:hanging="514"/>
        <w:spacing w:after="0"/>
        <w:tabs>
          <w:tab w:leader="none" w:pos="520" w:val="left"/>
        </w:tabs>
        <w:numPr>
          <w:ilvl w:val="0"/>
          <w:numId w:val="45"/>
        </w:numPr>
        <w:rPr>
          <w:rFonts w:ascii="Arial" w:cs="Arial" w:eastAsia="Arial" w:hAnsi="Arial"/>
          <w:sz w:val="20"/>
          <w:szCs w:val="20"/>
          <w:b w:val="1"/>
          <w:bCs w:val="1"/>
          <w:color w:val="231F20"/>
        </w:rPr>
      </w:pPr>
      <w:r>
        <w:rPr>
          <w:rFonts w:ascii="Arial" w:cs="Arial" w:eastAsia="Arial" w:hAnsi="Arial"/>
          <w:sz w:val="20"/>
          <w:szCs w:val="20"/>
          <w:b w:val="1"/>
          <w:bCs w:val="1"/>
          <w:color w:val="231F20"/>
        </w:rPr>
        <w:t>Restructuring and Other Charges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Pre-tax restructuring and other charges for the year ended December 30, 2023 were as follows: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640" w:type="dxa"/>
            <w:vAlign w:val="bottom"/>
            <w:tcBorders>
              <w:top w:val="single" w:sz="8" w:color="231F20"/>
              <w:bottom w:val="single" w:sz="8" w:color="231F20"/>
            </w:tcBorders>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1120" w:type="dxa"/>
            <w:vAlign w:val="bottom"/>
            <w:tcBorders>
              <w:top w:val="single" w:sz="8" w:color="231F20"/>
              <w:bottom w:val="single" w:sz="8" w:color="231F20"/>
            </w:tcBorders>
          </w:tcPr>
          <w:p>
            <w:pPr>
              <w:spacing w:after="0"/>
              <w:rPr>
                <w:sz w:val="16"/>
                <w:szCs w:val="16"/>
                <w:color w:val="auto"/>
              </w:rPr>
            </w:pPr>
          </w:p>
        </w:tc>
        <w:tc>
          <w:tcPr>
            <w:tcW w:w="2400" w:type="dxa"/>
            <w:vAlign w:val="bottom"/>
            <w:tcBorders>
              <w:top w:val="single" w:sz="8" w:color="231F20"/>
              <w:bottom w:val="single" w:sz="8" w:color="231F20"/>
            </w:tcBorders>
            <w:gridSpan w:val="4"/>
          </w:tcPr>
          <w:p>
            <w:pPr>
              <w:jc w:val="right"/>
              <w:ind w:right="123"/>
              <w:spacing w:after="0"/>
              <w:rPr>
                <w:sz w:val="20"/>
                <w:szCs w:val="20"/>
                <w:color w:val="auto"/>
              </w:rPr>
            </w:pPr>
            <w:r>
              <w:rPr>
                <w:rFonts w:ascii="Arial" w:cs="Arial" w:eastAsia="Arial" w:hAnsi="Arial"/>
                <w:sz w:val="15"/>
                <w:szCs w:val="15"/>
                <w:color w:val="231F20"/>
              </w:rPr>
              <w:t>Year Ended December 30, 2023</w:t>
            </w:r>
          </w:p>
        </w:tc>
        <w:tc>
          <w:tcPr>
            <w:tcW w:w="320" w:type="dxa"/>
            <w:vAlign w:val="bottom"/>
            <w:tcBorders>
              <w:top w:val="single" w:sz="8" w:color="231F20"/>
              <w:bottom w:val="single" w:sz="8" w:color="231F20"/>
            </w:tcBorders>
          </w:tcPr>
          <w:p>
            <w:pPr>
              <w:spacing w:after="0"/>
              <w:rPr>
                <w:sz w:val="16"/>
                <w:szCs w:val="16"/>
                <w:color w:val="auto"/>
              </w:rPr>
            </w:pPr>
          </w:p>
        </w:tc>
        <w:tc>
          <w:tcPr>
            <w:tcW w:w="800" w:type="dxa"/>
            <w:vAlign w:val="bottom"/>
            <w:tcBorders>
              <w:top w:val="single" w:sz="8" w:color="231F20"/>
              <w:bottom w:val="single" w:sz="8" w:color="231F20"/>
            </w:tcBorders>
          </w:tcPr>
          <w:p>
            <w:pPr>
              <w:spacing w:after="0"/>
              <w:rPr>
                <w:sz w:val="16"/>
                <w:szCs w:val="16"/>
                <w:color w:val="auto"/>
              </w:rPr>
            </w:pPr>
          </w:p>
        </w:tc>
      </w:tr>
      <w:tr>
        <w:trPr>
          <w:trHeight w:val="165"/>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right w:val="single" w:sz="8" w:color="231F20"/>
            </w:tcBorders>
          </w:tcPr>
          <w:p>
            <w:pPr>
              <w:spacing w:after="0"/>
              <w:rPr>
                <w:sz w:val="14"/>
                <w:szCs w:val="14"/>
                <w:color w:val="auto"/>
              </w:rPr>
            </w:pPr>
          </w:p>
        </w:tc>
        <w:tc>
          <w:tcPr>
            <w:tcW w:w="320" w:type="dxa"/>
            <w:vAlign w:val="bottom"/>
            <w:tcBorders>
              <w:bottom w:val="single" w:sz="8" w:color="231F20"/>
            </w:tcBorders>
          </w:tcPr>
          <w:p>
            <w:pPr>
              <w:spacing w:after="0"/>
              <w:rPr>
                <w:sz w:val="14"/>
                <w:szCs w:val="14"/>
                <w:color w:val="auto"/>
              </w:rPr>
            </w:pPr>
          </w:p>
        </w:tc>
        <w:tc>
          <w:tcPr>
            <w:tcW w:w="2080" w:type="dxa"/>
            <w:vAlign w:val="bottom"/>
            <w:tcBorders>
              <w:bottom w:val="single" w:sz="8" w:color="231F20"/>
              <w:right w:val="single" w:sz="8" w:color="231F20"/>
            </w:tcBorders>
            <w:gridSpan w:val="3"/>
          </w:tcPr>
          <w:p>
            <w:pPr>
              <w:jc w:val="right"/>
              <w:ind w:right="583"/>
              <w:spacing w:after="0" w:line="164" w:lineRule="exact"/>
              <w:rPr>
                <w:sz w:val="20"/>
                <w:szCs w:val="20"/>
                <w:color w:val="auto"/>
              </w:rPr>
            </w:pPr>
            <w:r>
              <w:rPr>
                <w:rFonts w:ascii="Arial" w:cs="Arial" w:eastAsia="Arial" w:hAnsi="Arial"/>
                <w:sz w:val="14"/>
                <w:szCs w:val="14"/>
                <w:color w:val="231F20"/>
              </w:rPr>
              <w:t xml:space="preserve">Other Charges </w:t>
            </w:r>
            <w:r>
              <w:rPr>
                <w:rFonts w:ascii="Arial" w:cs="Arial" w:eastAsia="Arial" w:hAnsi="Arial"/>
                <w:sz w:val="19"/>
                <w:szCs w:val="19"/>
                <w:color w:val="231F20"/>
                <w:vertAlign w:val="superscript"/>
              </w:rPr>
              <w:t>(a)</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0"/>
        </w:trPr>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right w:val="single" w:sz="8" w:color="231F20"/>
            </w:tcBorders>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ind w:right="30"/>
              <w:spacing w:after="0" w:line="150" w:lineRule="exact"/>
              <w:rPr>
                <w:sz w:val="20"/>
                <w:szCs w:val="20"/>
                <w:color w:val="auto"/>
              </w:rPr>
            </w:pPr>
            <w:r>
              <w:rPr>
                <w:rFonts w:ascii="Arial" w:cs="Arial" w:eastAsia="Arial" w:hAnsi="Arial"/>
                <w:sz w:val="15"/>
                <w:szCs w:val="15"/>
                <w:color w:val="231F20"/>
              </w:rPr>
              <w:t>Cost of</w:t>
            </w:r>
          </w:p>
        </w:tc>
        <w:tc>
          <w:tcPr>
            <w:tcW w:w="340" w:type="dxa"/>
            <w:vAlign w:val="bottom"/>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right w:val="single" w:sz="8" w:color="231F20"/>
            </w:tcBorders>
          </w:tcPr>
          <w:p>
            <w:pPr>
              <w:jc w:val="right"/>
              <w:ind w:right="126"/>
              <w:spacing w:after="0" w:line="157" w:lineRule="exact"/>
              <w:rPr>
                <w:sz w:val="20"/>
                <w:szCs w:val="20"/>
                <w:color w:val="auto"/>
              </w:rPr>
            </w:pPr>
            <w:r>
              <w:rPr>
                <w:rFonts w:ascii="Arial" w:cs="Arial" w:eastAsia="Arial" w:hAnsi="Arial"/>
                <w:sz w:val="15"/>
                <w:szCs w:val="15"/>
                <w:color w:val="231F20"/>
                <w:w w:val="98"/>
              </w:rPr>
              <w:t>Restructuring</w:t>
            </w:r>
          </w:p>
        </w:tc>
        <w:tc>
          <w:tcPr>
            <w:tcW w:w="320" w:type="dxa"/>
            <w:vAlign w:val="bottom"/>
          </w:tcPr>
          <w:p>
            <w:pPr>
              <w:spacing w:after="0"/>
              <w:rPr>
                <w:sz w:val="13"/>
                <w:szCs w:val="13"/>
                <w:color w:val="auto"/>
              </w:rPr>
            </w:pPr>
          </w:p>
        </w:tc>
        <w:tc>
          <w:tcPr>
            <w:tcW w:w="840" w:type="dxa"/>
            <w:vAlign w:val="bottom"/>
          </w:tcPr>
          <w:p>
            <w:pPr>
              <w:jc w:val="right"/>
              <w:ind w:right="30"/>
              <w:spacing w:after="0" w:line="157" w:lineRule="exact"/>
              <w:rPr>
                <w:sz w:val="20"/>
                <w:szCs w:val="20"/>
                <w:color w:val="auto"/>
              </w:rPr>
            </w:pPr>
            <w:r>
              <w:rPr>
                <w:rFonts w:ascii="Arial" w:cs="Arial" w:eastAsia="Arial" w:hAnsi="Arial"/>
                <w:sz w:val="15"/>
                <w:szCs w:val="15"/>
                <w:color w:val="231F20"/>
              </w:rPr>
              <w:t>Products</w:t>
            </w:r>
          </w:p>
        </w:tc>
        <w:tc>
          <w:tcPr>
            <w:tcW w:w="340" w:type="dxa"/>
            <w:vAlign w:val="bottom"/>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231F20"/>
              </w:rPr>
              <w:t>Total</w:t>
            </w:r>
          </w:p>
        </w:tc>
      </w:tr>
      <w:tr>
        <w:trPr>
          <w:trHeight w:val="207"/>
        </w:trPr>
        <w:tc>
          <w:tcPr>
            <w:tcW w:w="4640" w:type="dxa"/>
            <w:vAlign w:val="bottom"/>
            <w:tcBorders>
              <w:bottom w:val="single" w:sz="8" w:color="231F20"/>
            </w:tcBorders>
          </w:tcPr>
          <w:p>
            <w:pPr>
              <w:jc w:val="right"/>
              <w:spacing w:after="0" w:line="206"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1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right w:val="single" w:sz="8" w:color="231F20"/>
            </w:tcBorders>
          </w:tcPr>
          <w:p>
            <w:pPr>
              <w:jc w:val="right"/>
              <w:ind w:right="126"/>
              <w:spacing w:after="0"/>
              <w:rPr>
                <w:sz w:val="20"/>
                <w:szCs w:val="20"/>
                <w:color w:val="auto"/>
              </w:rPr>
            </w:pPr>
            <w:r>
              <w:rPr>
                <w:rFonts w:ascii="Arial" w:cs="Arial" w:eastAsia="Arial" w:hAnsi="Arial"/>
                <w:sz w:val="15"/>
                <w:szCs w:val="15"/>
                <w:color w:val="231F20"/>
              </w:rPr>
              <w:t>Charges</w:t>
            </w:r>
          </w:p>
        </w:tc>
        <w:tc>
          <w:tcPr>
            <w:tcW w:w="32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30"/>
              <w:spacing w:after="0"/>
              <w:rPr>
                <w:sz w:val="20"/>
                <w:szCs w:val="20"/>
                <w:color w:val="auto"/>
              </w:rPr>
            </w:pPr>
            <w:r>
              <w:rPr>
                <w:rFonts w:ascii="Arial" w:cs="Arial" w:eastAsia="Arial" w:hAnsi="Arial"/>
                <w:sz w:val="15"/>
                <w:szCs w:val="15"/>
                <w:color w:val="231F20"/>
              </w:rPr>
              <w:t>Sold</w:t>
            </w:r>
          </w:p>
        </w:tc>
        <w:tc>
          <w:tcPr>
            <w:tcW w:w="34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right w:val="single" w:sz="8" w:color="231F20"/>
            </w:tcBorders>
          </w:tcPr>
          <w:p>
            <w:pPr>
              <w:jc w:val="right"/>
              <w:ind w:right="103"/>
              <w:spacing w:after="0" w:line="207" w:lineRule="exact"/>
              <w:rPr>
                <w:sz w:val="20"/>
                <w:szCs w:val="20"/>
                <w:color w:val="auto"/>
              </w:rPr>
            </w:pPr>
            <w:r>
              <w:rPr>
                <w:rFonts w:ascii="Arial" w:cs="Arial" w:eastAsia="Arial" w:hAnsi="Arial"/>
                <w:sz w:val="15"/>
                <w:szCs w:val="15"/>
                <w:color w:val="231F20"/>
              </w:rPr>
              <w:t>SG&amp;A</w:t>
            </w:r>
            <w:r>
              <w:rPr>
                <w:rFonts w:ascii="Arial" w:cs="Arial" w:eastAsia="Arial" w:hAnsi="Arial"/>
                <w:sz w:val="20"/>
                <w:szCs w:val="20"/>
                <w:color w:val="231F20"/>
                <w:vertAlign w:val="superscript"/>
              </w:rPr>
              <w:t>(b)</w:t>
            </w:r>
          </w:p>
        </w:tc>
        <w:tc>
          <w:tcPr>
            <w:tcW w:w="32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Charges</w:t>
            </w:r>
          </w:p>
        </w:tc>
      </w:tr>
      <w:tr>
        <w:trPr>
          <w:trHeight w:val="202"/>
        </w:trPr>
        <w:tc>
          <w:tcPr>
            <w:tcW w:w="4640" w:type="dxa"/>
            <w:vAlign w:val="bottom"/>
          </w:tcPr>
          <w:p>
            <w:pPr>
              <w:jc w:val="right"/>
              <w:spacing w:after="0" w:line="202" w:lineRule="exact"/>
              <w:rPr>
                <w:sz w:val="20"/>
                <w:szCs w:val="20"/>
                <w:color w:val="auto"/>
              </w:rPr>
            </w:pPr>
            <w:r>
              <w:rPr>
                <w:rFonts w:ascii="Arial" w:cs="Arial" w:eastAsia="Arial" w:hAnsi="Arial"/>
                <w:sz w:val="20"/>
                <w:szCs w:val="20"/>
                <w:color w:val="231F20"/>
              </w:rPr>
              <w:t xml:space="preserve">Water </w:t>
            </w:r>
            <w:r>
              <w:rPr>
                <w:rFonts w:ascii="Times New Roman" w:cs="Times New Roman" w:eastAsia="Times New Roman" w:hAnsi="Times New Roman"/>
                <w:sz w:val="20"/>
                <w:szCs w:val="20"/>
                <w:color w:val="231F20"/>
              </w:rPr>
              <w:t>...............................................................................</w:t>
            </w:r>
          </w:p>
        </w:tc>
        <w:tc>
          <w:tcPr>
            <w:tcW w:w="16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1120" w:type="dxa"/>
            <w:vAlign w:val="bottom"/>
            <w:tcBorders>
              <w:right w:val="single" w:sz="8" w:color="231F20"/>
            </w:tcBorders>
          </w:tcPr>
          <w:p>
            <w:pPr>
              <w:jc w:val="right"/>
              <w:ind w:right="126"/>
              <w:spacing w:after="0" w:line="203" w:lineRule="exact"/>
              <w:rPr>
                <w:sz w:val="20"/>
                <w:szCs w:val="20"/>
                <w:color w:val="auto"/>
              </w:rPr>
            </w:pPr>
            <w:r>
              <w:rPr>
                <w:rFonts w:ascii="Arial" w:cs="Arial" w:eastAsia="Arial" w:hAnsi="Arial"/>
                <w:sz w:val="20"/>
                <w:szCs w:val="20"/>
                <w:color w:val="231F20"/>
              </w:rPr>
              <w:t>2.2</w:t>
            </w:r>
          </w:p>
        </w:tc>
        <w:tc>
          <w:tcPr>
            <w:tcW w:w="320" w:type="dxa"/>
            <w:vAlign w:val="bottom"/>
          </w:tcPr>
          <w:p>
            <w:pPr>
              <w:jc w:val="right"/>
              <w:ind w:right="27"/>
              <w:spacing w:after="0" w:line="203" w:lineRule="exact"/>
              <w:rPr>
                <w:sz w:val="20"/>
                <w:szCs w:val="20"/>
                <w:color w:val="auto"/>
              </w:rPr>
            </w:pPr>
            <w:r>
              <w:rPr>
                <w:rFonts w:ascii="Arial" w:cs="Arial" w:eastAsia="Arial" w:hAnsi="Arial"/>
                <w:sz w:val="20"/>
                <w:szCs w:val="20"/>
                <w:color w:val="231F20"/>
              </w:rPr>
              <w:t>$</w:t>
            </w:r>
          </w:p>
        </w:tc>
        <w:tc>
          <w:tcPr>
            <w:tcW w:w="840" w:type="dxa"/>
            <w:vAlign w:val="bottom"/>
          </w:tcPr>
          <w:p>
            <w:pPr>
              <w:jc w:val="right"/>
              <w:ind w:right="30"/>
              <w:spacing w:after="0" w:line="203" w:lineRule="exact"/>
              <w:rPr>
                <w:sz w:val="20"/>
                <w:szCs w:val="20"/>
                <w:color w:val="auto"/>
              </w:rPr>
            </w:pPr>
            <w:r>
              <w:rPr>
                <w:rFonts w:ascii="Arial" w:cs="Arial" w:eastAsia="Arial" w:hAnsi="Arial"/>
                <w:sz w:val="20"/>
                <w:szCs w:val="20"/>
                <w:color w:val="231F20"/>
              </w:rPr>
              <w:t>2.6</w:t>
            </w:r>
          </w:p>
        </w:tc>
        <w:tc>
          <w:tcPr>
            <w:tcW w:w="340" w:type="dxa"/>
            <w:vAlign w:val="bottom"/>
          </w:tcPr>
          <w:p>
            <w:pPr>
              <w:jc w:val="right"/>
              <w:ind w:right="59"/>
              <w:spacing w:after="0" w:line="203" w:lineRule="exact"/>
              <w:rPr>
                <w:sz w:val="20"/>
                <w:szCs w:val="20"/>
                <w:color w:val="auto"/>
              </w:rPr>
            </w:pPr>
            <w:r>
              <w:rPr>
                <w:rFonts w:ascii="Arial" w:cs="Arial" w:eastAsia="Arial" w:hAnsi="Arial"/>
                <w:sz w:val="20"/>
                <w:szCs w:val="20"/>
                <w:color w:val="231F20"/>
              </w:rPr>
              <w:t>$</w:t>
            </w:r>
          </w:p>
        </w:tc>
        <w:tc>
          <w:tcPr>
            <w:tcW w:w="900" w:type="dxa"/>
            <w:vAlign w:val="bottom"/>
            <w:tcBorders>
              <w:right w:val="single" w:sz="8" w:color="231F20"/>
            </w:tcBorders>
          </w:tcPr>
          <w:p>
            <w:pPr>
              <w:jc w:val="right"/>
              <w:ind w:right="103"/>
              <w:spacing w:after="0" w:line="203" w:lineRule="exact"/>
              <w:rPr>
                <w:sz w:val="20"/>
                <w:szCs w:val="20"/>
                <w:color w:val="auto"/>
              </w:rPr>
            </w:pPr>
            <w:r>
              <w:rPr>
                <w:rFonts w:ascii="Arial" w:cs="Arial" w:eastAsia="Arial" w:hAnsi="Arial"/>
                <w:sz w:val="20"/>
                <w:szCs w:val="20"/>
                <w:color w:val="231F20"/>
              </w:rPr>
              <w:t>—</w:t>
            </w:r>
          </w:p>
        </w:tc>
        <w:tc>
          <w:tcPr>
            <w:tcW w:w="320" w:type="dxa"/>
            <w:vAlign w:val="bottom"/>
          </w:tcPr>
          <w:p>
            <w:pPr>
              <w:jc w:val="right"/>
              <w:ind w:right="19"/>
              <w:spacing w:after="0" w:line="203" w:lineRule="exact"/>
              <w:rPr>
                <w:sz w:val="20"/>
                <w:szCs w:val="20"/>
                <w:color w:val="auto"/>
              </w:rPr>
            </w:pPr>
            <w:r>
              <w:rPr>
                <w:rFonts w:ascii="Arial" w:cs="Arial" w:eastAsia="Arial" w:hAnsi="Arial"/>
                <w:sz w:val="20"/>
                <w:szCs w:val="20"/>
                <w:color w:val="231F20"/>
              </w:rPr>
              <w:t>$</w:t>
            </w:r>
          </w:p>
        </w:tc>
        <w:tc>
          <w:tcPr>
            <w:tcW w:w="800" w:type="dxa"/>
            <w:vAlign w:val="bottom"/>
          </w:tcPr>
          <w:p>
            <w:pPr>
              <w:jc w:val="right"/>
              <w:spacing w:after="0" w:line="203" w:lineRule="exact"/>
              <w:rPr>
                <w:sz w:val="20"/>
                <w:szCs w:val="20"/>
                <w:color w:val="auto"/>
              </w:rPr>
            </w:pPr>
            <w:r>
              <w:rPr>
                <w:rFonts w:ascii="Arial" w:cs="Arial" w:eastAsia="Arial" w:hAnsi="Arial"/>
                <w:sz w:val="20"/>
                <w:szCs w:val="20"/>
                <w:color w:val="231F20"/>
              </w:rPr>
              <w:t>4.8</w:t>
            </w:r>
          </w:p>
        </w:tc>
      </w:tr>
      <w:tr>
        <w:trPr>
          <w:trHeight w:val="233"/>
        </w:trPr>
        <w:tc>
          <w:tcPr>
            <w:tcW w:w="4640" w:type="dxa"/>
            <w:vAlign w:val="bottom"/>
          </w:tcPr>
          <w:p>
            <w:pPr>
              <w:jc w:val="right"/>
              <w:spacing w:after="0"/>
              <w:rPr>
                <w:sz w:val="20"/>
                <w:szCs w:val="20"/>
                <w:color w:val="auto"/>
              </w:rPr>
            </w:pPr>
            <w:r>
              <w:rPr>
                <w:rFonts w:ascii="Arial" w:cs="Arial" w:eastAsia="Arial" w:hAnsi="Arial"/>
                <w:sz w:val="20"/>
                <w:szCs w:val="20"/>
                <w:color w:val="231F20"/>
              </w:rPr>
              <w:t>Outdoors</w:t>
            </w: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1120" w:type="dxa"/>
            <w:vAlign w:val="bottom"/>
            <w:tcBorders>
              <w:right w:val="single" w:sz="8" w:color="231F20"/>
            </w:tcBorders>
          </w:tcPr>
          <w:p>
            <w:pPr>
              <w:jc w:val="right"/>
              <w:ind w:right="126"/>
              <w:spacing w:after="0"/>
              <w:rPr>
                <w:sz w:val="20"/>
                <w:szCs w:val="20"/>
                <w:color w:val="auto"/>
              </w:rPr>
            </w:pPr>
            <w:r>
              <w:rPr>
                <w:rFonts w:ascii="Arial" w:cs="Arial" w:eastAsia="Arial" w:hAnsi="Arial"/>
                <w:sz w:val="20"/>
                <w:szCs w:val="20"/>
                <w:color w:val="231F20"/>
              </w:rPr>
              <w:t>4.2</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(0.1)</w:t>
            </w:r>
          </w:p>
        </w:tc>
        <w:tc>
          <w:tcPr>
            <w:tcW w:w="340" w:type="dxa"/>
            <w:vAlign w:val="bottom"/>
          </w:tcPr>
          <w:p>
            <w:pPr>
              <w:spacing w:after="0"/>
              <w:rPr>
                <w:sz w:val="20"/>
                <w:szCs w:val="20"/>
                <w:color w:val="auto"/>
              </w:rPr>
            </w:pPr>
          </w:p>
        </w:tc>
        <w:tc>
          <w:tcPr>
            <w:tcW w:w="900" w:type="dxa"/>
            <w:vAlign w:val="bottom"/>
            <w:tcBorders>
              <w:right w:val="single" w:sz="8" w:color="231F20"/>
            </w:tcBorders>
          </w:tcPr>
          <w:p>
            <w:pPr>
              <w:jc w:val="right"/>
              <w:ind w:right="103"/>
              <w:spacing w:after="0"/>
              <w:rPr>
                <w:sz w:val="20"/>
                <w:szCs w:val="20"/>
                <w:color w:val="auto"/>
              </w:rPr>
            </w:pPr>
            <w:r>
              <w:rPr>
                <w:rFonts w:ascii="Arial" w:cs="Arial" w:eastAsia="Arial" w:hAnsi="Arial"/>
                <w:sz w:val="20"/>
                <w:szCs w:val="20"/>
                <w:color w:val="231F20"/>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4.1</w:t>
            </w:r>
          </w:p>
        </w:tc>
      </w:tr>
      <w:tr>
        <w:trPr>
          <w:trHeight w:val="233"/>
        </w:trPr>
        <w:tc>
          <w:tcPr>
            <w:tcW w:w="4640" w:type="dxa"/>
            <w:vAlign w:val="bottom"/>
          </w:tcPr>
          <w:p>
            <w:pPr>
              <w:jc w:val="right"/>
              <w:spacing w:after="0"/>
              <w:rPr>
                <w:sz w:val="20"/>
                <w:szCs w:val="20"/>
                <w:color w:val="auto"/>
              </w:rPr>
            </w:pPr>
            <w:r>
              <w:rPr>
                <w:rFonts w:ascii="Arial" w:cs="Arial" w:eastAsia="Arial" w:hAnsi="Arial"/>
                <w:sz w:val="20"/>
                <w:szCs w:val="20"/>
                <w:color w:val="231F20"/>
              </w:rPr>
              <w:t>Security</w:t>
            </w: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1120" w:type="dxa"/>
            <w:vAlign w:val="bottom"/>
            <w:tcBorders>
              <w:right w:val="single" w:sz="8" w:color="231F20"/>
            </w:tcBorders>
          </w:tcPr>
          <w:p>
            <w:pPr>
              <w:jc w:val="right"/>
              <w:ind w:right="126"/>
              <w:spacing w:after="0"/>
              <w:rPr>
                <w:sz w:val="20"/>
                <w:szCs w:val="20"/>
                <w:color w:val="auto"/>
              </w:rPr>
            </w:pPr>
            <w:r>
              <w:rPr>
                <w:rFonts w:ascii="Arial" w:cs="Arial" w:eastAsia="Arial" w:hAnsi="Arial"/>
                <w:sz w:val="20"/>
                <w:szCs w:val="20"/>
                <w:color w:val="231F20"/>
              </w:rPr>
              <w:t>25.4</w:t>
            </w:r>
          </w:p>
        </w:tc>
        <w:tc>
          <w:tcPr>
            <w:tcW w:w="32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20"/>
                <w:szCs w:val="20"/>
                <w:color w:val="231F20"/>
              </w:rPr>
              <w:t>19.2</w:t>
            </w:r>
          </w:p>
        </w:tc>
        <w:tc>
          <w:tcPr>
            <w:tcW w:w="340" w:type="dxa"/>
            <w:vAlign w:val="bottom"/>
          </w:tcPr>
          <w:p>
            <w:pPr>
              <w:spacing w:after="0"/>
              <w:rPr>
                <w:sz w:val="20"/>
                <w:szCs w:val="20"/>
                <w:color w:val="auto"/>
              </w:rPr>
            </w:pPr>
          </w:p>
        </w:tc>
        <w:tc>
          <w:tcPr>
            <w:tcW w:w="900" w:type="dxa"/>
            <w:vAlign w:val="bottom"/>
            <w:tcBorders>
              <w:right w:val="single" w:sz="8" w:color="231F20"/>
            </w:tcBorders>
          </w:tcPr>
          <w:p>
            <w:pPr>
              <w:jc w:val="right"/>
              <w:ind w:right="103"/>
              <w:spacing w:after="0"/>
              <w:rPr>
                <w:sz w:val="20"/>
                <w:szCs w:val="20"/>
                <w:color w:val="auto"/>
              </w:rPr>
            </w:pPr>
            <w:r>
              <w:rPr>
                <w:rFonts w:ascii="Arial" w:cs="Arial" w:eastAsia="Arial" w:hAnsi="Arial"/>
                <w:sz w:val="20"/>
                <w:szCs w:val="20"/>
                <w:color w:val="231F20"/>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44.6</w:t>
            </w:r>
          </w:p>
        </w:tc>
      </w:tr>
      <w:tr>
        <w:trPr>
          <w:trHeight w:val="253"/>
        </w:trPr>
        <w:tc>
          <w:tcPr>
            <w:tcW w:w="46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Corporate </w:t>
            </w:r>
            <w:r>
              <w:rPr>
                <w:rFonts w:ascii="Times New Roman" w:cs="Times New Roman" w:eastAsia="Times New Roman" w:hAnsi="Times New Roman"/>
                <w:sz w:val="20"/>
                <w:szCs w:val="20"/>
                <w:color w:val="231F20"/>
              </w:rPr>
              <w:t>........................................................................</w:t>
            </w:r>
          </w:p>
        </w:tc>
        <w:tc>
          <w:tcPr>
            <w:tcW w:w="16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right w:val="single" w:sz="8" w:color="231F20"/>
            </w:tcBorders>
          </w:tcPr>
          <w:p>
            <w:pPr>
              <w:jc w:val="right"/>
              <w:ind w:right="126"/>
              <w:spacing w:after="0"/>
              <w:rPr>
                <w:sz w:val="20"/>
                <w:szCs w:val="20"/>
                <w:color w:val="auto"/>
              </w:rPr>
            </w:pPr>
            <w:r>
              <w:rPr>
                <w:rFonts w:ascii="Arial" w:cs="Arial" w:eastAsia="Arial" w:hAnsi="Arial"/>
                <w:sz w:val="20"/>
                <w:szCs w:val="20"/>
                <w:color w:val="231F20"/>
              </w:rPr>
              <w:t>0.7</w:t>
            </w:r>
          </w:p>
        </w:tc>
        <w:tc>
          <w:tcPr>
            <w:tcW w:w="32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ind w:right="30"/>
              <w:spacing w:after="0"/>
              <w:rPr>
                <w:sz w:val="20"/>
                <w:szCs w:val="20"/>
                <w:color w:val="auto"/>
              </w:rPr>
            </w:pPr>
            <w:r>
              <w:rPr>
                <w:rFonts w:ascii="Arial" w:cs="Arial" w:eastAsia="Arial" w:hAnsi="Arial"/>
                <w:sz w:val="20"/>
                <w:szCs w:val="20"/>
                <w:color w:val="231F20"/>
              </w:rPr>
              <w:t>—</w:t>
            </w:r>
          </w:p>
        </w:tc>
        <w:tc>
          <w:tcPr>
            <w:tcW w:w="34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right w:val="single" w:sz="8" w:color="231F20"/>
            </w:tcBorders>
          </w:tcPr>
          <w:p>
            <w:pPr>
              <w:jc w:val="right"/>
              <w:ind w:right="103"/>
              <w:spacing w:after="0"/>
              <w:rPr>
                <w:sz w:val="20"/>
                <w:szCs w:val="20"/>
                <w:color w:val="auto"/>
              </w:rPr>
            </w:pPr>
            <w:r>
              <w:rPr>
                <w:rFonts w:ascii="Arial" w:cs="Arial" w:eastAsia="Arial" w:hAnsi="Arial"/>
                <w:sz w:val="20"/>
                <w:szCs w:val="20"/>
                <w:color w:val="231F20"/>
              </w:rPr>
              <w:t>—</w:t>
            </w:r>
          </w:p>
        </w:tc>
        <w:tc>
          <w:tcPr>
            <w:tcW w:w="32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0.7</w:t>
            </w:r>
          </w:p>
        </w:tc>
      </w:tr>
      <w:tr>
        <w:trPr>
          <w:trHeight w:val="248"/>
        </w:trPr>
        <w:tc>
          <w:tcPr>
            <w:tcW w:w="46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Total </w:t>
            </w:r>
            <w:r>
              <w:rPr>
                <w:rFonts w:ascii="Times New Roman" w:cs="Times New Roman" w:eastAsia="Times New Roman" w:hAnsi="Times New Roman"/>
                <w:sz w:val="20"/>
                <w:szCs w:val="20"/>
                <w:color w:val="231F20"/>
              </w:rPr>
              <w:t>..............................................................................</w:t>
            </w:r>
          </w:p>
        </w:tc>
        <w:tc>
          <w:tcPr>
            <w:tcW w:w="1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120" w:type="dxa"/>
            <w:vAlign w:val="bottom"/>
            <w:tcBorders>
              <w:bottom w:val="single" w:sz="8" w:color="231F20"/>
              <w:right w:val="single" w:sz="8" w:color="231F20"/>
            </w:tcBorders>
          </w:tcPr>
          <w:p>
            <w:pPr>
              <w:jc w:val="right"/>
              <w:ind w:right="126"/>
              <w:spacing w:after="0" w:line="223" w:lineRule="exact"/>
              <w:rPr>
                <w:sz w:val="20"/>
                <w:szCs w:val="20"/>
                <w:color w:val="auto"/>
              </w:rPr>
            </w:pPr>
            <w:r>
              <w:rPr>
                <w:rFonts w:ascii="Arial" w:cs="Arial" w:eastAsia="Arial" w:hAnsi="Arial"/>
                <w:sz w:val="20"/>
                <w:szCs w:val="20"/>
                <w:color w:val="231F20"/>
              </w:rPr>
              <w:t>32.5</w:t>
            </w:r>
          </w:p>
        </w:tc>
        <w:tc>
          <w:tcPr>
            <w:tcW w:w="320" w:type="dxa"/>
            <w:vAlign w:val="bottom"/>
            <w:tcBorders>
              <w:bottom w:val="single" w:sz="8" w:color="231F20"/>
            </w:tcBorders>
          </w:tcPr>
          <w:p>
            <w:pPr>
              <w:jc w:val="right"/>
              <w:ind w:right="27"/>
              <w:spacing w:after="0" w:line="223" w:lineRule="exact"/>
              <w:rPr>
                <w:sz w:val="20"/>
                <w:szCs w:val="20"/>
                <w:color w:val="auto"/>
              </w:rPr>
            </w:pPr>
            <w:r>
              <w:rPr>
                <w:rFonts w:ascii="Arial" w:cs="Arial" w:eastAsia="Arial" w:hAnsi="Arial"/>
                <w:sz w:val="20"/>
                <w:szCs w:val="20"/>
                <w:color w:val="231F20"/>
              </w:rPr>
              <w:t>$</w:t>
            </w:r>
          </w:p>
        </w:tc>
        <w:tc>
          <w:tcPr>
            <w:tcW w:w="840" w:type="dxa"/>
            <w:vAlign w:val="bottom"/>
            <w:tcBorders>
              <w:bottom w:val="single" w:sz="8" w:color="231F20"/>
            </w:tcBorders>
          </w:tcPr>
          <w:p>
            <w:pPr>
              <w:jc w:val="right"/>
              <w:ind w:right="30"/>
              <w:spacing w:after="0" w:line="223" w:lineRule="exact"/>
              <w:rPr>
                <w:sz w:val="20"/>
                <w:szCs w:val="20"/>
                <w:color w:val="auto"/>
              </w:rPr>
            </w:pPr>
            <w:r>
              <w:rPr>
                <w:rFonts w:ascii="Arial" w:cs="Arial" w:eastAsia="Arial" w:hAnsi="Arial"/>
                <w:sz w:val="20"/>
                <w:szCs w:val="20"/>
                <w:color w:val="231F20"/>
              </w:rPr>
              <w:t>21.7</w:t>
            </w:r>
          </w:p>
        </w:tc>
        <w:tc>
          <w:tcPr>
            <w:tcW w:w="340" w:type="dxa"/>
            <w:vAlign w:val="bottom"/>
            <w:tcBorders>
              <w:bottom w:val="single" w:sz="8" w:color="231F20"/>
            </w:tcBorders>
          </w:tcPr>
          <w:p>
            <w:pPr>
              <w:jc w:val="right"/>
              <w:ind w:right="59"/>
              <w:spacing w:after="0" w:line="223" w:lineRule="exact"/>
              <w:rPr>
                <w:sz w:val="20"/>
                <w:szCs w:val="20"/>
                <w:color w:val="auto"/>
              </w:rPr>
            </w:pPr>
            <w:r>
              <w:rPr>
                <w:rFonts w:ascii="Arial" w:cs="Arial" w:eastAsia="Arial" w:hAnsi="Arial"/>
                <w:sz w:val="20"/>
                <w:szCs w:val="20"/>
                <w:color w:val="231F20"/>
              </w:rPr>
              <w:t>$</w:t>
            </w:r>
          </w:p>
        </w:tc>
        <w:tc>
          <w:tcPr>
            <w:tcW w:w="900" w:type="dxa"/>
            <w:vAlign w:val="bottom"/>
            <w:tcBorders>
              <w:bottom w:val="single" w:sz="8" w:color="231F20"/>
              <w:right w:val="single" w:sz="8" w:color="231F20"/>
            </w:tcBorders>
          </w:tcPr>
          <w:p>
            <w:pPr>
              <w:jc w:val="right"/>
              <w:ind w:right="103"/>
              <w:spacing w:after="0" w:line="223" w:lineRule="exact"/>
              <w:rPr>
                <w:sz w:val="20"/>
                <w:szCs w:val="20"/>
                <w:color w:val="auto"/>
              </w:rPr>
            </w:pPr>
            <w:r>
              <w:rPr>
                <w:rFonts w:ascii="Arial" w:cs="Arial" w:eastAsia="Arial" w:hAnsi="Arial"/>
                <w:sz w:val="20"/>
                <w:szCs w:val="20"/>
                <w:color w:val="231F20"/>
              </w:rPr>
              <w:t>—</w:t>
            </w:r>
          </w:p>
        </w:tc>
        <w:tc>
          <w:tcPr>
            <w:tcW w:w="320" w:type="dxa"/>
            <w:vAlign w:val="bottom"/>
            <w:tcBorders>
              <w:bottom w:val="single" w:sz="8" w:color="231F20"/>
            </w:tcBorders>
          </w:tcPr>
          <w:p>
            <w:pPr>
              <w:jc w:val="right"/>
              <w:ind w:right="19"/>
              <w:spacing w:after="0" w:line="223" w:lineRule="exact"/>
              <w:rPr>
                <w:sz w:val="20"/>
                <w:szCs w:val="20"/>
                <w:color w:val="auto"/>
              </w:rPr>
            </w:pPr>
            <w:r>
              <w:rPr>
                <w:rFonts w:ascii="Arial" w:cs="Arial" w:eastAsia="Arial" w:hAnsi="Arial"/>
                <w:sz w:val="20"/>
                <w:szCs w:val="20"/>
                <w:color w:val="231F20"/>
              </w:rPr>
              <w:t>$</w:t>
            </w:r>
          </w:p>
        </w:tc>
        <w:tc>
          <w:tcPr>
            <w:tcW w:w="8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54.2</w:t>
            </w:r>
          </w:p>
        </w:tc>
      </w:tr>
    </w:tbl>
    <w:p>
      <w:pPr>
        <w:spacing w:after="0" w:line="108" w:lineRule="exact"/>
        <w:rPr>
          <w:sz w:val="20"/>
          <w:szCs w:val="20"/>
          <w:color w:val="auto"/>
        </w:rPr>
      </w:pPr>
    </w:p>
    <w:p>
      <w:pPr>
        <w:jc w:val="both"/>
        <w:ind w:left="320" w:right="200" w:hanging="314"/>
        <w:spacing w:after="0" w:line="247" w:lineRule="auto"/>
        <w:tabs>
          <w:tab w:leader="none" w:pos="320" w:val="left"/>
        </w:tabs>
        <w:numPr>
          <w:ilvl w:val="0"/>
          <w:numId w:val="46"/>
        </w:numPr>
        <w:rPr>
          <w:rFonts w:ascii="Arial" w:cs="Arial" w:eastAsia="Arial" w:hAnsi="Arial"/>
          <w:sz w:val="10"/>
          <w:szCs w:val="10"/>
          <w:i w:val="1"/>
          <w:iCs w:val="1"/>
          <w:color w:val="231F20"/>
        </w:rPr>
      </w:pPr>
      <w:r>
        <w:rPr>
          <w:rFonts w:ascii="Arial" w:cs="Arial" w:eastAsia="Arial" w:hAnsi="Arial"/>
          <w:sz w:val="16"/>
          <w:szCs w:val="16"/>
          <w:i w:val="1"/>
          <w:iCs w:val="1"/>
          <w:color w:val="231F20"/>
        </w:rPr>
        <w:t>“Other Charges” represent charges or gains directly related to restructuring initiatives that cannot be reported as restructuring under GAAP. Such charges or gains may include losses on disposal of inventories, trade receivables allowances from exiting product lines, write-off of displays from exiting a customer relationship, accelerated depreciation resulting from the closure of facilities, and gains and losses on the sale of previously closed facilities.</w:t>
      </w:r>
    </w:p>
    <w:p>
      <w:pPr>
        <w:ind w:left="320" w:hanging="314"/>
        <w:spacing w:after="0"/>
        <w:tabs>
          <w:tab w:leader="none" w:pos="320" w:val="left"/>
        </w:tabs>
        <w:numPr>
          <w:ilvl w:val="0"/>
          <w:numId w:val="46"/>
        </w:numPr>
        <w:rPr>
          <w:rFonts w:ascii="Arial" w:cs="Arial" w:eastAsia="Arial" w:hAnsi="Arial"/>
          <w:sz w:val="10"/>
          <w:szCs w:val="10"/>
          <w:i w:val="1"/>
          <w:iCs w:val="1"/>
          <w:color w:val="231F20"/>
        </w:rPr>
      </w:pPr>
      <w:r>
        <w:rPr>
          <w:rFonts w:ascii="Arial" w:cs="Arial" w:eastAsia="Arial" w:hAnsi="Arial"/>
          <w:sz w:val="16"/>
          <w:szCs w:val="16"/>
          <w:i w:val="1"/>
          <w:iCs w:val="1"/>
          <w:color w:val="231F20"/>
        </w:rPr>
        <w:t>Selling, general and administrative expenses.</w:t>
      </w:r>
    </w:p>
    <w:p>
      <w:pPr>
        <w:spacing w:after="0" w:line="160" w:lineRule="exact"/>
        <w:rPr>
          <w:sz w:val="20"/>
          <w:szCs w:val="20"/>
          <w:color w:val="auto"/>
        </w:rPr>
      </w:pPr>
    </w:p>
    <w:p>
      <w:pPr>
        <w:ind w:right="160"/>
        <w:spacing w:after="0" w:line="287" w:lineRule="auto"/>
        <w:rPr>
          <w:sz w:val="20"/>
          <w:szCs w:val="20"/>
          <w:color w:val="auto"/>
        </w:rPr>
      </w:pPr>
      <w:r>
        <w:rPr>
          <w:rFonts w:ascii="Arial" w:cs="Arial" w:eastAsia="Arial" w:hAnsi="Arial"/>
          <w:sz w:val="20"/>
          <w:szCs w:val="20"/>
          <w:color w:val="231F20"/>
        </w:rPr>
        <w:t>Restructuring and other charges in 2023 are largely related to costs associated with the planned closure of a manufacturing facility within our Security segment and headcount actions across all segments.</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231F20"/>
        </w:rPr>
        <w:t>Pre-tax restructuring and other charges for the year ended December 31, 2022 were as follows: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640" w:type="dxa"/>
            <w:vAlign w:val="bottom"/>
            <w:tcBorders>
              <w:top w:val="single" w:sz="8" w:color="231F20"/>
              <w:bottom w:val="single" w:sz="8" w:color="231F20"/>
            </w:tcBorders>
          </w:tcPr>
          <w:p>
            <w:pPr>
              <w:spacing w:after="0"/>
              <w:rPr>
                <w:sz w:val="16"/>
                <w:szCs w:val="16"/>
                <w:color w:val="auto"/>
              </w:rPr>
            </w:pPr>
          </w:p>
        </w:tc>
        <w:tc>
          <w:tcPr>
            <w:tcW w:w="160" w:type="dxa"/>
            <w:vAlign w:val="bottom"/>
            <w:tcBorders>
              <w:top w:val="single" w:sz="8" w:color="231F20"/>
              <w:bottom w:val="single" w:sz="8" w:color="231F20"/>
            </w:tcBorders>
          </w:tcPr>
          <w:p>
            <w:pPr>
              <w:spacing w:after="0"/>
              <w:rPr>
                <w:sz w:val="16"/>
                <w:szCs w:val="16"/>
                <w:color w:val="auto"/>
              </w:rPr>
            </w:pPr>
          </w:p>
        </w:tc>
        <w:tc>
          <w:tcPr>
            <w:tcW w:w="1120" w:type="dxa"/>
            <w:vAlign w:val="bottom"/>
            <w:tcBorders>
              <w:top w:val="single" w:sz="8" w:color="231F20"/>
              <w:bottom w:val="single" w:sz="8" w:color="231F20"/>
            </w:tcBorders>
          </w:tcPr>
          <w:p>
            <w:pPr>
              <w:spacing w:after="0"/>
              <w:rPr>
                <w:sz w:val="16"/>
                <w:szCs w:val="16"/>
                <w:color w:val="auto"/>
              </w:rPr>
            </w:pPr>
          </w:p>
        </w:tc>
        <w:tc>
          <w:tcPr>
            <w:tcW w:w="2400" w:type="dxa"/>
            <w:vAlign w:val="bottom"/>
            <w:tcBorders>
              <w:top w:val="single" w:sz="8" w:color="231F20"/>
              <w:bottom w:val="single" w:sz="8" w:color="231F20"/>
            </w:tcBorders>
            <w:gridSpan w:val="4"/>
          </w:tcPr>
          <w:p>
            <w:pPr>
              <w:jc w:val="right"/>
              <w:ind w:right="123"/>
              <w:spacing w:after="0"/>
              <w:rPr>
                <w:sz w:val="20"/>
                <w:szCs w:val="20"/>
                <w:color w:val="auto"/>
              </w:rPr>
            </w:pPr>
            <w:r>
              <w:rPr>
                <w:rFonts w:ascii="Arial" w:cs="Arial" w:eastAsia="Arial" w:hAnsi="Arial"/>
                <w:sz w:val="15"/>
                <w:szCs w:val="15"/>
                <w:color w:val="231F20"/>
              </w:rPr>
              <w:t>Year Ended December 31, 2022</w:t>
            </w:r>
          </w:p>
        </w:tc>
        <w:tc>
          <w:tcPr>
            <w:tcW w:w="320" w:type="dxa"/>
            <w:vAlign w:val="bottom"/>
            <w:tcBorders>
              <w:top w:val="single" w:sz="8" w:color="231F20"/>
              <w:bottom w:val="single" w:sz="8" w:color="231F20"/>
            </w:tcBorders>
          </w:tcPr>
          <w:p>
            <w:pPr>
              <w:spacing w:after="0"/>
              <w:rPr>
                <w:sz w:val="16"/>
                <w:szCs w:val="16"/>
                <w:color w:val="auto"/>
              </w:rPr>
            </w:pPr>
          </w:p>
        </w:tc>
        <w:tc>
          <w:tcPr>
            <w:tcW w:w="800" w:type="dxa"/>
            <w:vAlign w:val="bottom"/>
            <w:tcBorders>
              <w:top w:val="single" w:sz="8" w:color="231F20"/>
              <w:bottom w:val="single" w:sz="8" w:color="231F20"/>
            </w:tcBorders>
          </w:tcPr>
          <w:p>
            <w:pPr>
              <w:spacing w:after="0"/>
              <w:rPr>
                <w:sz w:val="16"/>
                <w:szCs w:val="16"/>
                <w:color w:val="auto"/>
              </w:rPr>
            </w:pPr>
          </w:p>
        </w:tc>
      </w:tr>
      <w:tr>
        <w:trPr>
          <w:trHeight w:val="165"/>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right w:val="single" w:sz="8" w:color="231F20"/>
            </w:tcBorders>
          </w:tcPr>
          <w:p>
            <w:pPr>
              <w:spacing w:after="0"/>
              <w:rPr>
                <w:sz w:val="14"/>
                <w:szCs w:val="14"/>
                <w:color w:val="auto"/>
              </w:rPr>
            </w:pPr>
          </w:p>
        </w:tc>
        <w:tc>
          <w:tcPr>
            <w:tcW w:w="340" w:type="dxa"/>
            <w:vAlign w:val="bottom"/>
            <w:tcBorders>
              <w:bottom w:val="single" w:sz="8" w:color="231F20"/>
            </w:tcBorders>
          </w:tcPr>
          <w:p>
            <w:pPr>
              <w:spacing w:after="0"/>
              <w:rPr>
                <w:sz w:val="14"/>
                <w:szCs w:val="14"/>
                <w:color w:val="auto"/>
              </w:rPr>
            </w:pPr>
          </w:p>
        </w:tc>
        <w:tc>
          <w:tcPr>
            <w:tcW w:w="2060" w:type="dxa"/>
            <w:vAlign w:val="bottom"/>
            <w:tcBorders>
              <w:bottom w:val="single" w:sz="8" w:color="231F20"/>
              <w:right w:val="single" w:sz="8" w:color="231F20"/>
            </w:tcBorders>
            <w:gridSpan w:val="3"/>
          </w:tcPr>
          <w:p>
            <w:pPr>
              <w:jc w:val="right"/>
              <w:ind w:right="583"/>
              <w:spacing w:after="0" w:line="164" w:lineRule="exact"/>
              <w:rPr>
                <w:sz w:val="20"/>
                <w:szCs w:val="20"/>
                <w:color w:val="auto"/>
              </w:rPr>
            </w:pPr>
            <w:r>
              <w:rPr>
                <w:rFonts w:ascii="Arial" w:cs="Arial" w:eastAsia="Arial" w:hAnsi="Arial"/>
                <w:sz w:val="14"/>
                <w:szCs w:val="14"/>
                <w:color w:val="231F20"/>
              </w:rPr>
              <w:t xml:space="preserve">Other Charges </w:t>
            </w:r>
            <w:r>
              <w:rPr>
                <w:rFonts w:ascii="Arial" w:cs="Arial" w:eastAsia="Arial" w:hAnsi="Arial"/>
                <w:sz w:val="19"/>
                <w:szCs w:val="19"/>
                <w:color w:val="231F20"/>
                <w:vertAlign w:val="superscript"/>
              </w:rPr>
              <w:t>(a)</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0"/>
        </w:trPr>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right w:val="single" w:sz="8" w:color="231F20"/>
            </w:tcBorders>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30"/>
              <w:spacing w:after="0" w:line="150" w:lineRule="exact"/>
              <w:rPr>
                <w:sz w:val="20"/>
                <w:szCs w:val="20"/>
                <w:color w:val="auto"/>
              </w:rPr>
            </w:pPr>
            <w:r>
              <w:rPr>
                <w:rFonts w:ascii="Arial" w:cs="Arial" w:eastAsia="Arial" w:hAnsi="Arial"/>
                <w:sz w:val="15"/>
                <w:szCs w:val="15"/>
                <w:color w:val="231F20"/>
              </w:rPr>
              <w:t>Cost of</w:t>
            </w:r>
          </w:p>
        </w:tc>
        <w:tc>
          <w:tcPr>
            <w:tcW w:w="320" w:type="dxa"/>
            <w:vAlign w:val="bottom"/>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Borders>
              <w:right w:val="single" w:sz="8" w:color="231F20"/>
            </w:tcBorders>
          </w:tcPr>
          <w:p>
            <w:pPr>
              <w:jc w:val="right"/>
              <w:ind w:right="106"/>
              <w:spacing w:after="0" w:line="157" w:lineRule="exact"/>
              <w:rPr>
                <w:sz w:val="20"/>
                <w:szCs w:val="20"/>
                <w:color w:val="auto"/>
              </w:rPr>
            </w:pPr>
            <w:r>
              <w:rPr>
                <w:rFonts w:ascii="Arial" w:cs="Arial" w:eastAsia="Arial" w:hAnsi="Arial"/>
                <w:sz w:val="15"/>
                <w:szCs w:val="15"/>
                <w:color w:val="231F20"/>
              </w:rPr>
              <w:t>Restructuring</w:t>
            </w:r>
          </w:p>
        </w:tc>
        <w:tc>
          <w:tcPr>
            <w:tcW w:w="340" w:type="dxa"/>
            <w:vAlign w:val="bottom"/>
          </w:tcPr>
          <w:p>
            <w:pPr>
              <w:spacing w:after="0"/>
              <w:rPr>
                <w:sz w:val="13"/>
                <w:szCs w:val="13"/>
                <w:color w:val="auto"/>
              </w:rPr>
            </w:pPr>
          </w:p>
        </w:tc>
        <w:tc>
          <w:tcPr>
            <w:tcW w:w="840" w:type="dxa"/>
            <w:vAlign w:val="bottom"/>
          </w:tcPr>
          <w:p>
            <w:pPr>
              <w:jc w:val="right"/>
              <w:ind w:right="30"/>
              <w:spacing w:after="0" w:line="157" w:lineRule="exact"/>
              <w:rPr>
                <w:sz w:val="20"/>
                <w:szCs w:val="20"/>
                <w:color w:val="auto"/>
              </w:rPr>
            </w:pPr>
            <w:r>
              <w:rPr>
                <w:rFonts w:ascii="Arial" w:cs="Arial" w:eastAsia="Arial" w:hAnsi="Arial"/>
                <w:sz w:val="15"/>
                <w:szCs w:val="15"/>
                <w:color w:val="231F20"/>
              </w:rPr>
              <w:t>Products</w:t>
            </w:r>
          </w:p>
        </w:tc>
        <w:tc>
          <w:tcPr>
            <w:tcW w:w="320" w:type="dxa"/>
            <w:vAlign w:val="bottom"/>
          </w:tcPr>
          <w:p>
            <w:pPr>
              <w:spacing w:after="0"/>
              <w:rPr>
                <w:sz w:val="13"/>
                <w:szCs w:val="13"/>
                <w:color w:val="auto"/>
              </w:rPr>
            </w:pPr>
          </w:p>
        </w:tc>
        <w:tc>
          <w:tcPr>
            <w:tcW w:w="900" w:type="dxa"/>
            <w:vAlign w:val="bottom"/>
            <w:tcBorders>
              <w:right w:val="single" w:sz="8" w:color="231F20"/>
            </w:tcBorders>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231F20"/>
              </w:rPr>
              <w:t>Total</w:t>
            </w:r>
          </w:p>
        </w:tc>
      </w:tr>
      <w:tr>
        <w:trPr>
          <w:trHeight w:val="207"/>
        </w:trPr>
        <w:tc>
          <w:tcPr>
            <w:tcW w:w="4640" w:type="dxa"/>
            <w:vAlign w:val="bottom"/>
            <w:tcBorders>
              <w:bottom w:val="single" w:sz="8" w:color="231F20"/>
            </w:tcBorders>
          </w:tcPr>
          <w:p>
            <w:pPr>
              <w:jc w:val="right"/>
              <w:spacing w:after="0" w:line="206"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16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right w:val="single" w:sz="8" w:color="231F20"/>
            </w:tcBorders>
          </w:tcPr>
          <w:p>
            <w:pPr>
              <w:jc w:val="right"/>
              <w:ind w:right="106"/>
              <w:spacing w:after="0"/>
              <w:rPr>
                <w:sz w:val="20"/>
                <w:szCs w:val="20"/>
                <w:color w:val="auto"/>
              </w:rPr>
            </w:pPr>
            <w:r>
              <w:rPr>
                <w:rFonts w:ascii="Arial" w:cs="Arial" w:eastAsia="Arial" w:hAnsi="Arial"/>
                <w:sz w:val="15"/>
                <w:szCs w:val="15"/>
                <w:color w:val="231F20"/>
              </w:rPr>
              <w:t>Charges</w:t>
            </w:r>
          </w:p>
        </w:tc>
        <w:tc>
          <w:tcPr>
            <w:tcW w:w="34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30"/>
              <w:spacing w:after="0"/>
              <w:rPr>
                <w:sz w:val="20"/>
                <w:szCs w:val="20"/>
                <w:color w:val="auto"/>
              </w:rPr>
            </w:pPr>
            <w:r>
              <w:rPr>
                <w:rFonts w:ascii="Arial" w:cs="Arial" w:eastAsia="Arial" w:hAnsi="Arial"/>
                <w:sz w:val="15"/>
                <w:szCs w:val="15"/>
                <w:color w:val="231F20"/>
              </w:rPr>
              <w:t>Sold</w:t>
            </w:r>
          </w:p>
        </w:tc>
        <w:tc>
          <w:tcPr>
            <w:tcW w:w="32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right w:val="single" w:sz="8" w:color="231F20"/>
            </w:tcBorders>
          </w:tcPr>
          <w:p>
            <w:pPr>
              <w:jc w:val="right"/>
              <w:ind w:right="123"/>
              <w:spacing w:after="0" w:line="207" w:lineRule="exact"/>
              <w:rPr>
                <w:sz w:val="20"/>
                <w:szCs w:val="20"/>
                <w:color w:val="auto"/>
              </w:rPr>
            </w:pPr>
            <w:r>
              <w:rPr>
                <w:rFonts w:ascii="Arial" w:cs="Arial" w:eastAsia="Arial" w:hAnsi="Arial"/>
                <w:sz w:val="15"/>
                <w:szCs w:val="15"/>
                <w:color w:val="231F20"/>
              </w:rPr>
              <w:t>SG&amp;A</w:t>
            </w:r>
            <w:r>
              <w:rPr>
                <w:rFonts w:ascii="Arial" w:cs="Arial" w:eastAsia="Arial" w:hAnsi="Arial"/>
                <w:sz w:val="20"/>
                <w:szCs w:val="20"/>
                <w:color w:val="231F20"/>
                <w:vertAlign w:val="superscript"/>
              </w:rPr>
              <w:t>(b)</w:t>
            </w:r>
          </w:p>
        </w:tc>
        <w:tc>
          <w:tcPr>
            <w:tcW w:w="32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Charges</w:t>
            </w:r>
          </w:p>
        </w:tc>
      </w:tr>
      <w:tr>
        <w:trPr>
          <w:trHeight w:val="202"/>
        </w:trPr>
        <w:tc>
          <w:tcPr>
            <w:tcW w:w="4640" w:type="dxa"/>
            <w:vAlign w:val="bottom"/>
          </w:tcPr>
          <w:p>
            <w:pPr>
              <w:jc w:val="right"/>
              <w:spacing w:after="0" w:line="202" w:lineRule="exact"/>
              <w:rPr>
                <w:sz w:val="20"/>
                <w:szCs w:val="20"/>
                <w:color w:val="auto"/>
              </w:rPr>
            </w:pPr>
            <w:r>
              <w:rPr>
                <w:rFonts w:ascii="Arial" w:cs="Arial" w:eastAsia="Arial" w:hAnsi="Arial"/>
                <w:sz w:val="20"/>
                <w:szCs w:val="20"/>
                <w:color w:val="231F20"/>
              </w:rPr>
              <w:t>Water</w:t>
            </w:r>
            <w:r>
              <w:rPr>
                <w:rFonts w:ascii="Times New Roman" w:cs="Times New Roman" w:eastAsia="Times New Roman" w:hAnsi="Times New Roman"/>
                <w:sz w:val="20"/>
                <w:szCs w:val="20"/>
                <w:color w:val="231F20"/>
              </w:rPr>
              <w:t>................................................................................</w:t>
            </w:r>
          </w:p>
        </w:tc>
        <w:tc>
          <w:tcPr>
            <w:tcW w:w="16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1120" w:type="dxa"/>
            <w:vAlign w:val="bottom"/>
            <w:tcBorders>
              <w:right w:val="single" w:sz="8" w:color="231F20"/>
            </w:tcBorders>
          </w:tcPr>
          <w:p>
            <w:pPr>
              <w:jc w:val="right"/>
              <w:ind w:right="106"/>
              <w:spacing w:after="0" w:line="203" w:lineRule="exact"/>
              <w:rPr>
                <w:sz w:val="20"/>
                <w:szCs w:val="20"/>
                <w:color w:val="auto"/>
              </w:rPr>
            </w:pPr>
            <w:r>
              <w:rPr>
                <w:rFonts w:ascii="Arial" w:cs="Arial" w:eastAsia="Arial" w:hAnsi="Arial"/>
                <w:sz w:val="20"/>
                <w:szCs w:val="20"/>
                <w:color w:val="231F20"/>
              </w:rPr>
              <w:t>6.3</w:t>
            </w:r>
          </w:p>
        </w:tc>
        <w:tc>
          <w:tcPr>
            <w:tcW w:w="340" w:type="dxa"/>
            <w:vAlign w:val="bottom"/>
          </w:tcPr>
          <w:p>
            <w:pPr>
              <w:jc w:val="right"/>
              <w:ind w:right="47"/>
              <w:spacing w:after="0" w:line="203" w:lineRule="exact"/>
              <w:rPr>
                <w:sz w:val="20"/>
                <w:szCs w:val="20"/>
                <w:color w:val="auto"/>
              </w:rPr>
            </w:pPr>
            <w:r>
              <w:rPr>
                <w:rFonts w:ascii="Arial" w:cs="Arial" w:eastAsia="Arial" w:hAnsi="Arial"/>
                <w:sz w:val="20"/>
                <w:szCs w:val="20"/>
                <w:color w:val="231F20"/>
              </w:rPr>
              <w:t>$</w:t>
            </w:r>
          </w:p>
        </w:tc>
        <w:tc>
          <w:tcPr>
            <w:tcW w:w="840" w:type="dxa"/>
            <w:vAlign w:val="bottom"/>
          </w:tcPr>
          <w:p>
            <w:pPr>
              <w:jc w:val="right"/>
              <w:spacing w:after="0" w:line="203" w:lineRule="exact"/>
              <w:rPr>
                <w:sz w:val="20"/>
                <w:szCs w:val="20"/>
                <w:color w:val="auto"/>
              </w:rPr>
            </w:pPr>
            <w:r>
              <w:rPr>
                <w:rFonts w:ascii="Arial" w:cs="Arial" w:eastAsia="Arial" w:hAnsi="Arial"/>
                <w:sz w:val="20"/>
                <w:szCs w:val="20"/>
                <w:color w:val="231F20"/>
              </w:rPr>
              <w:t>(0.2)</w:t>
            </w:r>
          </w:p>
        </w:tc>
        <w:tc>
          <w:tcPr>
            <w:tcW w:w="320" w:type="dxa"/>
            <w:vAlign w:val="bottom"/>
          </w:tcPr>
          <w:p>
            <w:pPr>
              <w:jc w:val="right"/>
              <w:ind w:right="39"/>
              <w:spacing w:after="0" w:line="203" w:lineRule="exact"/>
              <w:rPr>
                <w:sz w:val="20"/>
                <w:szCs w:val="20"/>
                <w:color w:val="auto"/>
              </w:rPr>
            </w:pPr>
            <w:r>
              <w:rPr>
                <w:rFonts w:ascii="Arial" w:cs="Arial" w:eastAsia="Arial" w:hAnsi="Arial"/>
                <w:sz w:val="20"/>
                <w:szCs w:val="20"/>
                <w:color w:val="231F20"/>
              </w:rPr>
              <w:t>$</w:t>
            </w:r>
          </w:p>
        </w:tc>
        <w:tc>
          <w:tcPr>
            <w:tcW w:w="900" w:type="dxa"/>
            <w:vAlign w:val="bottom"/>
            <w:tcBorders>
              <w:right w:val="single" w:sz="8" w:color="231F20"/>
            </w:tcBorders>
          </w:tcPr>
          <w:p>
            <w:pPr>
              <w:jc w:val="right"/>
              <w:ind w:right="123"/>
              <w:spacing w:after="0" w:line="203" w:lineRule="exact"/>
              <w:rPr>
                <w:sz w:val="20"/>
                <w:szCs w:val="20"/>
                <w:color w:val="auto"/>
              </w:rPr>
            </w:pPr>
            <w:r>
              <w:rPr>
                <w:rFonts w:ascii="Arial" w:cs="Arial" w:eastAsia="Arial" w:hAnsi="Arial"/>
                <w:sz w:val="20"/>
                <w:szCs w:val="20"/>
                <w:color w:val="231F20"/>
              </w:rPr>
              <w:t>0.8</w:t>
            </w:r>
          </w:p>
        </w:tc>
        <w:tc>
          <w:tcPr>
            <w:tcW w:w="320" w:type="dxa"/>
            <w:vAlign w:val="bottom"/>
          </w:tcPr>
          <w:p>
            <w:pPr>
              <w:jc w:val="right"/>
              <w:ind w:right="19"/>
              <w:spacing w:after="0" w:line="203" w:lineRule="exact"/>
              <w:rPr>
                <w:sz w:val="20"/>
                <w:szCs w:val="20"/>
                <w:color w:val="auto"/>
              </w:rPr>
            </w:pPr>
            <w:r>
              <w:rPr>
                <w:rFonts w:ascii="Arial" w:cs="Arial" w:eastAsia="Arial" w:hAnsi="Arial"/>
                <w:sz w:val="20"/>
                <w:szCs w:val="20"/>
                <w:color w:val="231F20"/>
              </w:rPr>
              <w:t>$</w:t>
            </w:r>
          </w:p>
        </w:tc>
        <w:tc>
          <w:tcPr>
            <w:tcW w:w="800" w:type="dxa"/>
            <w:vAlign w:val="bottom"/>
          </w:tcPr>
          <w:p>
            <w:pPr>
              <w:jc w:val="right"/>
              <w:spacing w:after="0" w:line="203" w:lineRule="exact"/>
              <w:rPr>
                <w:sz w:val="20"/>
                <w:szCs w:val="20"/>
                <w:color w:val="auto"/>
              </w:rPr>
            </w:pPr>
            <w:r>
              <w:rPr>
                <w:rFonts w:ascii="Arial" w:cs="Arial" w:eastAsia="Arial" w:hAnsi="Arial"/>
                <w:sz w:val="20"/>
                <w:szCs w:val="20"/>
                <w:color w:val="231F20"/>
              </w:rPr>
              <w:t>6.9</w:t>
            </w:r>
          </w:p>
        </w:tc>
      </w:tr>
      <w:tr>
        <w:trPr>
          <w:trHeight w:val="233"/>
        </w:trPr>
        <w:tc>
          <w:tcPr>
            <w:tcW w:w="4640" w:type="dxa"/>
            <w:vAlign w:val="bottom"/>
          </w:tcPr>
          <w:p>
            <w:pPr>
              <w:jc w:val="right"/>
              <w:spacing w:after="0"/>
              <w:rPr>
                <w:sz w:val="20"/>
                <w:szCs w:val="20"/>
                <w:color w:val="auto"/>
              </w:rPr>
            </w:pPr>
            <w:r>
              <w:rPr>
                <w:rFonts w:ascii="Arial" w:cs="Arial" w:eastAsia="Arial" w:hAnsi="Arial"/>
                <w:sz w:val="20"/>
                <w:szCs w:val="20"/>
                <w:color w:val="231F20"/>
              </w:rPr>
              <w:t>Outdoors</w:t>
            </w: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1120" w:type="dxa"/>
            <w:vAlign w:val="bottom"/>
            <w:tcBorders>
              <w:right w:val="single" w:sz="8" w:color="231F20"/>
            </w:tcBorders>
          </w:tcPr>
          <w:p>
            <w:pPr>
              <w:jc w:val="right"/>
              <w:ind w:right="106"/>
              <w:spacing w:after="0"/>
              <w:rPr>
                <w:sz w:val="20"/>
                <w:szCs w:val="20"/>
                <w:color w:val="auto"/>
              </w:rPr>
            </w:pPr>
            <w:r>
              <w:rPr>
                <w:rFonts w:ascii="Arial" w:cs="Arial" w:eastAsia="Arial" w:hAnsi="Arial"/>
                <w:sz w:val="20"/>
                <w:szCs w:val="20"/>
                <w:color w:val="231F20"/>
              </w:rPr>
              <w:t>24.5</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231F20"/>
              </w:rPr>
              <w:t>(6.2)</w:t>
            </w:r>
          </w:p>
        </w:tc>
        <w:tc>
          <w:tcPr>
            <w:tcW w:w="320" w:type="dxa"/>
            <w:vAlign w:val="bottom"/>
          </w:tcPr>
          <w:p>
            <w:pPr>
              <w:spacing w:after="0"/>
              <w:rPr>
                <w:sz w:val="20"/>
                <w:szCs w:val="20"/>
                <w:color w:val="auto"/>
              </w:rPr>
            </w:pPr>
          </w:p>
        </w:tc>
        <w:tc>
          <w:tcPr>
            <w:tcW w:w="900" w:type="dxa"/>
            <w:vAlign w:val="bottom"/>
            <w:tcBorders>
              <w:right w:val="single" w:sz="8" w:color="231F20"/>
            </w:tcBorders>
          </w:tcPr>
          <w:p>
            <w:pPr>
              <w:jc w:val="right"/>
              <w:ind w:right="123"/>
              <w:spacing w:after="0"/>
              <w:rPr>
                <w:sz w:val="20"/>
                <w:szCs w:val="20"/>
                <w:color w:val="auto"/>
              </w:rPr>
            </w:pPr>
            <w:r>
              <w:rPr>
                <w:rFonts w:ascii="Arial" w:cs="Arial" w:eastAsia="Arial" w:hAnsi="Arial"/>
                <w:sz w:val="20"/>
                <w:szCs w:val="20"/>
                <w:color w:val="231F20"/>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18.3</w:t>
            </w:r>
          </w:p>
        </w:tc>
      </w:tr>
      <w:tr>
        <w:trPr>
          <w:trHeight w:val="233"/>
        </w:trPr>
        <w:tc>
          <w:tcPr>
            <w:tcW w:w="4640" w:type="dxa"/>
            <w:vAlign w:val="bottom"/>
          </w:tcPr>
          <w:p>
            <w:pPr>
              <w:jc w:val="right"/>
              <w:spacing w:after="0"/>
              <w:rPr>
                <w:sz w:val="20"/>
                <w:szCs w:val="20"/>
                <w:color w:val="auto"/>
              </w:rPr>
            </w:pPr>
            <w:r>
              <w:rPr>
                <w:rFonts w:ascii="Arial" w:cs="Arial" w:eastAsia="Arial" w:hAnsi="Arial"/>
                <w:sz w:val="20"/>
                <w:szCs w:val="20"/>
                <w:color w:val="231F20"/>
              </w:rPr>
              <w:t>Security</w:t>
            </w:r>
            <w:r>
              <w:rPr>
                <w:rFonts w:ascii="Times New Roman" w:cs="Times New Roman" w:eastAsia="Times New Roman" w:hAnsi="Times New Roman"/>
                <w:sz w:val="20"/>
                <w:szCs w:val="20"/>
                <w:color w:val="231F20"/>
              </w:rPr>
              <w:t>............................................................................</w:t>
            </w:r>
          </w:p>
        </w:tc>
        <w:tc>
          <w:tcPr>
            <w:tcW w:w="160" w:type="dxa"/>
            <w:vAlign w:val="bottom"/>
          </w:tcPr>
          <w:p>
            <w:pPr>
              <w:spacing w:after="0"/>
              <w:rPr>
                <w:sz w:val="20"/>
                <w:szCs w:val="20"/>
                <w:color w:val="auto"/>
              </w:rPr>
            </w:pPr>
          </w:p>
        </w:tc>
        <w:tc>
          <w:tcPr>
            <w:tcW w:w="1120" w:type="dxa"/>
            <w:vAlign w:val="bottom"/>
            <w:tcBorders>
              <w:right w:val="single" w:sz="8" w:color="231F20"/>
            </w:tcBorders>
          </w:tcPr>
          <w:p>
            <w:pPr>
              <w:jc w:val="right"/>
              <w:ind w:right="106"/>
              <w:spacing w:after="0"/>
              <w:rPr>
                <w:sz w:val="20"/>
                <w:szCs w:val="20"/>
                <w:color w:val="auto"/>
              </w:rPr>
            </w:pPr>
            <w:r>
              <w:rPr>
                <w:rFonts w:ascii="Arial" w:cs="Arial" w:eastAsia="Arial" w:hAnsi="Arial"/>
                <w:sz w:val="20"/>
                <w:szCs w:val="20"/>
                <w:color w:val="231F20"/>
              </w:rPr>
              <w:t>0.6</w:t>
            </w:r>
          </w:p>
        </w:tc>
        <w:tc>
          <w:tcPr>
            <w:tcW w:w="3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20"/>
                <w:szCs w:val="20"/>
                <w:color w:val="231F20"/>
              </w:rPr>
              <w:t>—</w:t>
            </w:r>
          </w:p>
        </w:tc>
        <w:tc>
          <w:tcPr>
            <w:tcW w:w="320" w:type="dxa"/>
            <w:vAlign w:val="bottom"/>
          </w:tcPr>
          <w:p>
            <w:pPr>
              <w:spacing w:after="0"/>
              <w:rPr>
                <w:sz w:val="20"/>
                <w:szCs w:val="20"/>
                <w:color w:val="auto"/>
              </w:rPr>
            </w:pPr>
          </w:p>
        </w:tc>
        <w:tc>
          <w:tcPr>
            <w:tcW w:w="900" w:type="dxa"/>
            <w:vAlign w:val="bottom"/>
            <w:tcBorders>
              <w:right w:val="single" w:sz="8" w:color="231F20"/>
            </w:tcBorders>
          </w:tcPr>
          <w:p>
            <w:pPr>
              <w:jc w:val="right"/>
              <w:ind w:right="123"/>
              <w:spacing w:after="0"/>
              <w:rPr>
                <w:sz w:val="20"/>
                <w:szCs w:val="20"/>
                <w:color w:val="auto"/>
              </w:rPr>
            </w:pPr>
            <w:r>
              <w:rPr>
                <w:rFonts w:ascii="Arial" w:cs="Arial" w:eastAsia="Arial" w:hAnsi="Arial"/>
                <w:sz w:val="20"/>
                <w:szCs w:val="20"/>
                <w:color w:val="231F20"/>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0.6</w:t>
            </w:r>
          </w:p>
        </w:tc>
      </w:tr>
      <w:tr>
        <w:trPr>
          <w:trHeight w:val="253"/>
        </w:trPr>
        <w:tc>
          <w:tcPr>
            <w:tcW w:w="46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Corporate</w:t>
            </w:r>
            <w:r>
              <w:rPr>
                <w:rFonts w:ascii="Times New Roman" w:cs="Times New Roman" w:eastAsia="Times New Roman" w:hAnsi="Times New Roman"/>
                <w:sz w:val="20"/>
                <w:szCs w:val="20"/>
                <w:color w:val="231F20"/>
              </w:rPr>
              <w:t>.........................................................................</w:t>
            </w:r>
          </w:p>
        </w:tc>
        <w:tc>
          <w:tcPr>
            <w:tcW w:w="16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right w:val="single" w:sz="8" w:color="231F20"/>
            </w:tcBorders>
          </w:tcPr>
          <w:p>
            <w:pPr>
              <w:jc w:val="right"/>
              <w:ind w:right="106"/>
              <w:spacing w:after="0"/>
              <w:rPr>
                <w:sz w:val="20"/>
                <w:szCs w:val="20"/>
                <w:color w:val="auto"/>
              </w:rPr>
            </w:pPr>
            <w:r>
              <w:rPr>
                <w:rFonts w:ascii="Arial" w:cs="Arial" w:eastAsia="Arial" w:hAnsi="Arial"/>
                <w:sz w:val="20"/>
                <w:szCs w:val="20"/>
                <w:color w:val="231F20"/>
              </w:rPr>
              <w:t>1.0</w:t>
            </w:r>
          </w:p>
        </w:tc>
        <w:tc>
          <w:tcPr>
            <w:tcW w:w="34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ind w:right="30"/>
              <w:spacing w:after="0"/>
              <w:rPr>
                <w:sz w:val="20"/>
                <w:szCs w:val="20"/>
                <w:color w:val="auto"/>
              </w:rPr>
            </w:pPr>
            <w:r>
              <w:rPr>
                <w:rFonts w:ascii="Arial" w:cs="Arial" w:eastAsia="Arial" w:hAnsi="Arial"/>
                <w:sz w:val="20"/>
                <w:szCs w:val="20"/>
                <w:color w:val="231F20"/>
              </w:rPr>
              <w:t>—</w:t>
            </w:r>
          </w:p>
        </w:tc>
        <w:tc>
          <w:tcPr>
            <w:tcW w:w="32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right w:val="single" w:sz="8" w:color="231F20"/>
            </w:tcBorders>
          </w:tcPr>
          <w:p>
            <w:pPr>
              <w:jc w:val="right"/>
              <w:ind w:right="123"/>
              <w:spacing w:after="0"/>
              <w:rPr>
                <w:sz w:val="20"/>
                <w:szCs w:val="20"/>
                <w:color w:val="auto"/>
              </w:rPr>
            </w:pPr>
            <w:r>
              <w:rPr>
                <w:rFonts w:ascii="Arial" w:cs="Arial" w:eastAsia="Arial" w:hAnsi="Arial"/>
                <w:sz w:val="20"/>
                <w:szCs w:val="20"/>
                <w:color w:val="231F20"/>
              </w:rPr>
              <w:t>—</w:t>
            </w:r>
          </w:p>
        </w:tc>
        <w:tc>
          <w:tcPr>
            <w:tcW w:w="32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1.0</w:t>
            </w:r>
          </w:p>
        </w:tc>
      </w:tr>
      <w:tr>
        <w:trPr>
          <w:trHeight w:val="248"/>
        </w:trPr>
        <w:tc>
          <w:tcPr>
            <w:tcW w:w="46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Total</w:t>
            </w:r>
            <w:r>
              <w:rPr>
                <w:rFonts w:ascii="Times New Roman" w:cs="Times New Roman" w:eastAsia="Times New Roman" w:hAnsi="Times New Roman"/>
                <w:sz w:val="20"/>
                <w:szCs w:val="20"/>
                <w:color w:val="231F20"/>
              </w:rPr>
              <w:t>...............................................................................</w:t>
            </w:r>
          </w:p>
        </w:tc>
        <w:tc>
          <w:tcPr>
            <w:tcW w:w="1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120" w:type="dxa"/>
            <w:vAlign w:val="bottom"/>
            <w:tcBorders>
              <w:bottom w:val="single" w:sz="8" w:color="231F20"/>
              <w:right w:val="single" w:sz="8" w:color="231F20"/>
            </w:tcBorders>
          </w:tcPr>
          <w:p>
            <w:pPr>
              <w:jc w:val="right"/>
              <w:ind w:right="106"/>
              <w:spacing w:after="0" w:line="223" w:lineRule="exact"/>
              <w:rPr>
                <w:sz w:val="20"/>
                <w:szCs w:val="20"/>
                <w:color w:val="auto"/>
              </w:rPr>
            </w:pPr>
            <w:r>
              <w:rPr>
                <w:rFonts w:ascii="Arial" w:cs="Arial" w:eastAsia="Arial" w:hAnsi="Arial"/>
                <w:sz w:val="20"/>
                <w:szCs w:val="20"/>
                <w:color w:val="231F20"/>
              </w:rPr>
              <w:t>32.4</w:t>
            </w:r>
          </w:p>
        </w:tc>
        <w:tc>
          <w:tcPr>
            <w:tcW w:w="340" w:type="dxa"/>
            <w:vAlign w:val="bottom"/>
            <w:tcBorders>
              <w:bottom w:val="single" w:sz="8" w:color="231F20"/>
            </w:tcBorders>
          </w:tcPr>
          <w:p>
            <w:pPr>
              <w:jc w:val="right"/>
              <w:ind w:right="47"/>
              <w:spacing w:after="0" w:line="223" w:lineRule="exact"/>
              <w:rPr>
                <w:sz w:val="20"/>
                <w:szCs w:val="20"/>
                <w:color w:val="auto"/>
              </w:rPr>
            </w:pPr>
            <w:r>
              <w:rPr>
                <w:rFonts w:ascii="Arial" w:cs="Arial" w:eastAsia="Arial" w:hAnsi="Arial"/>
                <w:sz w:val="20"/>
                <w:szCs w:val="20"/>
                <w:color w:val="231F20"/>
              </w:rPr>
              <w:t>$</w:t>
            </w:r>
          </w:p>
        </w:tc>
        <w:tc>
          <w:tcPr>
            <w:tcW w:w="8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(6.4)</w:t>
            </w:r>
          </w:p>
        </w:tc>
        <w:tc>
          <w:tcPr>
            <w:tcW w:w="320" w:type="dxa"/>
            <w:vAlign w:val="bottom"/>
            <w:tcBorders>
              <w:bottom w:val="single" w:sz="8" w:color="231F20"/>
            </w:tcBorders>
          </w:tcPr>
          <w:p>
            <w:pPr>
              <w:jc w:val="right"/>
              <w:ind w:right="39"/>
              <w:spacing w:after="0" w:line="223" w:lineRule="exact"/>
              <w:rPr>
                <w:sz w:val="20"/>
                <w:szCs w:val="20"/>
                <w:color w:val="auto"/>
              </w:rPr>
            </w:pPr>
            <w:r>
              <w:rPr>
                <w:rFonts w:ascii="Arial" w:cs="Arial" w:eastAsia="Arial" w:hAnsi="Arial"/>
                <w:sz w:val="20"/>
                <w:szCs w:val="20"/>
                <w:color w:val="231F20"/>
              </w:rPr>
              <w:t>$</w:t>
            </w:r>
          </w:p>
        </w:tc>
        <w:tc>
          <w:tcPr>
            <w:tcW w:w="900" w:type="dxa"/>
            <w:vAlign w:val="bottom"/>
            <w:tcBorders>
              <w:bottom w:val="single" w:sz="8" w:color="231F20"/>
              <w:right w:val="single" w:sz="8" w:color="231F20"/>
            </w:tcBorders>
          </w:tcPr>
          <w:p>
            <w:pPr>
              <w:jc w:val="right"/>
              <w:ind w:right="123"/>
              <w:spacing w:after="0" w:line="223" w:lineRule="exact"/>
              <w:rPr>
                <w:sz w:val="20"/>
                <w:szCs w:val="20"/>
                <w:color w:val="auto"/>
              </w:rPr>
            </w:pPr>
            <w:r>
              <w:rPr>
                <w:rFonts w:ascii="Arial" w:cs="Arial" w:eastAsia="Arial" w:hAnsi="Arial"/>
                <w:sz w:val="20"/>
                <w:szCs w:val="20"/>
                <w:color w:val="231F20"/>
              </w:rPr>
              <w:t>0.8</w:t>
            </w:r>
          </w:p>
        </w:tc>
        <w:tc>
          <w:tcPr>
            <w:tcW w:w="320" w:type="dxa"/>
            <w:vAlign w:val="bottom"/>
            <w:tcBorders>
              <w:bottom w:val="single" w:sz="8" w:color="231F20"/>
            </w:tcBorders>
          </w:tcPr>
          <w:p>
            <w:pPr>
              <w:jc w:val="right"/>
              <w:ind w:right="19"/>
              <w:spacing w:after="0" w:line="223" w:lineRule="exact"/>
              <w:rPr>
                <w:sz w:val="20"/>
                <w:szCs w:val="20"/>
                <w:color w:val="auto"/>
              </w:rPr>
            </w:pPr>
            <w:r>
              <w:rPr>
                <w:rFonts w:ascii="Arial" w:cs="Arial" w:eastAsia="Arial" w:hAnsi="Arial"/>
                <w:sz w:val="20"/>
                <w:szCs w:val="20"/>
                <w:color w:val="231F20"/>
              </w:rPr>
              <w:t>$</w:t>
            </w:r>
          </w:p>
        </w:tc>
        <w:tc>
          <w:tcPr>
            <w:tcW w:w="8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26.8</w:t>
            </w:r>
          </w:p>
        </w:tc>
      </w:tr>
    </w:tbl>
    <w:p>
      <w:pPr>
        <w:spacing w:after="0" w:line="131" w:lineRule="exact"/>
        <w:rPr>
          <w:sz w:val="20"/>
          <w:szCs w:val="20"/>
          <w:color w:val="auto"/>
        </w:rPr>
      </w:pPr>
    </w:p>
    <w:p>
      <w:pPr>
        <w:jc w:val="both"/>
        <w:ind w:left="320" w:right="200" w:hanging="314"/>
        <w:spacing w:after="0" w:line="247" w:lineRule="auto"/>
        <w:tabs>
          <w:tab w:leader="none" w:pos="320" w:val="left"/>
        </w:tabs>
        <w:numPr>
          <w:ilvl w:val="0"/>
          <w:numId w:val="47"/>
        </w:numPr>
        <w:rPr>
          <w:rFonts w:ascii="Arial" w:cs="Arial" w:eastAsia="Arial" w:hAnsi="Arial"/>
          <w:sz w:val="10"/>
          <w:szCs w:val="10"/>
          <w:i w:val="1"/>
          <w:iCs w:val="1"/>
          <w:color w:val="231F20"/>
        </w:rPr>
      </w:pPr>
      <w:r>
        <w:rPr>
          <w:rFonts w:ascii="Arial" w:cs="Arial" w:eastAsia="Arial" w:hAnsi="Arial"/>
          <w:sz w:val="16"/>
          <w:szCs w:val="16"/>
          <w:i w:val="1"/>
          <w:iCs w:val="1"/>
          <w:color w:val="231F20"/>
        </w:rPr>
        <w:t>“Other Charges” represent charges or gains directly related to restructuring initiatives that cannot be reported as restructuring under GAAP. Such charges or gains may include losses on disposal of inventories, trade receivables allowances from exiting product lines, write-off of displays from exiting a customer relationship, accelerated depreciation resulting from the closure of facilities, and gains and losses on the sale of previously closed facilities.</w:t>
      </w:r>
    </w:p>
    <w:p>
      <w:pPr>
        <w:ind w:left="320" w:hanging="314"/>
        <w:spacing w:after="0"/>
        <w:tabs>
          <w:tab w:leader="none" w:pos="320" w:val="left"/>
        </w:tabs>
        <w:numPr>
          <w:ilvl w:val="0"/>
          <w:numId w:val="47"/>
        </w:numPr>
        <w:rPr>
          <w:rFonts w:ascii="Arial" w:cs="Arial" w:eastAsia="Arial" w:hAnsi="Arial"/>
          <w:sz w:val="10"/>
          <w:szCs w:val="10"/>
          <w:i w:val="1"/>
          <w:iCs w:val="1"/>
          <w:color w:val="231F20"/>
        </w:rPr>
      </w:pPr>
      <w:r>
        <w:rPr>
          <w:rFonts w:ascii="Arial" w:cs="Arial" w:eastAsia="Arial" w:hAnsi="Arial"/>
          <w:sz w:val="16"/>
          <w:szCs w:val="16"/>
          <w:i w:val="1"/>
          <w:iCs w:val="1"/>
          <w:color w:val="231F20"/>
        </w:rPr>
        <w:t>Selling, general and administrative expenses.</w:t>
      </w:r>
    </w:p>
    <w:p>
      <w:pPr>
        <w:spacing w:after="0" w:line="164" w:lineRule="exact"/>
        <w:rPr>
          <w:sz w:val="20"/>
          <w:szCs w:val="20"/>
          <w:color w:val="auto"/>
        </w:rPr>
      </w:pPr>
    </w:p>
    <w:p>
      <w:pPr>
        <w:ind w:right="500"/>
        <w:spacing w:after="0" w:line="265" w:lineRule="auto"/>
        <w:rPr>
          <w:sz w:val="20"/>
          <w:szCs w:val="20"/>
          <w:color w:val="auto"/>
        </w:rPr>
      </w:pPr>
      <w:r>
        <w:rPr>
          <w:rFonts w:ascii="Arial" w:cs="Arial" w:eastAsia="Arial" w:hAnsi="Arial"/>
          <w:sz w:val="20"/>
          <w:szCs w:val="20"/>
          <w:color w:val="231F20"/>
        </w:rPr>
        <w:t>Restructuring and other charges in 2022 were largely related to severance costs associated with the relocation of manufacturing facilities in the Outdoors segment and headcount actions across all segments.</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84</w:t>
      </w:r>
    </w:p>
    <w:p>
      <w:pPr>
        <w:sectPr>
          <w:pgSz w:w="12240" w:h="15840" w:orient="portrait"/>
          <w:cols w:equalWidth="0" w:num="1">
            <w:col w:w="9460"/>
          </w:cols>
          <w:pgMar w:left="1380" w:top="1346" w:right="1400" w:bottom="95"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color w:val="231F20"/>
        </w:rPr>
        <w:t>Pre-tax restructuring and other charges for the year ended December 31, 2021 were as follows: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620" w:type="dxa"/>
            <w:vAlign w:val="bottom"/>
            <w:tcBorders>
              <w:top w:val="single" w:sz="8" w:color="231F20"/>
              <w:bottom w:val="single" w:sz="8" w:color="231F20"/>
            </w:tcBorders>
          </w:tcPr>
          <w:p>
            <w:pPr>
              <w:spacing w:after="0"/>
              <w:rPr>
                <w:sz w:val="16"/>
                <w:szCs w:val="16"/>
                <w:color w:val="auto"/>
              </w:rPr>
            </w:pPr>
          </w:p>
        </w:tc>
        <w:tc>
          <w:tcPr>
            <w:tcW w:w="180" w:type="dxa"/>
            <w:vAlign w:val="bottom"/>
            <w:tcBorders>
              <w:top w:val="single" w:sz="8" w:color="231F20"/>
              <w:bottom w:val="single" w:sz="8" w:color="231F20"/>
            </w:tcBorders>
          </w:tcPr>
          <w:p>
            <w:pPr>
              <w:spacing w:after="0"/>
              <w:rPr>
                <w:sz w:val="16"/>
                <w:szCs w:val="16"/>
                <w:color w:val="auto"/>
              </w:rPr>
            </w:pPr>
          </w:p>
        </w:tc>
        <w:tc>
          <w:tcPr>
            <w:tcW w:w="1120" w:type="dxa"/>
            <w:vAlign w:val="bottom"/>
            <w:tcBorders>
              <w:top w:val="single" w:sz="8" w:color="231F20"/>
              <w:bottom w:val="single" w:sz="8" w:color="231F20"/>
            </w:tcBorders>
          </w:tcPr>
          <w:p>
            <w:pPr>
              <w:spacing w:after="0"/>
              <w:rPr>
                <w:sz w:val="16"/>
                <w:szCs w:val="16"/>
                <w:color w:val="auto"/>
              </w:rPr>
            </w:pPr>
          </w:p>
        </w:tc>
        <w:tc>
          <w:tcPr>
            <w:tcW w:w="2400" w:type="dxa"/>
            <w:vAlign w:val="bottom"/>
            <w:tcBorders>
              <w:top w:val="single" w:sz="8" w:color="231F20"/>
              <w:bottom w:val="single" w:sz="8" w:color="231F20"/>
            </w:tcBorders>
            <w:gridSpan w:val="4"/>
          </w:tcPr>
          <w:p>
            <w:pPr>
              <w:jc w:val="right"/>
              <w:ind w:right="124"/>
              <w:spacing w:after="0"/>
              <w:rPr>
                <w:sz w:val="20"/>
                <w:szCs w:val="20"/>
                <w:color w:val="auto"/>
              </w:rPr>
            </w:pPr>
            <w:r>
              <w:rPr>
                <w:rFonts w:ascii="Arial" w:cs="Arial" w:eastAsia="Arial" w:hAnsi="Arial"/>
                <w:sz w:val="15"/>
                <w:szCs w:val="15"/>
                <w:color w:val="231F20"/>
              </w:rPr>
              <w:t>Year Ended December 31, 2021</w:t>
            </w:r>
          </w:p>
        </w:tc>
        <w:tc>
          <w:tcPr>
            <w:tcW w:w="320" w:type="dxa"/>
            <w:vAlign w:val="bottom"/>
            <w:tcBorders>
              <w:top w:val="single" w:sz="8" w:color="231F20"/>
              <w:bottom w:val="single" w:sz="8" w:color="231F20"/>
            </w:tcBorders>
          </w:tcPr>
          <w:p>
            <w:pPr>
              <w:spacing w:after="0"/>
              <w:rPr>
                <w:sz w:val="16"/>
                <w:szCs w:val="16"/>
                <w:color w:val="auto"/>
              </w:rPr>
            </w:pPr>
          </w:p>
        </w:tc>
        <w:tc>
          <w:tcPr>
            <w:tcW w:w="800" w:type="dxa"/>
            <w:vAlign w:val="bottom"/>
            <w:tcBorders>
              <w:top w:val="single" w:sz="8" w:color="231F20"/>
              <w:bottom w:val="single" w:sz="8" w:color="231F20"/>
            </w:tcBorders>
          </w:tcPr>
          <w:p>
            <w:pPr>
              <w:spacing w:after="0"/>
              <w:rPr>
                <w:sz w:val="16"/>
                <w:szCs w:val="16"/>
                <w:color w:val="auto"/>
              </w:rPr>
            </w:pPr>
          </w:p>
        </w:tc>
      </w:tr>
      <w:tr>
        <w:trPr>
          <w:trHeight w:val="165"/>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right w:val="single" w:sz="8" w:color="231F20"/>
            </w:tcBorders>
          </w:tcPr>
          <w:p>
            <w:pPr>
              <w:spacing w:after="0"/>
              <w:rPr>
                <w:sz w:val="14"/>
                <w:szCs w:val="14"/>
                <w:color w:val="auto"/>
              </w:rPr>
            </w:pPr>
          </w:p>
        </w:tc>
        <w:tc>
          <w:tcPr>
            <w:tcW w:w="340" w:type="dxa"/>
            <w:vAlign w:val="bottom"/>
            <w:tcBorders>
              <w:bottom w:val="single" w:sz="8" w:color="231F20"/>
            </w:tcBorders>
          </w:tcPr>
          <w:p>
            <w:pPr>
              <w:spacing w:after="0"/>
              <w:rPr>
                <w:sz w:val="14"/>
                <w:szCs w:val="14"/>
                <w:color w:val="auto"/>
              </w:rPr>
            </w:pPr>
          </w:p>
        </w:tc>
        <w:tc>
          <w:tcPr>
            <w:tcW w:w="2060" w:type="dxa"/>
            <w:vAlign w:val="bottom"/>
            <w:tcBorders>
              <w:bottom w:val="single" w:sz="8" w:color="231F20"/>
              <w:right w:val="single" w:sz="8" w:color="231F20"/>
            </w:tcBorders>
            <w:gridSpan w:val="3"/>
          </w:tcPr>
          <w:p>
            <w:pPr>
              <w:jc w:val="right"/>
              <w:ind w:right="584"/>
              <w:spacing w:after="0" w:line="164" w:lineRule="exact"/>
              <w:rPr>
                <w:sz w:val="20"/>
                <w:szCs w:val="20"/>
                <w:color w:val="auto"/>
              </w:rPr>
            </w:pPr>
            <w:r>
              <w:rPr>
                <w:rFonts w:ascii="Arial" w:cs="Arial" w:eastAsia="Arial" w:hAnsi="Arial"/>
                <w:sz w:val="14"/>
                <w:szCs w:val="14"/>
                <w:color w:val="231F20"/>
              </w:rPr>
              <w:t xml:space="preserve">Other Charges </w:t>
            </w:r>
            <w:r>
              <w:rPr>
                <w:rFonts w:ascii="Arial" w:cs="Arial" w:eastAsia="Arial" w:hAnsi="Arial"/>
                <w:sz w:val="19"/>
                <w:szCs w:val="19"/>
                <w:color w:val="231F20"/>
                <w:vertAlign w:val="superscript"/>
              </w:rPr>
              <w:t>(a)</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0"/>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Borders>
              <w:right w:val="single" w:sz="8" w:color="231F20"/>
            </w:tcBorders>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Arial" w:cs="Arial" w:eastAsia="Arial" w:hAnsi="Arial"/>
                <w:sz w:val="15"/>
                <w:szCs w:val="15"/>
                <w:color w:val="231F20"/>
              </w:rPr>
              <w:t>Cost of</w:t>
            </w:r>
          </w:p>
        </w:tc>
        <w:tc>
          <w:tcPr>
            <w:tcW w:w="360" w:type="dxa"/>
            <w:vAlign w:val="bottom"/>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Borders>
              <w:right w:val="single" w:sz="8" w:color="231F20"/>
            </w:tcBorders>
          </w:tcPr>
          <w:p>
            <w:pPr>
              <w:jc w:val="right"/>
              <w:ind w:right="107"/>
              <w:spacing w:after="0" w:line="157" w:lineRule="exact"/>
              <w:rPr>
                <w:sz w:val="20"/>
                <w:szCs w:val="20"/>
                <w:color w:val="auto"/>
              </w:rPr>
            </w:pPr>
            <w:r>
              <w:rPr>
                <w:rFonts w:ascii="Arial" w:cs="Arial" w:eastAsia="Arial" w:hAnsi="Arial"/>
                <w:sz w:val="15"/>
                <w:szCs w:val="15"/>
                <w:color w:val="231F20"/>
              </w:rPr>
              <w:t>Restructuring</w:t>
            </w:r>
          </w:p>
        </w:tc>
        <w:tc>
          <w:tcPr>
            <w:tcW w:w="34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5"/>
                <w:szCs w:val="15"/>
                <w:color w:val="231F20"/>
              </w:rPr>
              <w:t>Products</w:t>
            </w:r>
          </w:p>
        </w:tc>
        <w:tc>
          <w:tcPr>
            <w:tcW w:w="360" w:type="dxa"/>
            <w:vAlign w:val="bottom"/>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231F20"/>
              </w:rPr>
              <w:t>Total</w:t>
            </w:r>
          </w:p>
        </w:tc>
      </w:tr>
      <w:tr>
        <w:trPr>
          <w:trHeight w:val="207"/>
        </w:trPr>
        <w:tc>
          <w:tcPr>
            <w:tcW w:w="4620" w:type="dxa"/>
            <w:vAlign w:val="bottom"/>
            <w:tcBorders>
              <w:bottom w:val="single" w:sz="8" w:color="231F20"/>
            </w:tcBorders>
          </w:tcPr>
          <w:p>
            <w:pPr>
              <w:jc w:val="right"/>
              <w:spacing w:after="0" w:line="206" w:lineRule="exact"/>
              <w:rPr>
                <w:sz w:val="20"/>
                <w:szCs w:val="20"/>
                <w:color w:val="auto"/>
              </w:rPr>
            </w:pPr>
            <w:r>
              <w:rPr>
                <w:rFonts w:ascii="Arial" w:cs="Arial" w:eastAsia="Arial" w:hAnsi="Arial"/>
                <w:sz w:val="15"/>
                <w:szCs w:val="15"/>
                <w:i w:val="1"/>
                <w:iCs w:val="1"/>
                <w:color w:val="231F20"/>
              </w:rPr>
              <w:t>(In millions)</w:t>
            </w:r>
            <w:r>
              <w:rPr>
                <w:rFonts w:ascii="Times New Roman" w:cs="Times New Roman" w:eastAsia="Times New Roman" w:hAnsi="Times New Roman"/>
                <w:sz w:val="20"/>
                <w:szCs w:val="20"/>
                <w:color w:val="231F20"/>
              </w:rPr>
              <w:t>...........................................................................</w:t>
            </w:r>
          </w:p>
        </w:tc>
        <w:tc>
          <w:tcPr>
            <w:tcW w:w="18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right w:val="single" w:sz="8" w:color="231F20"/>
            </w:tcBorders>
          </w:tcPr>
          <w:p>
            <w:pPr>
              <w:jc w:val="right"/>
              <w:ind w:right="107"/>
              <w:spacing w:after="0"/>
              <w:rPr>
                <w:sz w:val="20"/>
                <w:szCs w:val="20"/>
                <w:color w:val="auto"/>
              </w:rPr>
            </w:pPr>
            <w:r>
              <w:rPr>
                <w:rFonts w:ascii="Arial" w:cs="Arial" w:eastAsia="Arial" w:hAnsi="Arial"/>
                <w:sz w:val="15"/>
                <w:szCs w:val="15"/>
                <w:color w:val="231F20"/>
              </w:rPr>
              <w:t>Charges</w:t>
            </w:r>
          </w:p>
        </w:tc>
        <w:tc>
          <w:tcPr>
            <w:tcW w:w="34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Sold</w:t>
            </w:r>
          </w:p>
        </w:tc>
        <w:tc>
          <w:tcPr>
            <w:tcW w:w="36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right w:val="single" w:sz="8" w:color="231F20"/>
            </w:tcBorders>
          </w:tcPr>
          <w:p>
            <w:pPr>
              <w:jc w:val="right"/>
              <w:ind w:right="104"/>
              <w:spacing w:after="0" w:line="207" w:lineRule="exact"/>
              <w:rPr>
                <w:sz w:val="20"/>
                <w:szCs w:val="20"/>
                <w:color w:val="auto"/>
              </w:rPr>
            </w:pPr>
            <w:r>
              <w:rPr>
                <w:rFonts w:ascii="Arial" w:cs="Arial" w:eastAsia="Arial" w:hAnsi="Arial"/>
                <w:sz w:val="15"/>
                <w:szCs w:val="15"/>
                <w:color w:val="231F20"/>
              </w:rPr>
              <w:t>SG&amp;A</w:t>
            </w:r>
            <w:r>
              <w:rPr>
                <w:rFonts w:ascii="Arial" w:cs="Arial" w:eastAsia="Arial" w:hAnsi="Arial"/>
                <w:sz w:val="20"/>
                <w:szCs w:val="20"/>
                <w:color w:val="231F20"/>
                <w:vertAlign w:val="superscript"/>
              </w:rPr>
              <w:t>(b)</w:t>
            </w:r>
          </w:p>
        </w:tc>
        <w:tc>
          <w:tcPr>
            <w:tcW w:w="32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Charges</w:t>
            </w:r>
          </w:p>
        </w:tc>
      </w:tr>
      <w:tr>
        <w:trPr>
          <w:trHeight w:val="202"/>
        </w:trPr>
        <w:tc>
          <w:tcPr>
            <w:tcW w:w="4620" w:type="dxa"/>
            <w:vAlign w:val="bottom"/>
          </w:tcPr>
          <w:p>
            <w:pPr>
              <w:jc w:val="right"/>
              <w:spacing w:after="0" w:line="202" w:lineRule="exact"/>
              <w:rPr>
                <w:sz w:val="20"/>
                <w:szCs w:val="20"/>
                <w:color w:val="auto"/>
              </w:rPr>
            </w:pPr>
            <w:r>
              <w:rPr>
                <w:rFonts w:ascii="Arial" w:cs="Arial" w:eastAsia="Arial" w:hAnsi="Arial"/>
                <w:sz w:val="20"/>
                <w:szCs w:val="20"/>
                <w:color w:val="231F20"/>
              </w:rPr>
              <w:t xml:space="preserve">Water </w:t>
            </w:r>
            <w:r>
              <w:rPr>
                <w:rFonts w:ascii="Times New Roman" w:cs="Times New Roman" w:eastAsia="Times New Roman" w:hAnsi="Times New Roman"/>
                <w:sz w:val="20"/>
                <w:szCs w:val="20"/>
                <w:color w:val="231F20"/>
              </w:rPr>
              <w:t>...............................................................................</w:t>
            </w:r>
          </w:p>
        </w:tc>
        <w:tc>
          <w:tcPr>
            <w:tcW w:w="18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1120" w:type="dxa"/>
            <w:vAlign w:val="bottom"/>
            <w:tcBorders>
              <w:right w:val="single" w:sz="8" w:color="231F20"/>
            </w:tcBorders>
          </w:tcPr>
          <w:p>
            <w:pPr>
              <w:jc w:val="right"/>
              <w:ind w:right="47"/>
              <w:spacing w:after="0" w:line="203" w:lineRule="exact"/>
              <w:rPr>
                <w:sz w:val="20"/>
                <w:szCs w:val="20"/>
                <w:color w:val="auto"/>
              </w:rPr>
            </w:pPr>
            <w:r>
              <w:rPr>
                <w:rFonts w:ascii="Arial" w:cs="Arial" w:eastAsia="Arial" w:hAnsi="Arial"/>
                <w:sz w:val="20"/>
                <w:szCs w:val="20"/>
                <w:color w:val="231F20"/>
              </w:rPr>
              <w:t>(1.1)</w:t>
            </w:r>
          </w:p>
        </w:tc>
        <w:tc>
          <w:tcPr>
            <w:tcW w:w="340" w:type="dxa"/>
            <w:vAlign w:val="bottom"/>
          </w:tcPr>
          <w:p>
            <w:pPr>
              <w:jc w:val="right"/>
              <w:ind w:right="47"/>
              <w:spacing w:after="0" w:line="203" w:lineRule="exact"/>
              <w:rPr>
                <w:sz w:val="20"/>
                <w:szCs w:val="20"/>
                <w:color w:val="auto"/>
              </w:rPr>
            </w:pPr>
            <w:r>
              <w:rPr>
                <w:rFonts w:ascii="Arial" w:cs="Arial" w:eastAsia="Arial" w:hAnsi="Arial"/>
                <w:sz w:val="20"/>
                <w:szCs w:val="20"/>
                <w:color w:val="231F20"/>
              </w:rPr>
              <w:t>$</w:t>
            </w:r>
          </w:p>
        </w:tc>
        <w:tc>
          <w:tcPr>
            <w:tcW w:w="820" w:type="dxa"/>
            <w:vAlign w:val="bottom"/>
          </w:tcPr>
          <w:p>
            <w:pPr>
              <w:jc w:val="right"/>
              <w:spacing w:after="0" w:line="203" w:lineRule="exact"/>
              <w:rPr>
                <w:sz w:val="20"/>
                <w:szCs w:val="20"/>
                <w:color w:val="auto"/>
              </w:rPr>
            </w:pPr>
            <w:r>
              <w:rPr>
                <w:rFonts w:ascii="Arial" w:cs="Arial" w:eastAsia="Arial" w:hAnsi="Arial"/>
                <w:sz w:val="20"/>
                <w:szCs w:val="20"/>
                <w:color w:val="231F20"/>
              </w:rPr>
              <w:t>2.0</w:t>
            </w:r>
          </w:p>
        </w:tc>
        <w:tc>
          <w:tcPr>
            <w:tcW w:w="360" w:type="dxa"/>
            <w:vAlign w:val="bottom"/>
          </w:tcPr>
          <w:p>
            <w:pPr>
              <w:jc w:val="right"/>
              <w:ind w:right="39"/>
              <w:spacing w:after="0" w:line="203" w:lineRule="exact"/>
              <w:rPr>
                <w:sz w:val="20"/>
                <w:szCs w:val="20"/>
                <w:color w:val="auto"/>
              </w:rPr>
            </w:pPr>
            <w:r>
              <w:rPr>
                <w:rFonts w:ascii="Arial" w:cs="Arial" w:eastAsia="Arial" w:hAnsi="Arial"/>
                <w:sz w:val="20"/>
                <w:szCs w:val="20"/>
                <w:color w:val="231F20"/>
              </w:rPr>
              <w:t>$</w:t>
            </w:r>
          </w:p>
        </w:tc>
        <w:tc>
          <w:tcPr>
            <w:tcW w:w="880" w:type="dxa"/>
            <w:vAlign w:val="bottom"/>
            <w:tcBorders>
              <w:right w:val="single" w:sz="8" w:color="231F20"/>
            </w:tcBorders>
          </w:tcPr>
          <w:p>
            <w:pPr>
              <w:jc w:val="right"/>
              <w:ind w:right="104"/>
              <w:spacing w:after="0" w:line="203" w:lineRule="exact"/>
              <w:rPr>
                <w:sz w:val="20"/>
                <w:szCs w:val="20"/>
                <w:color w:val="auto"/>
              </w:rPr>
            </w:pPr>
            <w:r>
              <w:rPr>
                <w:rFonts w:ascii="Arial" w:cs="Arial" w:eastAsia="Arial" w:hAnsi="Arial"/>
                <w:sz w:val="20"/>
                <w:szCs w:val="20"/>
                <w:color w:val="231F20"/>
              </w:rPr>
              <w:t>2.1</w:t>
            </w:r>
          </w:p>
        </w:tc>
        <w:tc>
          <w:tcPr>
            <w:tcW w:w="320" w:type="dxa"/>
            <w:vAlign w:val="bottom"/>
          </w:tcPr>
          <w:p>
            <w:pPr>
              <w:jc w:val="right"/>
              <w:ind w:right="19"/>
              <w:spacing w:after="0" w:line="203" w:lineRule="exact"/>
              <w:rPr>
                <w:sz w:val="20"/>
                <w:szCs w:val="20"/>
                <w:color w:val="auto"/>
              </w:rPr>
            </w:pPr>
            <w:r>
              <w:rPr>
                <w:rFonts w:ascii="Arial" w:cs="Arial" w:eastAsia="Arial" w:hAnsi="Arial"/>
                <w:sz w:val="20"/>
                <w:szCs w:val="20"/>
                <w:color w:val="231F20"/>
              </w:rPr>
              <w:t>$</w:t>
            </w:r>
          </w:p>
        </w:tc>
        <w:tc>
          <w:tcPr>
            <w:tcW w:w="800" w:type="dxa"/>
            <w:vAlign w:val="bottom"/>
          </w:tcPr>
          <w:p>
            <w:pPr>
              <w:jc w:val="right"/>
              <w:spacing w:after="0" w:line="203" w:lineRule="exact"/>
              <w:rPr>
                <w:sz w:val="20"/>
                <w:szCs w:val="20"/>
                <w:color w:val="auto"/>
              </w:rPr>
            </w:pPr>
            <w:r>
              <w:rPr>
                <w:rFonts w:ascii="Arial" w:cs="Arial" w:eastAsia="Arial" w:hAnsi="Arial"/>
                <w:sz w:val="20"/>
                <w:szCs w:val="20"/>
                <w:color w:val="231F20"/>
              </w:rPr>
              <w:t>3.0</w:t>
            </w:r>
          </w:p>
        </w:tc>
      </w:tr>
      <w:tr>
        <w:trPr>
          <w:trHeight w:val="233"/>
        </w:trPr>
        <w:tc>
          <w:tcPr>
            <w:tcW w:w="4620" w:type="dxa"/>
            <w:vAlign w:val="bottom"/>
          </w:tcPr>
          <w:p>
            <w:pPr>
              <w:jc w:val="right"/>
              <w:spacing w:after="0"/>
              <w:rPr>
                <w:sz w:val="20"/>
                <w:szCs w:val="20"/>
                <w:color w:val="auto"/>
              </w:rPr>
            </w:pPr>
            <w:r>
              <w:rPr>
                <w:rFonts w:ascii="Arial" w:cs="Arial" w:eastAsia="Arial" w:hAnsi="Arial"/>
                <w:sz w:val="20"/>
                <w:szCs w:val="20"/>
                <w:color w:val="231F20"/>
              </w:rPr>
              <w:t xml:space="preserve">Outdoors </w:t>
            </w:r>
            <w:r>
              <w:rPr>
                <w:rFonts w:ascii="Times New Roman" w:cs="Times New Roman" w:eastAsia="Times New Roman" w:hAnsi="Times New Roman"/>
                <w:sz w:val="20"/>
                <w:szCs w:val="20"/>
                <w:color w:val="231F20"/>
              </w:rPr>
              <w:t>.........................................................................</w:t>
            </w:r>
          </w:p>
        </w:tc>
        <w:tc>
          <w:tcPr>
            <w:tcW w:w="180" w:type="dxa"/>
            <w:vAlign w:val="bottom"/>
          </w:tcPr>
          <w:p>
            <w:pPr>
              <w:spacing w:after="0"/>
              <w:rPr>
                <w:sz w:val="20"/>
                <w:szCs w:val="20"/>
                <w:color w:val="auto"/>
              </w:rPr>
            </w:pPr>
          </w:p>
        </w:tc>
        <w:tc>
          <w:tcPr>
            <w:tcW w:w="1120" w:type="dxa"/>
            <w:vAlign w:val="bottom"/>
            <w:tcBorders>
              <w:right w:val="single" w:sz="8" w:color="231F20"/>
            </w:tcBorders>
          </w:tcPr>
          <w:p>
            <w:pPr>
              <w:jc w:val="right"/>
              <w:ind w:right="107"/>
              <w:spacing w:after="0"/>
              <w:rPr>
                <w:sz w:val="20"/>
                <w:szCs w:val="20"/>
                <w:color w:val="auto"/>
              </w:rPr>
            </w:pPr>
            <w:r>
              <w:rPr>
                <w:rFonts w:ascii="Arial" w:cs="Arial" w:eastAsia="Arial" w:hAnsi="Arial"/>
                <w:sz w:val="20"/>
                <w:szCs w:val="20"/>
                <w:color w:val="231F20"/>
              </w:rPr>
              <w:t>8.3</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231F20"/>
              </w:rPr>
              <w:t>—</w:t>
            </w:r>
          </w:p>
        </w:tc>
        <w:tc>
          <w:tcPr>
            <w:tcW w:w="360" w:type="dxa"/>
            <w:vAlign w:val="bottom"/>
          </w:tcPr>
          <w:p>
            <w:pPr>
              <w:spacing w:after="0"/>
              <w:rPr>
                <w:sz w:val="20"/>
                <w:szCs w:val="20"/>
                <w:color w:val="auto"/>
              </w:rPr>
            </w:pPr>
          </w:p>
        </w:tc>
        <w:tc>
          <w:tcPr>
            <w:tcW w:w="880" w:type="dxa"/>
            <w:vAlign w:val="bottom"/>
            <w:tcBorders>
              <w:right w:val="single" w:sz="8" w:color="231F20"/>
            </w:tcBorders>
          </w:tcPr>
          <w:p>
            <w:pPr>
              <w:jc w:val="right"/>
              <w:ind w:right="44"/>
              <w:spacing w:after="0"/>
              <w:rPr>
                <w:sz w:val="20"/>
                <w:szCs w:val="20"/>
                <w:color w:val="auto"/>
              </w:rPr>
            </w:pPr>
            <w:r>
              <w:rPr>
                <w:rFonts w:ascii="Arial" w:cs="Arial" w:eastAsia="Arial" w:hAnsi="Arial"/>
                <w:sz w:val="20"/>
                <w:szCs w:val="20"/>
                <w:color w:val="231F20"/>
              </w:rPr>
              <w:t>(0.6)</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231F20"/>
              </w:rPr>
              <w:t>7.7</w:t>
            </w:r>
          </w:p>
        </w:tc>
      </w:tr>
      <w:tr>
        <w:trPr>
          <w:trHeight w:val="253"/>
        </w:trPr>
        <w:tc>
          <w:tcPr>
            <w:tcW w:w="46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 xml:space="preserve">Security </w:t>
            </w:r>
            <w:r>
              <w:rPr>
                <w:rFonts w:ascii="Times New Roman" w:cs="Times New Roman" w:eastAsia="Times New Roman" w:hAnsi="Times New Roman"/>
                <w:sz w:val="20"/>
                <w:szCs w:val="20"/>
                <w:color w:val="231F20"/>
              </w:rPr>
              <w:t>...........................................................................</w:t>
            </w:r>
          </w:p>
        </w:tc>
        <w:tc>
          <w:tcPr>
            <w:tcW w:w="18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right w:val="single" w:sz="8" w:color="231F20"/>
            </w:tcBorders>
          </w:tcPr>
          <w:p>
            <w:pPr>
              <w:jc w:val="right"/>
              <w:ind w:right="107"/>
              <w:spacing w:after="0"/>
              <w:rPr>
                <w:sz w:val="20"/>
                <w:szCs w:val="20"/>
                <w:color w:val="auto"/>
              </w:rPr>
            </w:pPr>
            <w:r>
              <w:rPr>
                <w:rFonts w:ascii="Arial" w:cs="Arial" w:eastAsia="Arial" w:hAnsi="Arial"/>
                <w:sz w:val="20"/>
                <w:szCs w:val="20"/>
                <w:color w:val="231F20"/>
              </w:rPr>
              <w:t>2.1</w:t>
            </w:r>
          </w:p>
        </w:tc>
        <w:tc>
          <w:tcPr>
            <w:tcW w:w="34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right w:val="single" w:sz="8" w:color="231F20"/>
            </w:tcBorders>
          </w:tcPr>
          <w:p>
            <w:pPr>
              <w:jc w:val="right"/>
              <w:ind w:right="104"/>
              <w:spacing w:after="0"/>
              <w:rPr>
                <w:sz w:val="20"/>
                <w:szCs w:val="20"/>
                <w:color w:val="auto"/>
              </w:rPr>
            </w:pPr>
            <w:r>
              <w:rPr>
                <w:rFonts w:ascii="Arial" w:cs="Arial" w:eastAsia="Arial" w:hAnsi="Arial"/>
                <w:sz w:val="20"/>
                <w:szCs w:val="20"/>
                <w:color w:val="231F20"/>
              </w:rPr>
              <w:t>—</w:t>
            </w:r>
          </w:p>
        </w:tc>
        <w:tc>
          <w:tcPr>
            <w:tcW w:w="32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2.1</w:t>
            </w:r>
          </w:p>
        </w:tc>
      </w:tr>
      <w:tr>
        <w:trPr>
          <w:trHeight w:val="248"/>
        </w:trPr>
        <w:tc>
          <w:tcPr>
            <w:tcW w:w="46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Total </w:t>
            </w:r>
            <w:r>
              <w:rPr>
                <w:rFonts w:ascii="Times New Roman" w:cs="Times New Roman" w:eastAsia="Times New Roman" w:hAnsi="Times New Roman"/>
                <w:sz w:val="20"/>
                <w:szCs w:val="20"/>
                <w:color w:val="231F20"/>
              </w:rPr>
              <w:t>..............................................................................</w:t>
            </w:r>
          </w:p>
        </w:tc>
        <w:tc>
          <w:tcPr>
            <w:tcW w:w="1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120" w:type="dxa"/>
            <w:vAlign w:val="bottom"/>
            <w:tcBorders>
              <w:bottom w:val="single" w:sz="8" w:color="231F20"/>
              <w:right w:val="single" w:sz="8" w:color="231F20"/>
            </w:tcBorders>
          </w:tcPr>
          <w:p>
            <w:pPr>
              <w:jc w:val="right"/>
              <w:ind w:right="107"/>
              <w:spacing w:after="0" w:line="223" w:lineRule="exact"/>
              <w:rPr>
                <w:sz w:val="20"/>
                <w:szCs w:val="20"/>
                <w:color w:val="auto"/>
              </w:rPr>
            </w:pPr>
            <w:r>
              <w:rPr>
                <w:rFonts w:ascii="Arial" w:cs="Arial" w:eastAsia="Arial" w:hAnsi="Arial"/>
                <w:sz w:val="20"/>
                <w:szCs w:val="20"/>
                <w:color w:val="231F20"/>
              </w:rPr>
              <w:t>9.3</w:t>
            </w:r>
          </w:p>
        </w:tc>
        <w:tc>
          <w:tcPr>
            <w:tcW w:w="340" w:type="dxa"/>
            <w:vAlign w:val="bottom"/>
            <w:tcBorders>
              <w:bottom w:val="single" w:sz="8" w:color="231F20"/>
            </w:tcBorders>
          </w:tcPr>
          <w:p>
            <w:pPr>
              <w:jc w:val="right"/>
              <w:ind w:right="47"/>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2.0</w:t>
            </w:r>
          </w:p>
        </w:tc>
        <w:tc>
          <w:tcPr>
            <w:tcW w:w="360" w:type="dxa"/>
            <w:vAlign w:val="bottom"/>
            <w:tcBorders>
              <w:bottom w:val="single" w:sz="8" w:color="231F20"/>
            </w:tcBorders>
          </w:tcPr>
          <w:p>
            <w:pPr>
              <w:jc w:val="right"/>
              <w:ind w:right="39"/>
              <w:spacing w:after="0" w:line="223" w:lineRule="exact"/>
              <w:rPr>
                <w:sz w:val="20"/>
                <w:szCs w:val="20"/>
                <w:color w:val="auto"/>
              </w:rPr>
            </w:pPr>
            <w:r>
              <w:rPr>
                <w:rFonts w:ascii="Arial" w:cs="Arial" w:eastAsia="Arial" w:hAnsi="Arial"/>
                <w:sz w:val="20"/>
                <w:szCs w:val="20"/>
                <w:color w:val="231F20"/>
              </w:rPr>
              <w:t>$</w:t>
            </w:r>
          </w:p>
        </w:tc>
        <w:tc>
          <w:tcPr>
            <w:tcW w:w="880" w:type="dxa"/>
            <w:vAlign w:val="bottom"/>
            <w:tcBorders>
              <w:bottom w:val="single" w:sz="8" w:color="231F20"/>
              <w:right w:val="single" w:sz="8" w:color="231F20"/>
            </w:tcBorders>
          </w:tcPr>
          <w:p>
            <w:pPr>
              <w:jc w:val="right"/>
              <w:ind w:right="104"/>
              <w:spacing w:after="0" w:line="223" w:lineRule="exact"/>
              <w:rPr>
                <w:sz w:val="20"/>
                <w:szCs w:val="20"/>
                <w:color w:val="auto"/>
              </w:rPr>
            </w:pPr>
            <w:r>
              <w:rPr>
                <w:rFonts w:ascii="Arial" w:cs="Arial" w:eastAsia="Arial" w:hAnsi="Arial"/>
                <w:sz w:val="20"/>
                <w:szCs w:val="20"/>
                <w:color w:val="231F20"/>
              </w:rPr>
              <w:t>1.5</w:t>
            </w:r>
          </w:p>
        </w:tc>
        <w:tc>
          <w:tcPr>
            <w:tcW w:w="320" w:type="dxa"/>
            <w:vAlign w:val="bottom"/>
            <w:tcBorders>
              <w:bottom w:val="single" w:sz="8" w:color="231F20"/>
            </w:tcBorders>
          </w:tcPr>
          <w:p>
            <w:pPr>
              <w:jc w:val="right"/>
              <w:ind w:right="19"/>
              <w:spacing w:after="0" w:line="223" w:lineRule="exact"/>
              <w:rPr>
                <w:sz w:val="20"/>
                <w:szCs w:val="20"/>
                <w:color w:val="auto"/>
              </w:rPr>
            </w:pPr>
            <w:r>
              <w:rPr>
                <w:rFonts w:ascii="Arial" w:cs="Arial" w:eastAsia="Arial" w:hAnsi="Arial"/>
                <w:sz w:val="20"/>
                <w:szCs w:val="20"/>
                <w:color w:val="231F20"/>
              </w:rPr>
              <w:t>$</w:t>
            </w:r>
          </w:p>
        </w:tc>
        <w:tc>
          <w:tcPr>
            <w:tcW w:w="8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12.8</w:t>
            </w:r>
          </w:p>
        </w:tc>
      </w:tr>
    </w:tbl>
    <w:p>
      <w:pPr>
        <w:spacing w:after="0" w:line="131" w:lineRule="exact"/>
        <w:rPr>
          <w:sz w:val="20"/>
          <w:szCs w:val="20"/>
          <w:color w:val="auto"/>
        </w:rPr>
      </w:pPr>
    </w:p>
    <w:p>
      <w:pPr>
        <w:jc w:val="both"/>
        <w:ind w:left="320" w:right="200" w:hanging="314"/>
        <w:spacing w:after="0" w:line="247" w:lineRule="auto"/>
        <w:tabs>
          <w:tab w:leader="none" w:pos="320" w:val="left"/>
        </w:tabs>
        <w:numPr>
          <w:ilvl w:val="0"/>
          <w:numId w:val="48"/>
        </w:numPr>
        <w:rPr>
          <w:rFonts w:ascii="Arial" w:cs="Arial" w:eastAsia="Arial" w:hAnsi="Arial"/>
          <w:sz w:val="10"/>
          <w:szCs w:val="10"/>
          <w:i w:val="1"/>
          <w:iCs w:val="1"/>
          <w:color w:val="231F20"/>
        </w:rPr>
      </w:pPr>
      <w:r>
        <w:rPr>
          <w:rFonts w:ascii="Arial" w:cs="Arial" w:eastAsia="Arial" w:hAnsi="Arial"/>
          <w:sz w:val="16"/>
          <w:szCs w:val="16"/>
          <w:i w:val="1"/>
          <w:iCs w:val="1"/>
          <w:color w:val="231F20"/>
        </w:rPr>
        <w:t>“Other Charges” represent charges or gains directly related to restructuring initiatives that cannot be reported as restructuring under GAAP. Such charges or gains may include losses on disposal of inventories, trade receivables allowances from exiting product lines, write-off of displays from exiting a customer relationship, accelerated depreciation resulting from the closure of facilities, and gains and losses on the sale of previously closed facilities.</w:t>
      </w:r>
    </w:p>
    <w:p>
      <w:pPr>
        <w:ind w:left="320" w:hanging="314"/>
        <w:spacing w:after="0"/>
        <w:tabs>
          <w:tab w:leader="none" w:pos="320" w:val="left"/>
        </w:tabs>
        <w:numPr>
          <w:ilvl w:val="0"/>
          <w:numId w:val="48"/>
        </w:numPr>
        <w:rPr>
          <w:rFonts w:ascii="Arial" w:cs="Arial" w:eastAsia="Arial" w:hAnsi="Arial"/>
          <w:sz w:val="10"/>
          <w:szCs w:val="10"/>
          <w:i w:val="1"/>
          <w:iCs w:val="1"/>
          <w:color w:val="231F20"/>
        </w:rPr>
      </w:pPr>
      <w:r>
        <w:rPr>
          <w:rFonts w:ascii="Arial" w:cs="Arial" w:eastAsia="Arial" w:hAnsi="Arial"/>
          <w:sz w:val="16"/>
          <w:szCs w:val="16"/>
          <w:i w:val="1"/>
          <w:iCs w:val="1"/>
          <w:color w:val="231F20"/>
        </w:rPr>
        <w:t>Selling, general and administrative expenses.</w:t>
      </w:r>
    </w:p>
    <w:p>
      <w:pPr>
        <w:spacing w:after="0" w:line="144" w:lineRule="exact"/>
        <w:rPr>
          <w:sz w:val="20"/>
          <w:szCs w:val="20"/>
          <w:color w:val="auto"/>
        </w:rPr>
      </w:pPr>
    </w:p>
    <w:p>
      <w:pPr>
        <w:ind w:right="500"/>
        <w:spacing w:after="0" w:line="246" w:lineRule="auto"/>
        <w:rPr>
          <w:sz w:val="20"/>
          <w:szCs w:val="20"/>
          <w:color w:val="auto"/>
        </w:rPr>
      </w:pPr>
      <w:r>
        <w:rPr>
          <w:rFonts w:ascii="Arial" w:cs="Arial" w:eastAsia="Arial" w:hAnsi="Arial"/>
          <w:sz w:val="20"/>
          <w:szCs w:val="20"/>
          <w:color w:val="231F20"/>
        </w:rPr>
        <w:t>Restructuring and other charges in 2021 were largely related to severance costs associated with the relocation of manufacturing facilities in the Outdoors segment and headcount actions across all segments.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Reconciliation of Restructuring Liability</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880" w:type="dxa"/>
            <w:vAlign w:val="bottom"/>
            <w:tcBorders>
              <w:top w:val="single" w:sz="8" w:color="231F20"/>
            </w:tcBorders>
          </w:tcPr>
          <w:p>
            <w:pPr>
              <w:spacing w:after="0"/>
              <w:rPr>
                <w:sz w:val="14"/>
                <w:szCs w:val="14"/>
                <w:color w:val="auto"/>
              </w:rPr>
            </w:pPr>
          </w:p>
        </w:tc>
        <w:tc>
          <w:tcPr>
            <w:tcW w:w="220" w:type="dxa"/>
            <w:vAlign w:val="bottom"/>
            <w:tcBorders>
              <w:top w:val="single" w:sz="8" w:color="231F20"/>
            </w:tcBorders>
          </w:tcPr>
          <w:p>
            <w:pPr>
              <w:spacing w:after="0"/>
              <w:rPr>
                <w:sz w:val="14"/>
                <w:szCs w:val="14"/>
                <w:color w:val="auto"/>
              </w:rPr>
            </w:pPr>
          </w:p>
        </w:tc>
        <w:tc>
          <w:tcPr>
            <w:tcW w:w="840" w:type="dxa"/>
            <w:vAlign w:val="bottom"/>
            <w:tcBorders>
              <w:top w:val="single" w:sz="8" w:color="231F20"/>
            </w:tcBorders>
            <w:vMerge w:val="restart"/>
          </w:tcPr>
          <w:p>
            <w:pPr>
              <w:jc w:val="right"/>
              <w:spacing w:after="0"/>
              <w:rPr>
                <w:sz w:val="20"/>
                <w:szCs w:val="20"/>
                <w:color w:val="auto"/>
              </w:rPr>
            </w:pPr>
            <w:r>
              <w:rPr>
                <w:rFonts w:ascii="Arial" w:cs="Arial" w:eastAsia="Arial" w:hAnsi="Arial"/>
                <w:sz w:val="15"/>
                <w:szCs w:val="15"/>
                <w:color w:val="231F20"/>
              </w:rPr>
              <w:t>Balance at</w:t>
            </w:r>
          </w:p>
        </w:tc>
        <w:tc>
          <w:tcPr>
            <w:tcW w:w="320" w:type="dxa"/>
            <w:vAlign w:val="bottom"/>
            <w:tcBorders>
              <w:top w:val="single" w:sz="8" w:color="231F20"/>
            </w:tcBorders>
          </w:tcPr>
          <w:p>
            <w:pPr>
              <w:spacing w:after="0"/>
              <w:rPr>
                <w:sz w:val="14"/>
                <w:szCs w:val="14"/>
                <w:color w:val="auto"/>
              </w:rPr>
            </w:pPr>
          </w:p>
        </w:tc>
        <w:tc>
          <w:tcPr>
            <w:tcW w:w="820" w:type="dxa"/>
            <w:vAlign w:val="bottom"/>
            <w:tcBorders>
              <w:top w:val="single" w:sz="8" w:color="231F20"/>
            </w:tcBorders>
            <w:vMerge w:val="restart"/>
          </w:tcPr>
          <w:p>
            <w:pPr>
              <w:jc w:val="right"/>
              <w:ind w:right="9"/>
              <w:spacing w:after="0"/>
              <w:rPr>
                <w:sz w:val="20"/>
                <w:szCs w:val="20"/>
                <w:color w:val="auto"/>
              </w:rPr>
            </w:pPr>
            <w:r>
              <w:rPr>
                <w:rFonts w:ascii="Arial" w:cs="Arial" w:eastAsia="Arial" w:hAnsi="Arial"/>
                <w:sz w:val="15"/>
                <w:szCs w:val="15"/>
                <w:color w:val="231F20"/>
              </w:rPr>
              <w:t>2023</w:t>
            </w:r>
          </w:p>
        </w:tc>
        <w:tc>
          <w:tcPr>
            <w:tcW w:w="400" w:type="dxa"/>
            <w:vAlign w:val="bottom"/>
            <w:tcBorders>
              <w:top w:val="single" w:sz="8" w:color="231F20"/>
            </w:tcBorders>
          </w:tcPr>
          <w:p>
            <w:pPr>
              <w:spacing w:after="0"/>
              <w:rPr>
                <w:sz w:val="14"/>
                <w:szCs w:val="14"/>
                <w:color w:val="auto"/>
              </w:rPr>
            </w:pPr>
          </w:p>
        </w:tc>
        <w:tc>
          <w:tcPr>
            <w:tcW w:w="780" w:type="dxa"/>
            <w:vAlign w:val="bottom"/>
            <w:tcBorders>
              <w:top w:val="single" w:sz="8" w:color="231F20"/>
            </w:tcBorders>
          </w:tcPr>
          <w:p>
            <w:pPr>
              <w:jc w:val="right"/>
              <w:ind w:right="34"/>
              <w:spacing w:after="0" w:line="169" w:lineRule="exact"/>
              <w:rPr>
                <w:sz w:val="20"/>
                <w:szCs w:val="20"/>
                <w:color w:val="auto"/>
              </w:rPr>
            </w:pPr>
            <w:r>
              <w:rPr>
                <w:rFonts w:ascii="Arial" w:cs="Arial" w:eastAsia="Arial" w:hAnsi="Arial"/>
                <w:sz w:val="15"/>
                <w:szCs w:val="15"/>
                <w:color w:val="231F20"/>
              </w:rPr>
              <w:t>Cash</w:t>
            </w:r>
          </w:p>
        </w:tc>
        <w:tc>
          <w:tcPr>
            <w:tcW w:w="240" w:type="dxa"/>
            <w:vAlign w:val="bottom"/>
            <w:tcBorders>
              <w:top w:val="single" w:sz="8" w:color="231F20"/>
            </w:tcBorders>
          </w:tcPr>
          <w:p>
            <w:pPr>
              <w:spacing w:after="0"/>
              <w:rPr>
                <w:sz w:val="14"/>
                <w:szCs w:val="14"/>
                <w:color w:val="auto"/>
              </w:rPr>
            </w:pPr>
          </w:p>
        </w:tc>
        <w:tc>
          <w:tcPr>
            <w:tcW w:w="860" w:type="dxa"/>
            <w:vAlign w:val="bottom"/>
            <w:tcBorders>
              <w:top w:val="single" w:sz="8" w:color="231F20"/>
            </w:tcBorders>
            <w:vMerge w:val="restart"/>
          </w:tcPr>
          <w:p>
            <w:pPr>
              <w:jc w:val="right"/>
              <w:ind w:right="29"/>
              <w:spacing w:after="0"/>
              <w:rPr>
                <w:sz w:val="20"/>
                <w:szCs w:val="20"/>
                <w:color w:val="auto"/>
              </w:rPr>
            </w:pPr>
            <w:r>
              <w:rPr>
                <w:rFonts w:ascii="Arial" w:cs="Arial" w:eastAsia="Arial" w:hAnsi="Arial"/>
                <w:sz w:val="15"/>
                <w:szCs w:val="15"/>
                <w:color w:val="231F20"/>
              </w:rPr>
              <w:t>Non-Cash</w:t>
            </w:r>
          </w:p>
        </w:tc>
        <w:tc>
          <w:tcPr>
            <w:tcW w:w="220" w:type="dxa"/>
            <w:vAlign w:val="bottom"/>
            <w:tcBorders>
              <w:top w:val="single" w:sz="8" w:color="231F20"/>
            </w:tcBorders>
          </w:tcPr>
          <w:p>
            <w:pPr>
              <w:spacing w:after="0"/>
              <w:rPr>
                <w:sz w:val="14"/>
                <w:szCs w:val="14"/>
                <w:color w:val="auto"/>
              </w:rPr>
            </w:pPr>
          </w:p>
        </w:tc>
        <w:tc>
          <w:tcPr>
            <w:tcW w:w="860" w:type="dxa"/>
            <w:vAlign w:val="bottom"/>
            <w:tcBorders>
              <w:top w:val="single" w:sz="8" w:color="231F20"/>
            </w:tcBorders>
            <w:vMerge w:val="restart"/>
          </w:tcPr>
          <w:p>
            <w:pPr>
              <w:jc w:val="right"/>
              <w:spacing w:after="0"/>
              <w:rPr>
                <w:sz w:val="20"/>
                <w:szCs w:val="20"/>
                <w:color w:val="auto"/>
              </w:rPr>
            </w:pPr>
            <w:r>
              <w:rPr>
                <w:rFonts w:ascii="Arial" w:cs="Arial" w:eastAsia="Arial" w:hAnsi="Arial"/>
                <w:sz w:val="15"/>
                <w:szCs w:val="15"/>
                <w:color w:val="231F20"/>
              </w:rPr>
              <w:t>Balance at</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180" w:type="dxa"/>
            <w:vAlign w:val="bottom"/>
            <w:gridSpan w:val="2"/>
          </w:tcPr>
          <w:p>
            <w:pPr>
              <w:jc w:val="right"/>
              <w:ind w:right="34"/>
              <w:spacing w:after="0" w:line="157" w:lineRule="exact"/>
              <w:rPr>
                <w:sz w:val="20"/>
                <w:szCs w:val="20"/>
                <w:color w:val="auto"/>
              </w:rPr>
            </w:pPr>
            <w:r>
              <w:rPr>
                <w:rFonts w:ascii="Arial" w:cs="Arial" w:eastAsia="Arial" w:hAnsi="Arial"/>
                <w:sz w:val="15"/>
                <w:szCs w:val="15"/>
                <w:color w:val="231F20"/>
              </w:rPr>
              <w:t>Expenditures</w:t>
            </w: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880" w:type="dxa"/>
            <w:vAlign w:val="bottom"/>
            <w:tcBorders>
              <w:bottom w:val="single" w:sz="8" w:color="231F20"/>
            </w:tcBorders>
          </w:tcPr>
          <w:p>
            <w:pPr>
              <w:spacing w:after="0" w:line="206"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12/31/22</w:t>
            </w:r>
          </w:p>
        </w:tc>
        <w:tc>
          <w:tcPr>
            <w:tcW w:w="32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jc w:val="right"/>
              <w:ind w:right="9"/>
              <w:spacing w:after="0"/>
              <w:rPr>
                <w:sz w:val="20"/>
                <w:szCs w:val="20"/>
                <w:color w:val="auto"/>
              </w:rPr>
            </w:pPr>
            <w:r>
              <w:rPr>
                <w:rFonts w:ascii="Arial" w:cs="Arial" w:eastAsia="Arial" w:hAnsi="Arial"/>
                <w:sz w:val="15"/>
                <w:szCs w:val="15"/>
                <w:color w:val="231F20"/>
              </w:rPr>
              <w:t>Provision</w:t>
            </w:r>
          </w:p>
        </w:tc>
        <w:tc>
          <w:tcPr>
            <w:tcW w:w="4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34"/>
              <w:spacing w:after="0"/>
              <w:rPr>
                <w:sz w:val="20"/>
                <w:szCs w:val="20"/>
                <w:color w:val="auto"/>
              </w:rPr>
            </w:pPr>
            <w:r>
              <w:rPr>
                <w:rFonts w:ascii="Arial" w:cs="Arial" w:eastAsia="Arial" w:hAnsi="Arial"/>
                <w:sz w:val="10"/>
                <w:szCs w:val="10"/>
                <w:color w:val="231F20"/>
              </w:rPr>
              <w:t>(a)</w:t>
            </w:r>
          </w:p>
        </w:tc>
        <w:tc>
          <w:tcPr>
            <w:tcW w:w="24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ind w:right="29"/>
              <w:spacing w:after="0"/>
              <w:rPr>
                <w:sz w:val="20"/>
                <w:szCs w:val="20"/>
                <w:color w:val="auto"/>
              </w:rPr>
            </w:pPr>
            <w:r>
              <w:rPr>
                <w:rFonts w:ascii="Arial" w:cs="Arial" w:eastAsia="Arial" w:hAnsi="Arial"/>
                <w:sz w:val="15"/>
                <w:szCs w:val="15"/>
                <w:color w:val="231F20"/>
              </w:rPr>
              <w:t>Write-offs</w:t>
            </w:r>
          </w:p>
        </w:tc>
        <w:tc>
          <w:tcPr>
            <w:tcW w:w="22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12/30/23</w:t>
            </w:r>
          </w:p>
        </w:tc>
        <w:tc>
          <w:tcPr>
            <w:tcW w:w="0" w:type="dxa"/>
            <w:vAlign w:val="bottom"/>
          </w:tcPr>
          <w:p>
            <w:pPr>
              <w:spacing w:after="0"/>
              <w:rPr>
                <w:sz w:val="1"/>
                <w:szCs w:val="1"/>
                <w:color w:val="auto"/>
              </w:rPr>
            </w:pPr>
          </w:p>
        </w:tc>
      </w:tr>
      <w:tr>
        <w:trPr>
          <w:trHeight w:val="202"/>
        </w:trPr>
        <w:tc>
          <w:tcPr>
            <w:tcW w:w="3880" w:type="dxa"/>
            <w:vAlign w:val="bottom"/>
          </w:tcPr>
          <w:p>
            <w:pPr>
              <w:spacing w:after="0" w:line="202" w:lineRule="exact"/>
              <w:rPr>
                <w:sz w:val="20"/>
                <w:szCs w:val="20"/>
                <w:color w:val="auto"/>
              </w:rPr>
            </w:pPr>
            <w:r>
              <w:rPr>
                <w:rFonts w:ascii="Arial" w:cs="Arial" w:eastAsia="Arial" w:hAnsi="Arial"/>
                <w:sz w:val="20"/>
                <w:szCs w:val="20"/>
                <w:color w:val="231F20"/>
              </w:rPr>
              <w:t xml:space="preserve">Workforce reduction costs </w:t>
            </w:r>
            <w:r>
              <w:rPr>
                <w:rFonts w:ascii="Times New Roman" w:cs="Times New Roman" w:eastAsia="Times New Roman" w:hAnsi="Times New Roman"/>
                <w:sz w:val="20"/>
                <w:szCs w:val="20"/>
                <w:color w:val="231F20"/>
              </w:rPr>
              <w:t>.............................</w:t>
            </w:r>
          </w:p>
        </w:tc>
        <w:tc>
          <w:tcPr>
            <w:tcW w:w="22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840" w:type="dxa"/>
            <w:vAlign w:val="bottom"/>
          </w:tcPr>
          <w:p>
            <w:pPr>
              <w:jc w:val="right"/>
              <w:spacing w:after="0" w:line="203" w:lineRule="exact"/>
              <w:rPr>
                <w:sz w:val="20"/>
                <w:szCs w:val="20"/>
                <w:color w:val="auto"/>
              </w:rPr>
            </w:pPr>
            <w:r>
              <w:rPr>
                <w:rFonts w:ascii="Arial" w:cs="Arial" w:eastAsia="Arial" w:hAnsi="Arial"/>
                <w:sz w:val="20"/>
                <w:szCs w:val="20"/>
                <w:color w:val="231F20"/>
              </w:rPr>
              <w:t>16.2</w:t>
            </w:r>
          </w:p>
        </w:tc>
        <w:tc>
          <w:tcPr>
            <w:tcW w:w="32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820" w:type="dxa"/>
            <w:vAlign w:val="bottom"/>
          </w:tcPr>
          <w:p>
            <w:pPr>
              <w:jc w:val="right"/>
              <w:ind w:right="9"/>
              <w:spacing w:after="0" w:line="203" w:lineRule="exact"/>
              <w:rPr>
                <w:sz w:val="20"/>
                <w:szCs w:val="20"/>
                <w:color w:val="auto"/>
              </w:rPr>
            </w:pPr>
            <w:r>
              <w:rPr>
                <w:rFonts w:ascii="Arial" w:cs="Arial" w:eastAsia="Arial" w:hAnsi="Arial"/>
                <w:sz w:val="20"/>
                <w:szCs w:val="20"/>
                <w:color w:val="231F20"/>
              </w:rPr>
              <w:t>17.9</w:t>
            </w:r>
          </w:p>
        </w:tc>
        <w:tc>
          <w:tcPr>
            <w:tcW w:w="400" w:type="dxa"/>
            <w:vAlign w:val="bottom"/>
          </w:tcPr>
          <w:p>
            <w:pPr>
              <w:jc w:val="right"/>
              <w:ind w:right="107"/>
              <w:spacing w:after="0" w:line="203" w:lineRule="exact"/>
              <w:rPr>
                <w:sz w:val="20"/>
                <w:szCs w:val="20"/>
                <w:color w:val="auto"/>
              </w:rPr>
            </w:pPr>
            <w:r>
              <w:rPr>
                <w:rFonts w:ascii="Arial" w:cs="Arial" w:eastAsia="Arial" w:hAnsi="Arial"/>
                <w:sz w:val="20"/>
                <w:szCs w:val="20"/>
                <w:color w:val="231F20"/>
              </w:rPr>
              <w:t>$</w:t>
            </w:r>
          </w:p>
        </w:tc>
        <w:tc>
          <w:tcPr>
            <w:tcW w:w="780" w:type="dxa"/>
            <w:vAlign w:val="bottom"/>
          </w:tcPr>
          <w:p>
            <w:pPr>
              <w:jc w:val="right"/>
              <w:spacing w:after="0" w:line="203" w:lineRule="exact"/>
              <w:rPr>
                <w:sz w:val="20"/>
                <w:szCs w:val="20"/>
                <w:color w:val="auto"/>
              </w:rPr>
            </w:pPr>
            <w:r>
              <w:rPr>
                <w:rFonts w:ascii="Arial" w:cs="Arial" w:eastAsia="Arial" w:hAnsi="Arial"/>
                <w:sz w:val="20"/>
                <w:szCs w:val="20"/>
                <w:color w:val="231F20"/>
              </w:rPr>
              <w:t>(20.1)</w:t>
            </w:r>
          </w:p>
        </w:tc>
        <w:tc>
          <w:tcPr>
            <w:tcW w:w="24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860" w:type="dxa"/>
            <w:vAlign w:val="bottom"/>
          </w:tcPr>
          <w:p>
            <w:pPr>
              <w:jc w:val="right"/>
              <w:ind w:right="29"/>
              <w:spacing w:after="0" w:line="203" w:lineRule="exact"/>
              <w:rPr>
                <w:sz w:val="20"/>
                <w:szCs w:val="20"/>
                <w:color w:val="auto"/>
              </w:rPr>
            </w:pPr>
            <w:r>
              <w:rPr>
                <w:rFonts w:ascii="Arial" w:cs="Arial" w:eastAsia="Arial" w:hAnsi="Arial"/>
                <w:sz w:val="20"/>
                <w:szCs w:val="20"/>
                <w:color w:val="231F20"/>
              </w:rPr>
              <w:t>0.6</w:t>
            </w:r>
          </w:p>
        </w:tc>
        <w:tc>
          <w:tcPr>
            <w:tcW w:w="22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860" w:type="dxa"/>
            <w:vAlign w:val="bottom"/>
          </w:tcPr>
          <w:p>
            <w:pPr>
              <w:jc w:val="right"/>
              <w:spacing w:after="0" w:line="203" w:lineRule="exact"/>
              <w:rPr>
                <w:sz w:val="20"/>
                <w:szCs w:val="20"/>
                <w:color w:val="auto"/>
              </w:rPr>
            </w:pPr>
            <w:r>
              <w:rPr>
                <w:rFonts w:ascii="Arial" w:cs="Arial" w:eastAsia="Arial" w:hAnsi="Arial"/>
                <w:sz w:val="20"/>
                <w:szCs w:val="20"/>
                <w:color w:val="231F20"/>
              </w:rPr>
              <w:t>14.6</w:t>
            </w:r>
          </w:p>
        </w:tc>
        <w:tc>
          <w:tcPr>
            <w:tcW w:w="0" w:type="dxa"/>
            <w:vAlign w:val="bottom"/>
          </w:tcPr>
          <w:p>
            <w:pPr>
              <w:spacing w:after="0"/>
              <w:rPr>
                <w:sz w:val="1"/>
                <w:szCs w:val="1"/>
                <w:color w:val="auto"/>
              </w:rPr>
            </w:pPr>
          </w:p>
        </w:tc>
      </w:tr>
      <w:tr>
        <w:trPr>
          <w:trHeight w:val="253"/>
        </w:trPr>
        <w:tc>
          <w:tcPr>
            <w:tcW w:w="388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rPr>
              <w:t xml:space="preserve">Other </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13.5</w:t>
            </w:r>
          </w:p>
        </w:tc>
        <w:tc>
          <w:tcPr>
            <w:tcW w:w="320" w:type="dxa"/>
            <w:vAlign w:val="bottom"/>
            <w:tcBorders>
              <w:bottom w:val="single" w:sz="8" w:color="231F20"/>
            </w:tcBorders>
          </w:tcPr>
          <w:p>
            <w:pPr>
              <w:spacing w:after="0"/>
              <w:rPr>
                <w:sz w:val="22"/>
                <w:szCs w:val="22"/>
                <w:color w:val="auto"/>
              </w:rPr>
            </w:pPr>
          </w:p>
        </w:tc>
        <w:tc>
          <w:tcPr>
            <w:tcW w:w="820" w:type="dxa"/>
            <w:vAlign w:val="bottom"/>
            <w:tcBorders>
              <w:bottom w:val="single" w:sz="8" w:color="231F20"/>
            </w:tcBorders>
          </w:tcPr>
          <w:p>
            <w:pPr>
              <w:jc w:val="right"/>
              <w:ind w:right="9"/>
              <w:spacing w:after="0"/>
              <w:rPr>
                <w:sz w:val="20"/>
                <w:szCs w:val="20"/>
                <w:color w:val="auto"/>
              </w:rPr>
            </w:pPr>
            <w:r>
              <w:rPr>
                <w:rFonts w:ascii="Arial" w:cs="Arial" w:eastAsia="Arial" w:hAnsi="Arial"/>
                <w:sz w:val="20"/>
                <w:szCs w:val="20"/>
                <w:color w:val="231F20"/>
              </w:rPr>
              <w:t>14.6</w:t>
            </w:r>
          </w:p>
        </w:tc>
        <w:tc>
          <w:tcPr>
            <w:tcW w:w="40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(1.1)</w:t>
            </w:r>
          </w:p>
        </w:tc>
        <w:tc>
          <w:tcPr>
            <w:tcW w:w="24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(19.9)</w:t>
            </w:r>
          </w:p>
        </w:tc>
        <w:tc>
          <w:tcPr>
            <w:tcW w:w="22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7.1</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29.7</w:t>
            </w:r>
          </w:p>
        </w:tc>
        <w:tc>
          <w:tcPr>
            <w:tcW w:w="3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20" w:type="dxa"/>
            <w:vAlign w:val="bottom"/>
            <w:tcBorders>
              <w:bottom w:val="single" w:sz="8" w:color="231F20"/>
            </w:tcBorders>
          </w:tcPr>
          <w:p>
            <w:pPr>
              <w:jc w:val="right"/>
              <w:ind w:right="9"/>
              <w:spacing w:after="0" w:line="223" w:lineRule="exact"/>
              <w:rPr>
                <w:sz w:val="20"/>
                <w:szCs w:val="20"/>
                <w:color w:val="auto"/>
              </w:rPr>
            </w:pPr>
            <w:r>
              <w:rPr>
                <w:rFonts w:ascii="Arial" w:cs="Arial" w:eastAsia="Arial" w:hAnsi="Arial"/>
                <w:sz w:val="20"/>
                <w:szCs w:val="20"/>
                <w:color w:val="231F20"/>
              </w:rPr>
              <w:t>32.5</w:t>
            </w:r>
          </w:p>
        </w:tc>
        <w:tc>
          <w:tcPr>
            <w:tcW w:w="400" w:type="dxa"/>
            <w:vAlign w:val="bottom"/>
            <w:tcBorders>
              <w:bottom w:val="single" w:sz="8" w:color="231F20"/>
            </w:tcBorders>
          </w:tcPr>
          <w:p>
            <w:pPr>
              <w:jc w:val="right"/>
              <w:ind w:right="107"/>
              <w:spacing w:after="0" w:line="223" w:lineRule="exact"/>
              <w:rPr>
                <w:sz w:val="20"/>
                <w:szCs w:val="20"/>
                <w:color w:val="auto"/>
              </w:rPr>
            </w:pPr>
            <w:r>
              <w:rPr>
                <w:rFonts w:ascii="Arial" w:cs="Arial" w:eastAsia="Arial" w:hAnsi="Arial"/>
                <w:sz w:val="20"/>
                <w:szCs w:val="20"/>
                <w:color w:val="231F20"/>
              </w:rPr>
              <w:t>$</w:t>
            </w:r>
          </w:p>
        </w:tc>
        <w:tc>
          <w:tcPr>
            <w:tcW w:w="78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(21.2)</w:t>
            </w:r>
          </w:p>
        </w:tc>
        <w:tc>
          <w:tcPr>
            <w:tcW w:w="2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(19.3)</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21.7</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00" w:hanging="194"/>
        <w:spacing w:after="0"/>
        <w:tabs>
          <w:tab w:leader="none" w:pos="200" w:val="left"/>
        </w:tabs>
        <w:numPr>
          <w:ilvl w:val="0"/>
          <w:numId w:val="49"/>
        </w:numPr>
        <w:rPr>
          <w:rFonts w:ascii="Arial" w:cs="Arial" w:eastAsia="Arial" w:hAnsi="Arial"/>
          <w:sz w:val="10"/>
          <w:szCs w:val="10"/>
          <w:i w:val="1"/>
          <w:iCs w:val="1"/>
          <w:color w:val="231F20"/>
        </w:rPr>
      </w:pPr>
      <w:r>
        <w:rPr>
          <w:rFonts w:ascii="Arial" w:cs="Arial" w:eastAsia="Arial" w:hAnsi="Arial"/>
          <w:sz w:val="16"/>
          <w:szCs w:val="16"/>
          <w:i w:val="1"/>
          <w:iCs w:val="1"/>
          <w:color w:val="231F20"/>
        </w:rPr>
        <w:t>Cash expenditures primarily related to severance charges.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840" w:type="dxa"/>
            <w:vAlign w:val="bottom"/>
            <w:tcBorders>
              <w:top w:val="single" w:sz="8" w:color="231F20"/>
            </w:tcBorders>
          </w:tcPr>
          <w:p>
            <w:pPr>
              <w:spacing w:after="0"/>
              <w:rPr>
                <w:sz w:val="14"/>
                <w:szCs w:val="14"/>
                <w:color w:val="auto"/>
              </w:rPr>
            </w:pPr>
          </w:p>
        </w:tc>
        <w:tc>
          <w:tcPr>
            <w:tcW w:w="220" w:type="dxa"/>
            <w:vAlign w:val="bottom"/>
            <w:tcBorders>
              <w:top w:val="single" w:sz="8" w:color="231F20"/>
            </w:tcBorders>
          </w:tcPr>
          <w:p>
            <w:pPr>
              <w:spacing w:after="0"/>
              <w:rPr>
                <w:sz w:val="14"/>
                <w:szCs w:val="14"/>
                <w:color w:val="auto"/>
              </w:rPr>
            </w:pPr>
          </w:p>
        </w:tc>
        <w:tc>
          <w:tcPr>
            <w:tcW w:w="880" w:type="dxa"/>
            <w:vAlign w:val="bottom"/>
            <w:tcBorders>
              <w:top w:val="single" w:sz="8" w:color="231F20"/>
            </w:tcBorders>
          </w:tcPr>
          <w:p>
            <w:pPr>
              <w:spacing w:after="0"/>
              <w:rPr>
                <w:sz w:val="14"/>
                <w:szCs w:val="14"/>
                <w:color w:val="auto"/>
              </w:rPr>
            </w:pPr>
          </w:p>
        </w:tc>
        <w:tc>
          <w:tcPr>
            <w:tcW w:w="300" w:type="dxa"/>
            <w:vAlign w:val="bottom"/>
            <w:tcBorders>
              <w:top w:val="single" w:sz="8" w:color="231F20"/>
            </w:tcBorders>
          </w:tcPr>
          <w:p>
            <w:pPr>
              <w:spacing w:after="0"/>
              <w:rPr>
                <w:sz w:val="14"/>
                <w:szCs w:val="14"/>
                <w:color w:val="auto"/>
              </w:rPr>
            </w:pPr>
          </w:p>
        </w:tc>
        <w:tc>
          <w:tcPr>
            <w:tcW w:w="800" w:type="dxa"/>
            <w:vAlign w:val="bottom"/>
            <w:tcBorders>
              <w:top w:val="single" w:sz="8" w:color="231F20"/>
            </w:tcBorders>
          </w:tcPr>
          <w:p>
            <w:pPr>
              <w:spacing w:after="0"/>
              <w:rPr>
                <w:sz w:val="14"/>
                <w:szCs w:val="14"/>
                <w:color w:val="auto"/>
              </w:rPr>
            </w:pPr>
          </w:p>
        </w:tc>
        <w:tc>
          <w:tcPr>
            <w:tcW w:w="220" w:type="dxa"/>
            <w:vAlign w:val="bottom"/>
            <w:tcBorders>
              <w:top w:val="single" w:sz="8" w:color="231F20"/>
            </w:tcBorders>
          </w:tcPr>
          <w:p>
            <w:pPr>
              <w:spacing w:after="0"/>
              <w:rPr>
                <w:sz w:val="14"/>
                <w:szCs w:val="14"/>
                <w:color w:val="auto"/>
              </w:rPr>
            </w:pPr>
          </w:p>
        </w:tc>
        <w:tc>
          <w:tcPr>
            <w:tcW w:w="1020" w:type="dxa"/>
            <w:vAlign w:val="bottom"/>
            <w:tcBorders>
              <w:top w:val="single" w:sz="8" w:color="231F20"/>
            </w:tcBorders>
          </w:tcPr>
          <w:p>
            <w:pPr>
              <w:ind w:left="540"/>
              <w:spacing w:after="0" w:line="169" w:lineRule="exact"/>
              <w:rPr>
                <w:sz w:val="20"/>
                <w:szCs w:val="20"/>
                <w:color w:val="auto"/>
              </w:rPr>
            </w:pPr>
            <w:r>
              <w:rPr>
                <w:rFonts w:ascii="Arial" w:cs="Arial" w:eastAsia="Arial" w:hAnsi="Arial"/>
                <w:sz w:val="15"/>
                <w:szCs w:val="15"/>
                <w:color w:val="231F20"/>
              </w:rPr>
              <w:t>Cash</w:t>
            </w:r>
          </w:p>
        </w:tc>
        <w:tc>
          <w:tcPr>
            <w:tcW w:w="220" w:type="dxa"/>
            <w:vAlign w:val="bottom"/>
            <w:tcBorders>
              <w:top w:val="single" w:sz="8" w:color="231F20"/>
            </w:tcBorders>
          </w:tcPr>
          <w:p>
            <w:pPr>
              <w:spacing w:after="0"/>
              <w:rPr>
                <w:sz w:val="14"/>
                <w:szCs w:val="14"/>
                <w:color w:val="auto"/>
              </w:rPr>
            </w:pPr>
          </w:p>
        </w:tc>
        <w:tc>
          <w:tcPr>
            <w:tcW w:w="840" w:type="dxa"/>
            <w:vAlign w:val="bottom"/>
            <w:tcBorders>
              <w:top w:val="single" w:sz="8" w:color="231F20"/>
            </w:tcBorders>
          </w:tcPr>
          <w:p>
            <w:pPr>
              <w:spacing w:after="0"/>
              <w:rPr>
                <w:sz w:val="14"/>
                <w:szCs w:val="14"/>
                <w:color w:val="auto"/>
              </w:rPr>
            </w:pPr>
          </w:p>
        </w:tc>
        <w:tc>
          <w:tcPr>
            <w:tcW w:w="260" w:type="dxa"/>
            <w:vAlign w:val="bottom"/>
            <w:tcBorders>
              <w:top w:val="single" w:sz="8" w:color="231F20"/>
            </w:tcBorders>
          </w:tcPr>
          <w:p>
            <w:pPr>
              <w:spacing w:after="0"/>
              <w:rPr>
                <w:sz w:val="14"/>
                <w:szCs w:val="14"/>
                <w:color w:val="auto"/>
              </w:rPr>
            </w:pPr>
          </w:p>
        </w:tc>
        <w:tc>
          <w:tcPr>
            <w:tcW w:w="840" w:type="dxa"/>
            <w:vAlign w:val="bottom"/>
            <w:tcBorders>
              <w:top w:val="single" w:sz="8" w:color="231F20"/>
            </w:tcBorders>
          </w:tcPr>
          <w:p>
            <w:pPr>
              <w:spacing w:after="0"/>
              <w:rPr>
                <w:sz w:val="14"/>
                <w:szCs w:val="14"/>
                <w:color w:val="auto"/>
              </w:rPr>
            </w:pPr>
          </w:p>
        </w:tc>
      </w:tr>
      <w:tr>
        <w:trPr>
          <w:trHeight w:val="157"/>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9"/>
              <w:spacing w:after="0" w:line="157" w:lineRule="exact"/>
              <w:rPr>
                <w:sz w:val="20"/>
                <w:szCs w:val="20"/>
                <w:color w:val="auto"/>
              </w:rPr>
            </w:pPr>
            <w:r>
              <w:rPr>
                <w:rFonts w:ascii="Arial" w:cs="Arial" w:eastAsia="Arial" w:hAnsi="Arial"/>
                <w:sz w:val="15"/>
                <w:szCs w:val="15"/>
                <w:color w:val="231F20"/>
              </w:rPr>
              <w:t>Balance at</w:t>
            </w:r>
          </w:p>
        </w:tc>
        <w:tc>
          <w:tcPr>
            <w:tcW w:w="3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5"/>
                <w:szCs w:val="15"/>
                <w:color w:val="231F20"/>
              </w:rPr>
              <w:t>2022</w:t>
            </w:r>
          </w:p>
        </w:tc>
        <w:tc>
          <w:tcPr>
            <w:tcW w:w="220" w:type="dxa"/>
            <w:vAlign w:val="bottom"/>
          </w:tcPr>
          <w:p>
            <w:pPr>
              <w:spacing w:after="0"/>
              <w:rPr>
                <w:sz w:val="13"/>
                <w:szCs w:val="13"/>
                <w:color w:val="auto"/>
              </w:rPr>
            </w:pPr>
          </w:p>
        </w:tc>
        <w:tc>
          <w:tcPr>
            <w:tcW w:w="1020" w:type="dxa"/>
            <w:vAlign w:val="bottom"/>
          </w:tcPr>
          <w:p>
            <w:pPr>
              <w:jc w:val="right"/>
              <w:ind w:right="36"/>
              <w:spacing w:after="0" w:line="157" w:lineRule="exact"/>
              <w:rPr>
                <w:sz w:val="20"/>
                <w:szCs w:val="20"/>
                <w:color w:val="auto"/>
              </w:rPr>
            </w:pPr>
            <w:r>
              <w:rPr>
                <w:rFonts w:ascii="Arial" w:cs="Arial" w:eastAsia="Arial" w:hAnsi="Arial"/>
                <w:sz w:val="15"/>
                <w:szCs w:val="15"/>
                <w:color w:val="231F20"/>
              </w:rPr>
              <w:t>Expenditures</w:t>
            </w:r>
          </w:p>
        </w:tc>
        <w:tc>
          <w:tcPr>
            <w:tcW w:w="220" w:type="dxa"/>
            <w:vAlign w:val="bottom"/>
          </w:tcPr>
          <w:p>
            <w:pPr>
              <w:spacing w:after="0"/>
              <w:rPr>
                <w:sz w:val="13"/>
                <w:szCs w:val="13"/>
                <w:color w:val="auto"/>
              </w:rPr>
            </w:pPr>
          </w:p>
        </w:tc>
        <w:tc>
          <w:tcPr>
            <w:tcW w:w="840" w:type="dxa"/>
            <w:vAlign w:val="bottom"/>
          </w:tcPr>
          <w:p>
            <w:pPr>
              <w:jc w:val="right"/>
              <w:ind w:right="9"/>
              <w:spacing w:after="0" w:line="157" w:lineRule="exact"/>
              <w:rPr>
                <w:sz w:val="20"/>
                <w:szCs w:val="20"/>
                <w:color w:val="auto"/>
              </w:rPr>
            </w:pPr>
            <w:r>
              <w:rPr>
                <w:rFonts w:ascii="Arial" w:cs="Arial" w:eastAsia="Arial" w:hAnsi="Arial"/>
                <w:sz w:val="15"/>
                <w:szCs w:val="15"/>
                <w:color w:val="231F20"/>
              </w:rPr>
              <w:t>Non-Cash</w:t>
            </w:r>
          </w:p>
        </w:tc>
        <w:tc>
          <w:tcPr>
            <w:tcW w:w="26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5"/>
                <w:szCs w:val="15"/>
                <w:color w:val="231F20"/>
              </w:rPr>
              <w:t>Balance at</w:t>
            </w:r>
          </w:p>
        </w:tc>
      </w:tr>
      <w:tr>
        <w:trPr>
          <w:trHeight w:val="207"/>
        </w:trPr>
        <w:tc>
          <w:tcPr>
            <w:tcW w:w="3840" w:type="dxa"/>
            <w:vAlign w:val="bottom"/>
            <w:tcBorders>
              <w:bottom w:val="single" w:sz="8" w:color="231F20"/>
            </w:tcBorders>
          </w:tcPr>
          <w:p>
            <w:pPr>
              <w:spacing w:after="0" w:line="206"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jc w:val="right"/>
              <w:ind w:right="9"/>
              <w:spacing w:after="0"/>
              <w:rPr>
                <w:sz w:val="20"/>
                <w:szCs w:val="20"/>
                <w:color w:val="auto"/>
              </w:rPr>
            </w:pPr>
            <w:r>
              <w:rPr>
                <w:rFonts w:ascii="Arial" w:cs="Arial" w:eastAsia="Arial" w:hAnsi="Arial"/>
                <w:sz w:val="15"/>
                <w:szCs w:val="15"/>
                <w:color w:val="231F20"/>
              </w:rPr>
              <w:t>12/31/21</w:t>
            </w:r>
          </w:p>
        </w:tc>
        <w:tc>
          <w:tcPr>
            <w:tcW w:w="30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Provision</w:t>
            </w:r>
          </w:p>
        </w:tc>
        <w:tc>
          <w:tcPr>
            <w:tcW w:w="2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36"/>
              <w:spacing w:after="0"/>
              <w:rPr>
                <w:sz w:val="20"/>
                <w:szCs w:val="20"/>
                <w:color w:val="auto"/>
              </w:rPr>
            </w:pPr>
            <w:r>
              <w:rPr>
                <w:rFonts w:ascii="Arial" w:cs="Arial" w:eastAsia="Arial" w:hAnsi="Arial"/>
                <w:sz w:val="10"/>
                <w:szCs w:val="10"/>
                <w:color w:val="231F20"/>
              </w:rPr>
              <w:t>(a)</w:t>
            </w:r>
          </w:p>
        </w:tc>
        <w:tc>
          <w:tcPr>
            <w:tcW w:w="22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ind w:right="9"/>
              <w:spacing w:after="0"/>
              <w:rPr>
                <w:sz w:val="20"/>
                <w:szCs w:val="20"/>
                <w:color w:val="auto"/>
              </w:rPr>
            </w:pPr>
            <w:r>
              <w:rPr>
                <w:rFonts w:ascii="Arial" w:cs="Arial" w:eastAsia="Arial" w:hAnsi="Arial"/>
                <w:sz w:val="15"/>
                <w:szCs w:val="15"/>
                <w:color w:val="231F20"/>
              </w:rPr>
              <w:t>Write-offs</w:t>
            </w:r>
          </w:p>
        </w:tc>
        <w:tc>
          <w:tcPr>
            <w:tcW w:w="260" w:type="dxa"/>
            <w:vAlign w:val="bottom"/>
            <w:tcBorders>
              <w:bottom w:val="single" w:sz="8" w:color="231F20"/>
            </w:tcBorders>
          </w:tcPr>
          <w:p>
            <w:pPr>
              <w:spacing w:after="0"/>
              <w:rPr>
                <w:sz w:val="17"/>
                <w:szCs w:val="17"/>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5"/>
                <w:szCs w:val="15"/>
                <w:color w:val="231F20"/>
              </w:rPr>
              <w:t>12/31/22</w:t>
            </w:r>
          </w:p>
        </w:tc>
      </w:tr>
      <w:tr>
        <w:trPr>
          <w:trHeight w:val="202"/>
        </w:trPr>
        <w:tc>
          <w:tcPr>
            <w:tcW w:w="3840" w:type="dxa"/>
            <w:vAlign w:val="bottom"/>
          </w:tcPr>
          <w:p>
            <w:pPr>
              <w:spacing w:after="0" w:line="202" w:lineRule="exact"/>
              <w:rPr>
                <w:sz w:val="20"/>
                <w:szCs w:val="20"/>
                <w:color w:val="auto"/>
              </w:rPr>
            </w:pPr>
            <w:r>
              <w:rPr>
                <w:rFonts w:ascii="Arial" w:cs="Arial" w:eastAsia="Arial" w:hAnsi="Arial"/>
                <w:sz w:val="20"/>
                <w:szCs w:val="20"/>
                <w:color w:val="231F20"/>
              </w:rPr>
              <w:t xml:space="preserve">Workforce reduction costs </w:t>
            </w:r>
            <w:r>
              <w:rPr>
                <w:rFonts w:ascii="Times New Roman" w:cs="Times New Roman" w:eastAsia="Times New Roman" w:hAnsi="Times New Roman"/>
                <w:sz w:val="20"/>
                <w:szCs w:val="20"/>
                <w:color w:val="231F20"/>
              </w:rPr>
              <w:t>............................</w:t>
            </w:r>
          </w:p>
        </w:tc>
        <w:tc>
          <w:tcPr>
            <w:tcW w:w="22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880" w:type="dxa"/>
            <w:vAlign w:val="bottom"/>
          </w:tcPr>
          <w:p>
            <w:pPr>
              <w:jc w:val="right"/>
              <w:ind w:right="9"/>
              <w:spacing w:after="0" w:line="203" w:lineRule="exact"/>
              <w:rPr>
                <w:sz w:val="20"/>
                <w:szCs w:val="20"/>
                <w:color w:val="auto"/>
              </w:rPr>
            </w:pPr>
            <w:r>
              <w:rPr>
                <w:rFonts w:ascii="Arial" w:cs="Arial" w:eastAsia="Arial" w:hAnsi="Arial"/>
                <w:sz w:val="20"/>
                <w:szCs w:val="20"/>
                <w:color w:val="231F20"/>
              </w:rPr>
              <w:t>3.2</w:t>
            </w:r>
          </w:p>
        </w:tc>
        <w:tc>
          <w:tcPr>
            <w:tcW w:w="30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800" w:type="dxa"/>
            <w:vAlign w:val="bottom"/>
          </w:tcPr>
          <w:p>
            <w:pPr>
              <w:jc w:val="right"/>
              <w:spacing w:after="0" w:line="203" w:lineRule="exact"/>
              <w:rPr>
                <w:sz w:val="20"/>
                <w:szCs w:val="20"/>
                <w:color w:val="auto"/>
              </w:rPr>
            </w:pPr>
            <w:r>
              <w:rPr>
                <w:rFonts w:ascii="Arial" w:cs="Arial" w:eastAsia="Arial" w:hAnsi="Arial"/>
                <w:sz w:val="20"/>
                <w:szCs w:val="20"/>
                <w:color w:val="231F20"/>
              </w:rPr>
              <w:t>19.4</w:t>
            </w:r>
          </w:p>
        </w:tc>
        <w:tc>
          <w:tcPr>
            <w:tcW w:w="22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1020" w:type="dxa"/>
            <w:vAlign w:val="bottom"/>
          </w:tcPr>
          <w:p>
            <w:pPr>
              <w:ind w:left="540"/>
              <w:spacing w:after="0" w:line="203" w:lineRule="exact"/>
              <w:rPr>
                <w:sz w:val="20"/>
                <w:szCs w:val="20"/>
                <w:color w:val="auto"/>
              </w:rPr>
            </w:pPr>
            <w:r>
              <w:rPr>
                <w:rFonts w:ascii="Arial" w:cs="Arial" w:eastAsia="Arial" w:hAnsi="Arial"/>
                <w:sz w:val="20"/>
                <w:szCs w:val="20"/>
                <w:color w:val="231F20"/>
              </w:rPr>
              <w:t>(6.4)</w:t>
            </w:r>
          </w:p>
        </w:tc>
        <w:tc>
          <w:tcPr>
            <w:tcW w:w="22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840" w:type="dxa"/>
            <w:vAlign w:val="bottom"/>
          </w:tcPr>
          <w:p>
            <w:pPr>
              <w:jc w:val="right"/>
              <w:ind w:right="9"/>
              <w:spacing w:after="0" w:line="203" w:lineRule="exact"/>
              <w:rPr>
                <w:sz w:val="20"/>
                <w:szCs w:val="20"/>
                <w:color w:val="auto"/>
              </w:rPr>
            </w:pPr>
            <w:r>
              <w:rPr>
                <w:rFonts w:ascii="Arial" w:cs="Arial" w:eastAsia="Arial" w:hAnsi="Arial"/>
                <w:sz w:val="20"/>
                <w:szCs w:val="20"/>
                <w:color w:val="231F20"/>
              </w:rPr>
              <w:t>—</w:t>
            </w:r>
          </w:p>
        </w:tc>
        <w:tc>
          <w:tcPr>
            <w:tcW w:w="260" w:type="dxa"/>
            <w:vAlign w:val="bottom"/>
          </w:tcPr>
          <w:p>
            <w:pPr>
              <w:jc w:val="right"/>
              <w:spacing w:after="0" w:line="203" w:lineRule="exact"/>
              <w:rPr>
                <w:sz w:val="20"/>
                <w:szCs w:val="20"/>
                <w:color w:val="auto"/>
              </w:rPr>
            </w:pPr>
            <w:r>
              <w:rPr>
                <w:rFonts w:ascii="Arial" w:cs="Arial" w:eastAsia="Arial" w:hAnsi="Arial"/>
                <w:sz w:val="20"/>
                <w:szCs w:val="20"/>
                <w:color w:val="231F20"/>
              </w:rPr>
              <w:t>$</w:t>
            </w:r>
          </w:p>
        </w:tc>
        <w:tc>
          <w:tcPr>
            <w:tcW w:w="840" w:type="dxa"/>
            <w:vAlign w:val="bottom"/>
          </w:tcPr>
          <w:p>
            <w:pPr>
              <w:jc w:val="right"/>
              <w:spacing w:after="0" w:line="203" w:lineRule="exact"/>
              <w:rPr>
                <w:sz w:val="20"/>
                <w:szCs w:val="20"/>
                <w:color w:val="auto"/>
              </w:rPr>
            </w:pPr>
            <w:r>
              <w:rPr>
                <w:rFonts w:ascii="Arial" w:cs="Arial" w:eastAsia="Arial" w:hAnsi="Arial"/>
                <w:sz w:val="20"/>
                <w:szCs w:val="20"/>
                <w:color w:val="231F20"/>
              </w:rPr>
              <w:t>16.2</w:t>
            </w:r>
          </w:p>
        </w:tc>
      </w:tr>
      <w:tr>
        <w:trPr>
          <w:trHeight w:val="253"/>
        </w:trPr>
        <w:tc>
          <w:tcPr>
            <w:tcW w:w="3840" w:type="dxa"/>
            <w:vAlign w:val="bottom"/>
            <w:tcBorders>
              <w:bottom w:val="single" w:sz="8" w:color="231F20"/>
            </w:tcBorders>
          </w:tcPr>
          <w:p>
            <w:pPr>
              <w:spacing w:after="0"/>
              <w:rPr>
                <w:sz w:val="20"/>
                <w:szCs w:val="20"/>
                <w:color w:val="auto"/>
              </w:rPr>
            </w:pPr>
            <w:r>
              <w:rPr>
                <w:rFonts w:ascii="Arial" w:cs="Arial" w:eastAsia="Arial" w:hAnsi="Arial"/>
                <w:sz w:val="20"/>
                <w:szCs w:val="20"/>
                <w:color w:val="231F20"/>
              </w:rPr>
              <w:t xml:space="preserve">Other </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9"/>
              <w:spacing w:after="0"/>
              <w:rPr>
                <w:sz w:val="20"/>
                <w:szCs w:val="20"/>
                <w:color w:val="auto"/>
              </w:rPr>
            </w:pPr>
            <w:r>
              <w:rPr>
                <w:rFonts w:ascii="Arial" w:cs="Arial" w:eastAsia="Arial" w:hAnsi="Arial"/>
                <w:sz w:val="20"/>
                <w:szCs w:val="20"/>
                <w:color w:val="231F20"/>
              </w:rPr>
              <w:t>0.8</w:t>
            </w:r>
          </w:p>
        </w:tc>
        <w:tc>
          <w:tcPr>
            <w:tcW w:w="300" w:type="dxa"/>
            <w:vAlign w:val="bottom"/>
            <w:tcBorders>
              <w:bottom w:val="single" w:sz="8" w:color="231F20"/>
            </w:tcBorders>
          </w:tcPr>
          <w:p>
            <w:pPr>
              <w:spacing w:after="0"/>
              <w:rPr>
                <w:sz w:val="22"/>
                <w:szCs w:val="22"/>
                <w:color w:val="auto"/>
              </w:rPr>
            </w:pP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13.0</w:t>
            </w:r>
          </w:p>
        </w:tc>
        <w:tc>
          <w:tcPr>
            <w:tcW w:w="220" w:type="dxa"/>
            <w:vAlign w:val="bottom"/>
            <w:tcBorders>
              <w:bottom w:val="single" w:sz="8" w:color="231F20"/>
            </w:tcBorders>
          </w:tcPr>
          <w:p>
            <w:pPr>
              <w:spacing w:after="0"/>
              <w:rPr>
                <w:sz w:val="22"/>
                <w:szCs w:val="22"/>
                <w:color w:val="auto"/>
              </w:rPr>
            </w:pPr>
          </w:p>
        </w:tc>
        <w:tc>
          <w:tcPr>
            <w:tcW w:w="1020" w:type="dxa"/>
            <w:vAlign w:val="bottom"/>
            <w:tcBorders>
              <w:bottom w:val="single" w:sz="8" w:color="231F20"/>
            </w:tcBorders>
          </w:tcPr>
          <w:p>
            <w:pPr>
              <w:ind w:left="540"/>
              <w:spacing w:after="0"/>
              <w:rPr>
                <w:sz w:val="20"/>
                <w:szCs w:val="20"/>
                <w:color w:val="auto"/>
              </w:rPr>
            </w:pPr>
            <w:r>
              <w:rPr>
                <w:rFonts w:ascii="Arial" w:cs="Arial" w:eastAsia="Arial" w:hAnsi="Arial"/>
                <w:sz w:val="20"/>
                <w:szCs w:val="20"/>
                <w:color w:val="231F20"/>
              </w:rPr>
              <w:t>(0.3)</w:t>
            </w:r>
          </w:p>
        </w:tc>
        <w:tc>
          <w:tcPr>
            <w:tcW w:w="22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ind w:right="9"/>
              <w:spacing w:after="0"/>
              <w:rPr>
                <w:sz w:val="20"/>
                <w:szCs w:val="20"/>
                <w:color w:val="auto"/>
              </w:rPr>
            </w:pPr>
            <w:r>
              <w:rPr>
                <w:rFonts w:ascii="Arial" w:cs="Arial" w:eastAsia="Arial" w:hAnsi="Arial"/>
                <w:sz w:val="20"/>
                <w:szCs w:val="20"/>
                <w:color w:val="231F20"/>
              </w:rPr>
              <w:t>—</w:t>
            </w:r>
          </w:p>
        </w:tc>
        <w:tc>
          <w:tcPr>
            <w:tcW w:w="260" w:type="dxa"/>
            <w:vAlign w:val="bottom"/>
            <w:tcBorders>
              <w:bottom w:val="single" w:sz="8" w:color="231F20"/>
            </w:tcBorders>
          </w:tcPr>
          <w:p>
            <w:pPr>
              <w:spacing w:after="0"/>
              <w:rPr>
                <w:sz w:val="22"/>
                <w:szCs w:val="22"/>
                <w:color w:val="auto"/>
              </w:rPr>
            </w:pP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13.5</w:t>
            </w:r>
          </w:p>
        </w:tc>
      </w:tr>
      <w:tr>
        <w:trPr>
          <w:trHeight w:val="248"/>
        </w:trPr>
        <w:tc>
          <w:tcPr>
            <w:tcW w:w="384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80" w:type="dxa"/>
            <w:vAlign w:val="bottom"/>
            <w:tcBorders>
              <w:bottom w:val="single" w:sz="8" w:color="231F20"/>
            </w:tcBorders>
          </w:tcPr>
          <w:p>
            <w:pPr>
              <w:jc w:val="right"/>
              <w:ind w:right="9"/>
              <w:spacing w:after="0" w:line="223" w:lineRule="exact"/>
              <w:rPr>
                <w:sz w:val="20"/>
                <w:szCs w:val="20"/>
                <w:color w:val="auto"/>
              </w:rPr>
            </w:pPr>
            <w:r>
              <w:rPr>
                <w:rFonts w:ascii="Arial" w:cs="Arial" w:eastAsia="Arial" w:hAnsi="Arial"/>
                <w:sz w:val="20"/>
                <w:szCs w:val="20"/>
                <w:color w:val="231F20"/>
              </w:rPr>
              <w:t>4.0</w:t>
            </w:r>
          </w:p>
        </w:tc>
        <w:tc>
          <w:tcPr>
            <w:tcW w:w="3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32.4</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1020" w:type="dxa"/>
            <w:vAlign w:val="bottom"/>
            <w:tcBorders>
              <w:bottom w:val="single" w:sz="8" w:color="231F20"/>
            </w:tcBorders>
          </w:tcPr>
          <w:p>
            <w:pPr>
              <w:ind w:left="540"/>
              <w:spacing w:after="0" w:line="223" w:lineRule="exact"/>
              <w:rPr>
                <w:sz w:val="20"/>
                <w:szCs w:val="20"/>
                <w:color w:val="auto"/>
              </w:rPr>
            </w:pPr>
            <w:r>
              <w:rPr>
                <w:rFonts w:ascii="Arial" w:cs="Arial" w:eastAsia="Arial" w:hAnsi="Arial"/>
                <w:sz w:val="20"/>
                <w:szCs w:val="20"/>
                <w:color w:val="231F20"/>
              </w:rPr>
              <w:t>(6.7)</w:t>
            </w:r>
          </w:p>
        </w:tc>
        <w:tc>
          <w:tcPr>
            <w:tcW w:w="2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40" w:type="dxa"/>
            <w:vAlign w:val="bottom"/>
            <w:tcBorders>
              <w:bottom w:val="single" w:sz="8" w:color="231F20"/>
            </w:tcBorders>
          </w:tcPr>
          <w:p>
            <w:pPr>
              <w:jc w:val="right"/>
              <w:ind w:right="9"/>
              <w:spacing w:after="0" w:line="223" w:lineRule="exact"/>
              <w:rPr>
                <w:sz w:val="20"/>
                <w:szCs w:val="20"/>
                <w:color w:val="auto"/>
              </w:rPr>
            </w:pPr>
            <w:r>
              <w:rPr>
                <w:rFonts w:ascii="Arial" w:cs="Arial" w:eastAsia="Arial" w:hAnsi="Arial"/>
                <w:sz w:val="20"/>
                <w:szCs w:val="20"/>
                <w:color w:val="231F20"/>
              </w:rPr>
              <w:t>—</w:t>
            </w:r>
          </w:p>
        </w:tc>
        <w:tc>
          <w:tcPr>
            <w:tcW w:w="26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w:t>
            </w:r>
          </w:p>
        </w:tc>
        <w:tc>
          <w:tcPr>
            <w:tcW w:w="84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29.7</w:t>
            </w:r>
          </w:p>
        </w:tc>
      </w:tr>
    </w:tbl>
    <w:p>
      <w:pPr>
        <w:spacing w:after="0" w:line="108" w:lineRule="exact"/>
        <w:rPr>
          <w:sz w:val="20"/>
          <w:szCs w:val="20"/>
          <w:color w:val="auto"/>
        </w:rPr>
      </w:pPr>
    </w:p>
    <w:p>
      <w:pPr>
        <w:ind w:left="320" w:hanging="314"/>
        <w:spacing w:after="0"/>
        <w:tabs>
          <w:tab w:leader="none" w:pos="320" w:val="left"/>
        </w:tabs>
        <w:numPr>
          <w:ilvl w:val="0"/>
          <w:numId w:val="50"/>
        </w:numPr>
        <w:rPr>
          <w:rFonts w:ascii="Arial" w:cs="Arial" w:eastAsia="Arial" w:hAnsi="Arial"/>
          <w:sz w:val="10"/>
          <w:szCs w:val="10"/>
          <w:i w:val="1"/>
          <w:iCs w:val="1"/>
          <w:color w:val="231F20"/>
        </w:rPr>
      </w:pPr>
      <w:r>
        <w:rPr>
          <w:rFonts w:ascii="Arial" w:cs="Arial" w:eastAsia="Arial" w:hAnsi="Arial"/>
          <w:sz w:val="16"/>
          <w:szCs w:val="16"/>
          <w:i w:val="1"/>
          <w:iCs w:val="1"/>
          <w:color w:val="231F20"/>
        </w:rPr>
        <w:t>Cash expenditures primarily related to severance charges.</w:t>
      </w:r>
    </w:p>
    <w:p>
      <w:pPr>
        <w:spacing w:after="0" w:line="154" w:lineRule="exact"/>
        <w:rPr>
          <w:sz w:val="20"/>
          <w:szCs w:val="20"/>
          <w:color w:val="auto"/>
        </w:rPr>
      </w:pPr>
    </w:p>
    <w:p>
      <w:pPr>
        <w:ind w:right="7380" w:firstLine="6"/>
        <w:spacing w:after="0" w:line="383" w:lineRule="auto"/>
        <w:tabs>
          <w:tab w:leader="none" w:pos="506" w:val="left"/>
        </w:tabs>
        <w:numPr>
          <w:ilvl w:val="0"/>
          <w:numId w:val="51"/>
        </w:numPr>
        <w:rPr>
          <w:rFonts w:ascii="Arial" w:cs="Arial" w:eastAsia="Arial" w:hAnsi="Arial"/>
          <w:sz w:val="20"/>
          <w:szCs w:val="20"/>
          <w:b w:val="1"/>
          <w:bCs w:val="1"/>
          <w:color w:val="231F20"/>
        </w:rPr>
      </w:pPr>
      <w:r>
        <w:rPr>
          <w:rFonts w:ascii="Arial" w:cs="Arial" w:eastAsia="Arial" w:hAnsi="Arial"/>
          <w:sz w:val="20"/>
          <w:szCs w:val="20"/>
          <w:b w:val="1"/>
          <w:bCs w:val="1"/>
          <w:color w:val="231F20"/>
        </w:rPr>
        <w:t>Commitments Purchase Obligations</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20"/>
          <w:szCs w:val="20"/>
          <w:color w:val="231F20"/>
        </w:rPr>
        <w:t>Purchase obligations of the Company as of December 30, 2023 were $635.3 million, of which $622.8 million is due within one year. Purchase obligations include contracts for raw materials and finished goods purchases, selling and administrative services, and capital expenditures.</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85</w:t>
      </w:r>
    </w:p>
    <w:p>
      <w:pPr>
        <w:sectPr>
          <w:pgSz w:w="12240" w:h="15840" w:orient="portrait"/>
          <w:cols w:equalWidth="0" w:num="1">
            <w:col w:w="9460"/>
          </w:cols>
          <w:pgMar w:left="1380" w:top="1346" w:right="1400" w:bottom="95"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b w:val="1"/>
          <w:bCs w:val="1"/>
          <w:color w:val="231F20"/>
        </w:rPr>
        <w:t>Product Warranties</w:t>
      </w:r>
    </w:p>
    <w:p>
      <w:pPr>
        <w:spacing w:after="0" w:line="170"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color w:val="231F20"/>
        </w:rPr>
        <w:t>We generally record warranty expense related to contractual warranty terms at the time of sale. We may also provide customer concessions for claims made outside of the contractual warranty terms, and those expenses are recorded in the period in which the concession is made. We offer our customers various warranty terms based on the type of product that is sold. Warranty expense is determined based on historic claim experience and the nature of the product category. The following table summarizes activity related to our product warranty liability for 2023, 2022, 2021.</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840" w:type="dxa"/>
            <w:vAlign w:val="bottom"/>
            <w:tcBorders>
              <w:top w:val="single" w:sz="8" w:color="231F20"/>
              <w:bottom w:val="single" w:sz="8" w:color="231F20"/>
              <w:right w:val="single" w:sz="8" w:color="231F20"/>
            </w:tcBorders>
          </w:tcPr>
          <w:p>
            <w:pPr>
              <w:jc w:val="right"/>
              <w:spacing w:after="0" w:line="184" w:lineRule="exact"/>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15"/>
                <w:szCs w:val="15"/>
                <w:i w:val="1"/>
                <w:iCs w:val="1"/>
                <w:color w:val="231F20"/>
              </w:rPr>
              <w:t>(Inmillions)</w:t>
            </w:r>
          </w:p>
        </w:tc>
        <w:tc>
          <w:tcPr>
            <w:tcW w:w="400" w:type="dxa"/>
            <w:vAlign w:val="bottom"/>
            <w:tcBorders>
              <w:top w:val="single" w:sz="8" w:color="231F20"/>
              <w:bottom w:val="single" w:sz="8" w:color="231F20"/>
            </w:tcBorders>
          </w:tcPr>
          <w:p>
            <w:pPr>
              <w:spacing w:after="0"/>
              <w:rPr>
                <w:sz w:val="16"/>
                <w:szCs w:val="16"/>
                <w:color w:val="auto"/>
              </w:rPr>
            </w:pPr>
          </w:p>
        </w:tc>
        <w:tc>
          <w:tcPr>
            <w:tcW w:w="880" w:type="dxa"/>
            <w:vAlign w:val="bottom"/>
            <w:tcBorders>
              <w:top w:val="single" w:sz="8" w:color="231F20"/>
              <w:bottom w:val="single" w:sz="8" w:color="231F20"/>
              <w:right w:val="single" w:sz="8" w:color="231F20"/>
            </w:tcBorders>
          </w:tcPr>
          <w:p>
            <w:pPr>
              <w:jc w:val="right"/>
              <w:ind w:right="102"/>
              <w:spacing w:after="0"/>
              <w:rPr>
                <w:sz w:val="20"/>
                <w:szCs w:val="20"/>
                <w:color w:val="auto"/>
              </w:rPr>
            </w:pPr>
            <w:r>
              <w:rPr>
                <w:rFonts w:ascii="Arial" w:cs="Arial" w:eastAsia="Arial" w:hAnsi="Arial"/>
                <w:sz w:val="15"/>
                <w:szCs w:val="15"/>
                <w:i w:val="1"/>
                <w:iCs w:val="1"/>
                <w:color w:val="231F20"/>
              </w:rPr>
              <w:t>2023</w:t>
            </w:r>
          </w:p>
        </w:tc>
        <w:tc>
          <w:tcPr>
            <w:tcW w:w="460" w:type="dxa"/>
            <w:vAlign w:val="bottom"/>
            <w:tcBorders>
              <w:top w:val="single" w:sz="8" w:color="231F20"/>
              <w:bottom w:val="single" w:sz="8" w:color="231F20"/>
            </w:tcBorders>
          </w:tcPr>
          <w:p>
            <w:pPr>
              <w:spacing w:after="0"/>
              <w:rPr>
                <w:sz w:val="16"/>
                <w:szCs w:val="16"/>
                <w:color w:val="auto"/>
              </w:rPr>
            </w:pPr>
          </w:p>
        </w:tc>
        <w:tc>
          <w:tcPr>
            <w:tcW w:w="760" w:type="dxa"/>
            <w:vAlign w:val="bottom"/>
            <w:tcBorders>
              <w:top w:val="single" w:sz="8" w:color="231F20"/>
              <w:bottom w:val="single" w:sz="8" w:color="231F20"/>
            </w:tcBorders>
          </w:tcPr>
          <w:p>
            <w:pPr>
              <w:jc w:val="right"/>
              <w:ind w:right="22"/>
              <w:spacing w:after="0"/>
              <w:rPr>
                <w:sz w:val="20"/>
                <w:szCs w:val="20"/>
                <w:color w:val="auto"/>
              </w:rPr>
            </w:pPr>
            <w:r>
              <w:rPr>
                <w:rFonts w:ascii="Arial" w:cs="Arial" w:eastAsia="Arial" w:hAnsi="Arial"/>
                <w:sz w:val="15"/>
                <w:szCs w:val="15"/>
                <w:color w:val="231F20"/>
              </w:rPr>
              <w:t>2022</w:t>
            </w:r>
          </w:p>
        </w:tc>
        <w:tc>
          <w:tcPr>
            <w:tcW w:w="420" w:type="dxa"/>
            <w:vAlign w:val="bottom"/>
            <w:tcBorders>
              <w:top w:val="single" w:sz="8" w:color="231F20"/>
              <w:bottom w:val="single" w:sz="8" w:color="231F20"/>
            </w:tcBorders>
          </w:tcPr>
          <w:p>
            <w:pPr>
              <w:spacing w:after="0"/>
              <w:rPr>
                <w:sz w:val="16"/>
                <w:szCs w:val="16"/>
                <w:color w:val="auto"/>
              </w:rPr>
            </w:pPr>
          </w:p>
        </w:tc>
        <w:tc>
          <w:tcPr>
            <w:tcW w:w="720" w:type="dxa"/>
            <w:vAlign w:val="bottom"/>
            <w:tcBorders>
              <w:top w:val="single" w:sz="8" w:color="231F20"/>
              <w:bottom w:val="single" w:sz="8" w:color="231F20"/>
            </w:tcBorders>
          </w:tcPr>
          <w:p>
            <w:pPr>
              <w:jc w:val="right"/>
              <w:spacing w:after="0"/>
              <w:rPr>
                <w:sz w:val="20"/>
                <w:szCs w:val="20"/>
                <w:color w:val="auto"/>
              </w:rPr>
            </w:pPr>
            <w:r>
              <w:rPr>
                <w:rFonts w:ascii="Arial" w:cs="Arial" w:eastAsia="Arial" w:hAnsi="Arial"/>
                <w:sz w:val="15"/>
                <w:szCs w:val="15"/>
                <w:color w:val="231F20"/>
              </w:rPr>
              <w:t>2021</w:t>
            </w:r>
          </w:p>
        </w:tc>
      </w:tr>
      <w:tr>
        <w:trPr>
          <w:trHeight w:val="202"/>
        </w:trPr>
        <w:tc>
          <w:tcPr>
            <w:tcW w:w="484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rPr>
              <w:t xml:space="preserve">Reserve balance at the beginning of the year </w:t>
            </w:r>
            <w:r>
              <w:rPr>
                <w:rFonts w:ascii="Times New Roman" w:cs="Times New Roman" w:eastAsia="Times New Roman" w:hAnsi="Times New Roman"/>
                <w:sz w:val="20"/>
                <w:szCs w:val="20"/>
                <w:color w:val="231F20"/>
              </w:rPr>
              <w:t>...............</w:t>
            </w:r>
          </w:p>
        </w:tc>
        <w:tc>
          <w:tcPr>
            <w:tcW w:w="400" w:type="dxa"/>
            <w:vAlign w:val="bottom"/>
          </w:tcPr>
          <w:p>
            <w:pPr>
              <w:jc w:val="right"/>
              <w:ind w:right="99"/>
              <w:spacing w:after="0" w:line="203" w:lineRule="exact"/>
              <w:rPr>
                <w:sz w:val="20"/>
                <w:szCs w:val="20"/>
                <w:color w:val="auto"/>
              </w:rPr>
            </w:pPr>
            <w:r>
              <w:rPr>
                <w:rFonts w:ascii="Arial" w:cs="Arial" w:eastAsia="Arial" w:hAnsi="Arial"/>
                <w:sz w:val="20"/>
                <w:szCs w:val="20"/>
                <w:color w:val="231F20"/>
              </w:rPr>
              <w:t>$</w:t>
            </w:r>
          </w:p>
        </w:tc>
        <w:tc>
          <w:tcPr>
            <w:tcW w:w="880" w:type="dxa"/>
            <w:vAlign w:val="bottom"/>
            <w:tcBorders>
              <w:right w:val="single" w:sz="8" w:color="231F20"/>
            </w:tcBorders>
          </w:tcPr>
          <w:p>
            <w:pPr>
              <w:jc w:val="right"/>
              <w:ind w:right="102"/>
              <w:spacing w:after="0" w:line="203" w:lineRule="exact"/>
              <w:rPr>
                <w:sz w:val="20"/>
                <w:szCs w:val="20"/>
                <w:color w:val="auto"/>
              </w:rPr>
            </w:pPr>
            <w:r>
              <w:rPr>
                <w:rFonts w:ascii="Arial" w:cs="Arial" w:eastAsia="Arial" w:hAnsi="Arial"/>
                <w:sz w:val="20"/>
                <w:szCs w:val="20"/>
                <w:color w:val="231F20"/>
              </w:rPr>
              <w:t>20.1</w:t>
            </w:r>
          </w:p>
        </w:tc>
        <w:tc>
          <w:tcPr>
            <w:tcW w:w="460" w:type="dxa"/>
            <w:vAlign w:val="bottom"/>
          </w:tcPr>
          <w:p>
            <w:pPr>
              <w:jc w:val="right"/>
              <w:ind w:right="139"/>
              <w:spacing w:after="0" w:line="203" w:lineRule="exact"/>
              <w:rPr>
                <w:sz w:val="20"/>
                <w:szCs w:val="20"/>
                <w:color w:val="auto"/>
              </w:rPr>
            </w:pPr>
            <w:r>
              <w:rPr>
                <w:rFonts w:ascii="Arial" w:cs="Arial" w:eastAsia="Arial" w:hAnsi="Arial"/>
                <w:sz w:val="20"/>
                <w:szCs w:val="20"/>
                <w:color w:val="231F20"/>
              </w:rPr>
              <w:t>$</w:t>
            </w:r>
          </w:p>
        </w:tc>
        <w:tc>
          <w:tcPr>
            <w:tcW w:w="760" w:type="dxa"/>
            <w:vAlign w:val="bottom"/>
          </w:tcPr>
          <w:p>
            <w:pPr>
              <w:jc w:val="right"/>
              <w:ind w:right="22"/>
              <w:spacing w:after="0" w:line="203" w:lineRule="exact"/>
              <w:rPr>
                <w:sz w:val="20"/>
                <w:szCs w:val="20"/>
                <w:color w:val="auto"/>
              </w:rPr>
            </w:pPr>
            <w:r>
              <w:rPr>
                <w:rFonts w:ascii="Arial" w:cs="Arial" w:eastAsia="Arial" w:hAnsi="Arial"/>
                <w:sz w:val="20"/>
                <w:szCs w:val="20"/>
                <w:color w:val="231F20"/>
              </w:rPr>
              <w:t>19.5</w:t>
            </w:r>
          </w:p>
        </w:tc>
        <w:tc>
          <w:tcPr>
            <w:tcW w:w="420" w:type="dxa"/>
            <w:vAlign w:val="bottom"/>
          </w:tcPr>
          <w:p>
            <w:pPr>
              <w:jc w:val="right"/>
              <w:ind w:right="139"/>
              <w:spacing w:after="0" w:line="203" w:lineRule="exact"/>
              <w:rPr>
                <w:sz w:val="20"/>
                <w:szCs w:val="20"/>
                <w:color w:val="auto"/>
              </w:rPr>
            </w:pPr>
            <w:r>
              <w:rPr>
                <w:rFonts w:ascii="Arial" w:cs="Arial" w:eastAsia="Arial" w:hAnsi="Arial"/>
                <w:sz w:val="20"/>
                <w:szCs w:val="20"/>
                <w:color w:val="231F20"/>
              </w:rPr>
              <w:t>$</w:t>
            </w:r>
          </w:p>
        </w:tc>
        <w:tc>
          <w:tcPr>
            <w:tcW w:w="720" w:type="dxa"/>
            <w:vAlign w:val="bottom"/>
          </w:tcPr>
          <w:p>
            <w:pPr>
              <w:jc w:val="right"/>
              <w:spacing w:after="0" w:line="203" w:lineRule="exact"/>
              <w:rPr>
                <w:sz w:val="20"/>
                <w:szCs w:val="20"/>
                <w:color w:val="auto"/>
              </w:rPr>
            </w:pPr>
            <w:r>
              <w:rPr>
                <w:rFonts w:ascii="Arial" w:cs="Arial" w:eastAsia="Arial" w:hAnsi="Arial"/>
                <w:sz w:val="20"/>
                <w:szCs w:val="20"/>
                <w:color w:val="231F20"/>
              </w:rPr>
              <w:t>19.0</w:t>
            </w:r>
          </w:p>
        </w:tc>
      </w:tr>
      <w:tr>
        <w:trPr>
          <w:trHeight w:val="233"/>
        </w:trPr>
        <w:tc>
          <w:tcPr>
            <w:tcW w:w="484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Provision for warranties issued </w:t>
            </w:r>
            <w:r>
              <w:rPr>
                <w:rFonts w:ascii="Times New Roman" w:cs="Times New Roman" w:eastAsia="Times New Roman" w:hAnsi="Times New Roman"/>
                <w:sz w:val="20"/>
                <w:szCs w:val="20"/>
                <w:color w:val="231F20"/>
              </w:rPr>
              <w:t>........................................</w:t>
            </w:r>
          </w:p>
        </w:tc>
        <w:tc>
          <w:tcPr>
            <w:tcW w:w="400" w:type="dxa"/>
            <w:vAlign w:val="bottom"/>
          </w:tcPr>
          <w:p>
            <w:pPr>
              <w:spacing w:after="0"/>
              <w:rPr>
                <w:sz w:val="20"/>
                <w:szCs w:val="20"/>
                <w:color w:val="auto"/>
              </w:rPr>
            </w:pPr>
          </w:p>
        </w:tc>
        <w:tc>
          <w:tcPr>
            <w:tcW w:w="88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8.7</w:t>
            </w:r>
          </w:p>
        </w:tc>
        <w:tc>
          <w:tcPr>
            <w:tcW w:w="46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20"/>
                <w:szCs w:val="20"/>
                <w:color w:val="231F20"/>
              </w:rPr>
              <w:t>8.1</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31F20"/>
              </w:rPr>
              <w:t>8.5</w:t>
            </w:r>
          </w:p>
        </w:tc>
      </w:tr>
      <w:tr>
        <w:trPr>
          <w:trHeight w:val="233"/>
        </w:trPr>
        <w:tc>
          <w:tcPr>
            <w:tcW w:w="484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Settlements made (in cash or in kind)</w:t>
            </w:r>
            <w:r>
              <w:rPr>
                <w:rFonts w:ascii="Times New Roman" w:cs="Times New Roman" w:eastAsia="Times New Roman" w:hAnsi="Times New Roman"/>
                <w:sz w:val="20"/>
                <w:szCs w:val="20"/>
                <w:color w:val="231F20"/>
              </w:rPr>
              <w:t>.............................</w:t>
            </w:r>
          </w:p>
        </w:tc>
        <w:tc>
          <w:tcPr>
            <w:tcW w:w="400" w:type="dxa"/>
            <w:vAlign w:val="bottom"/>
          </w:tcPr>
          <w:p>
            <w:pPr>
              <w:spacing w:after="0"/>
              <w:rPr>
                <w:sz w:val="20"/>
                <w:szCs w:val="20"/>
                <w:color w:val="auto"/>
              </w:rPr>
            </w:pPr>
          </w:p>
        </w:tc>
        <w:tc>
          <w:tcPr>
            <w:tcW w:w="880" w:type="dxa"/>
            <w:vAlign w:val="bottom"/>
            <w:tcBorders>
              <w:right w:val="single" w:sz="8" w:color="231F20"/>
            </w:tcBorders>
          </w:tcPr>
          <w:p>
            <w:pPr>
              <w:jc w:val="right"/>
              <w:ind w:right="42"/>
              <w:spacing w:after="0"/>
              <w:rPr>
                <w:sz w:val="20"/>
                <w:szCs w:val="20"/>
                <w:color w:val="auto"/>
              </w:rPr>
            </w:pPr>
            <w:r>
              <w:rPr>
                <w:rFonts w:ascii="Arial" w:cs="Arial" w:eastAsia="Arial" w:hAnsi="Arial"/>
                <w:sz w:val="20"/>
                <w:szCs w:val="20"/>
                <w:color w:val="231F20"/>
              </w:rPr>
              <w:t>(10.4)</w:t>
            </w: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(9.0)</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31F20"/>
              </w:rPr>
              <w:t>(8.4)</w:t>
            </w:r>
          </w:p>
        </w:tc>
      </w:tr>
      <w:tr>
        <w:trPr>
          <w:trHeight w:val="233"/>
        </w:trPr>
        <w:tc>
          <w:tcPr>
            <w:tcW w:w="484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Acquisition</w:t>
            </w:r>
            <w:r>
              <w:rPr>
                <w:rFonts w:ascii="Times New Roman" w:cs="Times New Roman" w:eastAsia="Times New Roman" w:hAnsi="Times New Roman"/>
                <w:sz w:val="20"/>
                <w:szCs w:val="20"/>
                <w:color w:val="231F20"/>
              </w:rPr>
              <w:t>............................................................................</w:t>
            </w:r>
          </w:p>
        </w:tc>
        <w:tc>
          <w:tcPr>
            <w:tcW w:w="400" w:type="dxa"/>
            <w:vAlign w:val="bottom"/>
          </w:tcPr>
          <w:p>
            <w:pPr>
              <w:spacing w:after="0"/>
              <w:rPr>
                <w:sz w:val="20"/>
                <w:szCs w:val="20"/>
                <w:color w:val="auto"/>
              </w:rPr>
            </w:pPr>
          </w:p>
        </w:tc>
        <w:tc>
          <w:tcPr>
            <w:tcW w:w="880" w:type="dxa"/>
            <w:vAlign w:val="bottom"/>
            <w:tcBorders>
              <w:right w:val="single" w:sz="8" w:color="231F20"/>
            </w:tcBorders>
          </w:tcPr>
          <w:p>
            <w:pPr>
              <w:jc w:val="right"/>
              <w:ind w:right="102"/>
              <w:spacing w:after="0"/>
              <w:rPr>
                <w:sz w:val="20"/>
                <w:szCs w:val="20"/>
                <w:color w:val="auto"/>
              </w:rPr>
            </w:pPr>
            <w:r>
              <w:rPr>
                <w:rFonts w:ascii="Arial" w:cs="Arial" w:eastAsia="Arial" w:hAnsi="Arial"/>
                <w:sz w:val="20"/>
                <w:szCs w:val="20"/>
                <w:color w:val="231F20"/>
              </w:rPr>
              <w:t>—</w:t>
            </w:r>
          </w:p>
        </w:tc>
        <w:tc>
          <w:tcPr>
            <w:tcW w:w="46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20"/>
                <w:szCs w:val="20"/>
                <w:color w:val="231F20"/>
              </w:rPr>
              <w:t>1.7</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231F20"/>
              </w:rPr>
              <w:t>0.3</w:t>
            </w:r>
          </w:p>
        </w:tc>
      </w:tr>
      <w:tr>
        <w:trPr>
          <w:trHeight w:val="253"/>
        </w:trPr>
        <w:tc>
          <w:tcPr>
            <w:tcW w:w="484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Foreign currency</w:t>
            </w:r>
            <w:r>
              <w:rPr>
                <w:rFonts w:ascii="Times New Roman" w:cs="Times New Roman" w:eastAsia="Times New Roman" w:hAnsi="Times New Roman"/>
                <w:sz w:val="20"/>
                <w:szCs w:val="20"/>
                <w:color w:val="231F20"/>
              </w:rPr>
              <w:t>.................................................................</w:t>
            </w:r>
          </w:p>
        </w:tc>
        <w:tc>
          <w:tcPr>
            <w:tcW w:w="40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right w:val="single" w:sz="8" w:color="231F20"/>
            </w:tcBorders>
          </w:tcPr>
          <w:p>
            <w:pPr>
              <w:jc w:val="right"/>
              <w:ind w:right="102"/>
              <w:spacing w:after="0"/>
              <w:rPr>
                <w:sz w:val="20"/>
                <w:szCs w:val="20"/>
                <w:color w:val="auto"/>
              </w:rPr>
            </w:pPr>
            <w:r>
              <w:rPr>
                <w:rFonts w:ascii="Arial" w:cs="Arial" w:eastAsia="Arial" w:hAnsi="Arial"/>
                <w:sz w:val="20"/>
                <w:szCs w:val="20"/>
                <w:color w:val="231F20"/>
              </w:rPr>
              <w:t>—</w:t>
            </w:r>
          </w:p>
        </w:tc>
        <w:tc>
          <w:tcPr>
            <w:tcW w:w="460" w:type="dxa"/>
            <w:vAlign w:val="bottom"/>
            <w:tcBorders>
              <w:bottom w:val="single" w:sz="8" w:color="231F20"/>
            </w:tcBorders>
          </w:tcPr>
          <w:p>
            <w:pPr>
              <w:spacing w:after="0"/>
              <w:rPr>
                <w:sz w:val="22"/>
                <w:szCs w:val="22"/>
                <w:color w:val="auto"/>
              </w:rPr>
            </w:pPr>
          </w:p>
        </w:tc>
        <w:tc>
          <w:tcPr>
            <w:tcW w:w="7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(0.2)</w:t>
            </w:r>
          </w:p>
        </w:tc>
        <w:tc>
          <w:tcPr>
            <w:tcW w:w="420" w:type="dxa"/>
            <w:vAlign w:val="bottom"/>
            <w:tcBorders>
              <w:bottom w:val="single" w:sz="8" w:color="231F20"/>
            </w:tcBorders>
          </w:tcPr>
          <w:p>
            <w:pPr>
              <w:spacing w:after="0"/>
              <w:rPr>
                <w:sz w:val="22"/>
                <w:szCs w:val="22"/>
                <w:color w:val="auto"/>
              </w:rPr>
            </w:pPr>
          </w:p>
        </w:tc>
        <w:tc>
          <w:tcPr>
            <w:tcW w:w="7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0.1</w:t>
            </w:r>
          </w:p>
        </w:tc>
      </w:tr>
      <w:tr>
        <w:trPr>
          <w:trHeight w:val="248"/>
        </w:trPr>
        <w:tc>
          <w:tcPr>
            <w:tcW w:w="4840" w:type="dxa"/>
            <w:vAlign w:val="bottom"/>
            <w:tcBorders>
              <w:bottom w:val="single" w:sz="8" w:color="231F20"/>
              <w:right w:val="single" w:sz="8" w:color="231F20"/>
            </w:tcBorders>
          </w:tcPr>
          <w:p>
            <w:pPr>
              <w:jc w:val="right"/>
              <w:spacing w:after="0" w:line="223" w:lineRule="exact"/>
              <w:rPr>
                <w:sz w:val="20"/>
                <w:szCs w:val="20"/>
                <w:color w:val="auto"/>
              </w:rPr>
            </w:pPr>
            <w:r>
              <w:rPr>
                <w:rFonts w:ascii="Arial" w:cs="Arial" w:eastAsia="Arial" w:hAnsi="Arial"/>
                <w:sz w:val="20"/>
                <w:szCs w:val="20"/>
                <w:color w:val="231F20"/>
              </w:rPr>
              <w:t xml:space="preserve">Reserve balance at end of year </w:t>
            </w:r>
            <w:r>
              <w:rPr>
                <w:rFonts w:ascii="Times New Roman" w:cs="Times New Roman" w:eastAsia="Times New Roman" w:hAnsi="Times New Roman"/>
                <w:sz w:val="20"/>
                <w:szCs w:val="20"/>
                <w:color w:val="231F20"/>
              </w:rPr>
              <w:t>.......................................</w:t>
            </w:r>
          </w:p>
        </w:tc>
        <w:tc>
          <w:tcPr>
            <w:tcW w:w="400" w:type="dxa"/>
            <w:vAlign w:val="bottom"/>
            <w:tcBorders>
              <w:bottom w:val="single" w:sz="8" w:color="231F20"/>
            </w:tcBorders>
          </w:tcPr>
          <w:p>
            <w:pPr>
              <w:jc w:val="right"/>
              <w:ind w:right="99"/>
              <w:spacing w:after="0" w:line="223" w:lineRule="exact"/>
              <w:rPr>
                <w:sz w:val="20"/>
                <w:szCs w:val="20"/>
                <w:color w:val="auto"/>
              </w:rPr>
            </w:pPr>
            <w:r>
              <w:rPr>
                <w:rFonts w:ascii="Arial" w:cs="Arial" w:eastAsia="Arial" w:hAnsi="Arial"/>
                <w:sz w:val="20"/>
                <w:szCs w:val="20"/>
                <w:color w:val="231F20"/>
              </w:rPr>
              <w:t>$</w:t>
            </w:r>
          </w:p>
        </w:tc>
        <w:tc>
          <w:tcPr>
            <w:tcW w:w="880" w:type="dxa"/>
            <w:vAlign w:val="bottom"/>
            <w:tcBorders>
              <w:bottom w:val="single" w:sz="8" w:color="231F20"/>
              <w:right w:val="single" w:sz="8" w:color="231F20"/>
            </w:tcBorders>
          </w:tcPr>
          <w:p>
            <w:pPr>
              <w:jc w:val="right"/>
              <w:ind w:right="102"/>
              <w:spacing w:after="0" w:line="223" w:lineRule="exact"/>
              <w:rPr>
                <w:sz w:val="20"/>
                <w:szCs w:val="20"/>
                <w:color w:val="auto"/>
              </w:rPr>
            </w:pPr>
            <w:r>
              <w:rPr>
                <w:rFonts w:ascii="Arial" w:cs="Arial" w:eastAsia="Arial" w:hAnsi="Arial"/>
                <w:sz w:val="20"/>
                <w:szCs w:val="20"/>
                <w:color w:val="231F20"/>
              </w:rPr>
              <w:t>18.4</w:t>
            </w:r>
          </w:p>
        </w:tc>
        <w:tc>
          <w:tcPr>
            <w:tcW w:w="460" w:type="dxa"/>
            <w:vAlign w:val="bottom"/>
            <w:tcBorders>
              <w:bottom w:val="single" w:sz="8" w:color="231F20"/>
            </w:tcBorders>
          </w:tcPr>
          <w:p>
            <w:pPr>
              <w:jc w:val="right"/>
              <w:ind w:right="139"/>
              <w:spacing w:after="0" w:line="223" w:lineRule="exact"/>
              <w:rPr>
                <w:sz w:val="20"/>
                <w:szCs w:val="20"/>
                <w:color w:val="auto"/>
              </w:rPr>
            </w:pPr>
            <w:r>
              <w:rPr>
                <w:rFonts w:ascii="Arial" w:cs="Arial" w:eastAsia="Arial" w:hAnsi="Arial"/>
                <w:sz w:val="20"/>
                <w:szCs w:val="20"/>
                <w:color w:val="231F20"/>
              </w:rPr>
              <w:t>$</w:t>
            </w:r>
          </w:p>
        </w:tc>
        <w:tc>
          <w:tcPr>
            <w:tcW w:w="760" w:type="dxa"/>
            <w:vAlign w:val="bottom"/>
            <w:tcBorders>
              <w:bottom w:val="single" w:sz="8" w:color="231F20"/>
            </w:tcBorders>
          </w:tcPr>
          <w:p>
            <w:pPr>
              <w:jc w:val="right"/>
              <w:ind w:right="22"/>
              <w:spacing w:after="0" w:line="223" w:lineRule="exact"/>
              <w:rPr>
                <w:sz w:val="20"/>
                <w:szCs w:val="20"/>
                <w:color w:val="auto"/>
              </w:rPr>
            </w:pPr>
            <w:r>
              <w:rPr>
                <w:rFonts w:ascii="Arial" w:cs="Arial" w:eastAsia="Arial" w:hAnsi="Arial"/>
                <w:sz w:val="20"/>
                <w:szCs w:val="20"/>
                <w:color w:val="231F20"/>
              </w:rPr>
              <w:t>20.1</w:t>
            </w:r>
          </w:p>
        </w:tc>
        <w:tc>
          <w:tcPr>
            <w:tcW w:w="420" w:type="dxa"/>
            <w:vAlign w:val="bottom"/>
            <w:tcBorders>
              <w:bottom w:val="single" w:sz="8" w:color="231F20"/>
            </w:tcBorders>
          </w:tcPr>
          <w:p>
            <w:pPr>
              <w:jc w:val="right"/>
              <w:ind w:right="139"/>
              <w:spacing w:after="0" w:line="223" w:lineRule="exact"/>
              <w:rPr>
                <w:sz w:val="20"/>
                <w:szCs w:val="20"/>
                <w:color w:val="auto"/>
              </w:rPr>
            </w:pPr>
            <w:r>
              <w:rPr>
                <w:rFonts w:ascii="Arial" w:cs="Arial" w:eastAsia="Arial" w:hAnsi="Arial"/>
                <w:sz w:val="20"/>
                <w:szCs w:val="20"/>
                <w:color w:val="231F20"/>
              </w:rPr>
              <w:t>$</w:t>
            </w:r>
          </w:p>
        </w:tc>
        <w:tc>
          <w:tcPr>
            <w:tcW w:w="72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19.5</w:t>
            </w:r>
          </w:p>
        </w:tc>
      </w:tr>
    </w:tbl>
    <w:p>
      <w:pPr>
        <w:spacing w:after="0" w:line="167" w:lineRule="exact"/>
        <w:rPr>
          <w:sz w:val="20"/>
          <w:szCs w:val="20"/>
          <w:color w:val="auto"/>
        </w:rPr>
      </w:pPr>
    </w:p>
    <w:p>
      <w:pPr>
        <w:ind w:left="520" w:hanging="514"/>
        <w:spacing w:after="0"/>
        <w:tabs>
          <w:tab w:leader="none" w:pos="520" w:val="left"/>
        </w:tabs>
        <w:numPr>
          <w:ilvl w:val="0"/>
          <w:numId w:val="52"/>
        </w:numPr>
        <w:rPr>
          <w:rFonts w:ascii="Arial" w:cs="Arial" w:eastAsia="Arial" w:hAnsi="Arial"/>
          <w:sz w:val="20"/>
          <w:szCs w:val="20"/>
          <w:b w:val="1"/>
          <w:bCs w:val="1"/>
          <w:color w:val="231F20"/>
        </w:rPr>
      </w:pPr>
      <w:r>
        <w:rPr>
          <w:rFonts w:ascii="Arial" w:cs="Arial" w:eastAsia="Arial" w:hAnsi="Arial"/>
          <w:sz w:val="20"/>
          <w:szCs w:val="20"/>
          <w:b w:val="1"/>
          <w:bCs w:val="1"/>
          <w:color w:val="231F20"/>
        </w:rPr>
        <w:t>Information on Business Segments</w:t>
      </w:r>
    </w:p>
    <w:p>
      <w:pPr>
        <w:spacing w:after="0" w:line="165" w:lineRule="exact"/>
        <w:rPr>
          <w:sz w:val="20"/>
          <w:szCs w:val="20"/>
          <w:color w:val="auto"/>
        </w:rPr>
      </w:pPr>
    </w:p>
    <w:p>
      <w:pPr>
        <w:ind w:right="400"/>
        <w:spacing w:after="0" w:line="235" w:lineRule="auto"/>
        <w:rPr>
          <w:sz w:val="20"/>
          <w:szCs w:val="20"/>
          <w:color w:val="auto"/>
        </w:rPr>
      </w:pPr>
      <w:r>
        <w:rPr>
          <w:rFonts w:ascii="Arial" w:cs="Arial" w:eastAsia="Arial" w:hAnsi="Arial"/>
          <w:sz w:val="20"/>
          <w:szCs w:val="20"/>
          <w:color w:val="231F20"/>
        </w:rPr>
        <w:t>Following the Separation, the operating results of our Cabinets segment have been classified as discontinued operations for all periods presented, and we have three operating segments. The tables below reflect the results of operations of the Company's operating segments in continuing operations, consistent with internal reporting used by the Company.</w:t>
      </w:r>
    </w:p>
    <w:p>
      <w:pPr>
        <w:spacing w:after="0" w:line="119" w:lineRule="exact"/>
        <w:rPr>
          <w:sz w:val="20"/>
          <w:szCs w:val="20"/>
          <w:color w:val="auto"/>
        </w:rPr>
      </w:pPr>
    </w:p>
    <w:p>
      <w:pPr>
        <w:ind w:right="380"/>
        <w:spacing w:after="0" w:line="235" w:lineRule="auto"/>
        <w:rPr>
          <w:sz w:val="20"/>
          <w:szCs w:val="20"/>
          <w:color w:val="auto"/>
        </w:rPr>
      </w:pPr>
      <w:r>
        <w:rPr>
          <w:rFonts w:ascii="Arial" w:cs="Arial" w:eastAsia="Arial" w:hAnsi="Arial"/>
          <w:sz w:val="20"/>
          <w:szCs w:val="20"/>
          <w:color w:val="231F20"/>
        </w:rPr>
        <w:t>We report our operating segments based on how operating results are regularly reviewed by our chief operating decision maker for making decisions about resource allocations to segments and assessing performance. The Company’s operating segments and types of products from which each segment derives revenues are described below.</w:t>
      </w:r>
    </w:p>
    <w:p>
      <w:pPr>
        <w:spacing w:after="0" w:line="18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231F20"/>
        </w:rPr>
        <w:t>The Water segment manufactures or assembles and sells faucets, accessories, kitchen sinks and waste disposals, predominantly under the Moen, ROHL, Riobel, Victoria+Albert, Perrin &amp; Rowe, Aqualisa, Shaws, Emtek and Schaub brands. The Outdoors segment includes fiberglass and steel entry door systems under the Therma-Tru brand name, storm, screen and security doors under the Larson brand name, composite decking and railing under the Fiberon brand name, urethane millwork under the Fypon brand name and wide-opening exterior door systems and outdoor enclosures under the Solar Innovations brand. The Security segment includes locks, safety and security devices, and electronic security products under the Master Lock, American Lock, Yale and August brands, and fire-resistant safes, security containers and commercial cabinets under the SentrySafe brand. Corporate expenses consist of headquarters administrative expenses. Corporate assets consist primarily of cash.</w:t>
      </w:r>
    </w:p>
    <w:p>
      <w:pPr>
        <w:spacing w:after="0" w:line="81" w:lineRule="exact"/>
        <w:rPr>
          <w:sz w:val="20"/>
          <w:szCs w:val="20"/>
          <w:color w:val="auto"/>
        </w:rPr>
      </w:pPr>
    </w:p>
    <w:p>
      <w:pPr>
        <w:ind w:right="780"/>
        <w:spacing w:after="0" w:line="287" w:lineRule="auto"/>
        <w:rPr>
          <w:sz w:val="20"/>
          <w:szCs w:val="20"/>
          <w:color w:val="auto"/>
        </w:rPr>
      </w:pPr>
      <w:r>
        <w:rPr>
          <w:rFonts w:ascii="Arial" w:cs="Arial" w:eastAsia="Arial" w:hAnsi="Arial"/>
          <w:sz w:val="20"/>
          <w:szCs w:val="20"/>
          <w:color w:val="231F20"/>
        </w:rPr>
        <w:t>The Company’s subsidiaries operate principally in the United States, Canada, Mexico, the United Kingdom, China, South Africa, Vietnam and France.</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340" w:type="dxa"/>
            <w:vAlign w:val="bottom"/>
            <w:tcBorders>
              <w:top w:val="single" w:sz="8" w:color="231F20"/>
              <w:bottom w:val="single" w:sz="8" w:color="231F20"/>
              <w:right w:val="single" w:sz="8" w:color="231F20"/>
            </w:tcBorders>
          </w:tcPr>
          <w:p>
            <w:pPr>
              <w:spacing w:after="0" w:line="184"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360" w:type="dxa"/>
            <w:vAlign w:val="bottom"/>
            <w:tcBorders>
              <w:top w:val="single" w:sz="8" w:color="231F20"/>
              <w:bottom w:val="single" w:sz="8" w:color="231F20"/>
            </w:tcBorders>
          </w:tcPr>
          <w:p>
            <w:pPr>
              <w:spacing w:after="0"/>
              <w:rPr>
                <w:sz w:val="16"/>
                <w:szCs w:val="16"/>
                <w:color w:val="auto"/>
              </w:rPr>
            </w:pPr>
          </w:p>
        </w:tc>
        <w:tc>
          <w:tcPr>
            <w:tcW w:w="1040" w:type="dxa"/>
            <w:vAlign w:val="bottom"/>
            <w:tcBorders>
              <w:top w:val="single" w:sz="8" w:color="231F20"/>
              <w:bottom w:val="single" w:sz="8" w:color="231F20"/>
              <w:right w:val="single" w:sz="8" w:color="231F20"/>
            </w:tcBorders>
          </w:tcPr>
          <w:p>
            <w:pPr>
              <w:jc w:val="right"/>
              <w:ind w:right="125"/>
              <w:spacing w:after="0"/>
              <w:rPr>
                <w:sz w:val="20"/>
                <w:szCs w:val="20"/>
                <w:color w:val="auto"/>
              </w:rPr>
            </w:pPr>
            <w:r>
              <w:rPr>
                <w:rFonts w:ascii="Arial" w:cs="Arial" w:eastAsia="Arial" w:hAnsi="Arial"/>
                <w:sz w:val="15"/>
                <w:szCs w:val="15"/>
                <w:i w:val="1"/>
                <w:iCs w:val="1"/>
                <w:color w:val="231F20"/>
              </w:rPr>
              <w:t>2023</w:t>
            </w:r>
          </w:p>
        </w:tc>
        <w:tc>
          <w:tcPr>
            <w:tcW w:w="380" w:type="dxa"/>
            <w:vAlign w:val="bottom"/>
            <w:tcBorders>
              <w:top w:val="single" w:sz="8" w:color="231F20"/>
              <w:bottom w:val="single" w:sz="8" w:color="231F20"/>
            </w:tcBorders>
          </w:tcPr>
          <w:p>
            <w:pPr>
              <w:spacing w:after="0"/>
              <w:rPr>
                <w:sz w:val="16"/>
                <w:szCs w:val="16"/>
                <w:color w:val="auto"/>
              </w:rPr>
            </w:pPr>
          </w:p>
        </w:tc>
        <w:tc>
          <w:tcPr>
            <w:tcW w:w="1040" w:type="dxa"/>
            <w:vAlign w:val="bottom"/>
            <w:tcBorders>
              <w:top w:val="single" w:sz="8" w:color="231F20"/>
              <w:bottom w:val="single" w:sz="8" w:color="231F20"/>
              <w:right w:val="single" w:sz="8" w:color="231F20"/>
            </w:tcBorders>
          </w:tcPr>
          <w:p>
            <w:pPr>
              <w:jc w:val="right"/>
              <w:ind w:right="125"/>
              <w:spacing w:after="0"/>
              <w:rPr>
                <w:sz w:val="20"/>
                <w:szCs w:val="20"/>
                <w:color w:val="auto"/>
              </w:rPr>
            </w:pPr>
            <w:r>
              <w:rPr>
                <w:rFonts w:ascii="Arial" w:cs="Arial" w:eastAsia="Arial" w:hAnsi="Arial"/>
                <w:sz w:val="15"/>
                <w:szCs w:val="15"/>
                <w:color w:val="231F20"/>
              </w:rPr>
              <w:t>2022</w:t>
            </w:r>
          </w:p>
        </w:tc>
        <w:tc>
          <w:tcPr>
            <w:tcW w:w="360" w:type="dxa"/>
            <w:vAlign w:val="bottom"/>
            <w:tcBorders>
              <w:top w:val="single" w:sz="8" w:color="231F20"/>
              <w:bottom w:val="single" w:sz="8" w:color="231F20"/>
            </w:tcBorders>
          </w:tcPr>
          <w:p>
            <w:pPr>
              <w:spacing w:after="0"/>
              <w:rPr>
                <w:sz w:val="16"/>
                <w:szCs w:val="16"/>
                <w:color w:val="auto"/>
              </w:rPr>
            </w:pPr>
          </w:p>
        </w:tc>
        <w:tc>
          <w:tcPr>
            <w:tcW w:w="920" w:type="dxa"/>
            <w:vAlign w:val="bottom"/>
            <w:tcBorders>
              <w:top w:val="single" w:sz="8" w:color="231F20"/>
              <w:bottom w:val="single" w:sz="8" w:color="231F20"/>
            </w:tcBorders>
          </w:tcPr>
          <w:p>
            <w:pPr>
              <w:jc w:val="right"/>
              <w:ind w:right="5"/>
              <w:spacing w:after="0"/>
              <w:rPr>
                <w:sz w:val="20"/>
                <w:szCs w:val="20"/>
                <w:color w:val="auto"/>
              </w:rPr>
            </w:pPr>
            <w:r>
              <w:rPr>
                <w:rFonts w:ascii="Arial" w:cs="Arial" w:eastAsia="Arial" w:hAnsi="Arial"/>
                <w:sz w:val="15"/>
                <w:szCs w:val="15"/>
                <w:color w:val="231F20"/>
              </w:rPr>
              <w:t>2021</w:t>
            </w:r>
          </w:p>
        </w:tc>
      </w:tr>
      <w:tr>
        <w:trPr>
          <w:trHeight w:val="180"/>
        </w:trPr>
        <w:tc>
          <w:tcPr>
            <w:tcW w:w="5340" w:type="dxa"/>
            <w:vAlign w:val="bottom"/>
            <w:tcBorders>
              <w:right w:val="single" w:sz="8" w:color="231F20"/>
            </w:tcBorders>
          </w:tcPr>
          <w:p>
            <w:pPr>
              <w:spacing w:after="0" w:line="170" w:lineRule="exact"/>
              <w:rPr>
                <w:sz w:val="20"/>
                <w:szCs w:val="20"/>
                <w:color w:val="auto"/>
              </w:rPr>
            </w:pPr>
            <w:r>
              <w:rPr>
                <w:rFonts w:ascii="Arial" w:cs="Arial" w:eastAsia="Arial" w:hAnsi="Arial"/>
                <w:sz w:val="19"/>
                <w:szCs w:val="19"/>
                <w:b w:val="1"/>
                <w:bCs w:val="1"/>
                <w:color w:val="231F20"/>
              </w:rPr>
              <w:t>Net sales:</w:t>
            </w:r>
          </w:p>
        </w:tc>
        <w:tc>
          <w:tcPr>
            <w:tcW w:w="360" w:type="dxa"/>
            <w:vAlign w:val="bottom"/>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5"/>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Water </w:t>
            </w:r>
            <w:r>
              <w:rPr>
                <w:rFonts w:ascii="Times New Roman" w:cs="Times New Roman" w:eastAsia="Times New Roman" w:hAnsi="Times New Roman"/>
                <w:sz w:val="20"/>
                <w:szCs w:val="20"/>
                <w:color w:val="231F20"/>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5"/>
              <w:spacing w:after="0"/>
              <w:rPr>
                <w:sz w:val="20"/>
                <w:szCs w:val="20"/>
                <w:color w:val="auto"/>
              </w:rPr>
            </w:pPr>
            <w:r>
              <w:rPr>
                <w:rFonts w:ascii="Arial" w:cs="Arial" w:eastAsia="Arial" w:hAnsi="Arial"/>
                <w:sz w:val="20"/>
                <w:szCs w:val="20"/>
                <w:color w:val="231F20"/>
              </w:rPr>
              <w:t>2,562.2</w:t>
            </w:r>
          </w:p>
        </w:tc>
        <w:tc>
          <w:tcPr>
            <w:tcW w:w="380" w:type="dxa"/>
            <w:vAlign w:val="bottom"/>
          </w:tcPr>
          <w:p>
            <w:pPr>
              <w:jc w:val="right"/>
              <w:ind w:right="6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5"/>
              <w:spacing w:after="0"/>
              <w:rPr>
                <w:sz w:val="20"/>
                <w:szCs w:val="20"/>
                <w:color w:val="auto"/>
              </w:rPr>
            </w:pPr>
            <w:r>
              <w:rPr>
                <w:rFonts w:ascii="Arial" w:cs="Arial" w:eastAsia="Arial" w:hAnsi="Arial"/>
                <w:sz w:val="20"/>
                <w:szCs w:val="20"/>
                <w:color w:val="231F20"/>
              </w:rPr>
              <w:t>2,570.2</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5"/>
              <w:spacing w:after="0"/>
              <w:rPr>
                <w:sz w:val="20"/>
                <w:szCs w:val="20"/>
                <w:color w:val="auto"/>
              </w:rPr>
            </w:pPr>
            <w:r>
              <w:rPr>
                <w:rFonts w:ascii="Arial" w:cs="Arial" w:eastAsia="Arial" w:hAnsi="Arial"/>
                <w:sz w:val="20"/>
                <w:szCs w:val="20"/>
                <w:color w:val="231F20"/>
              </w:rPr>
              <w:t>2,761.2</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Outdoors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5"/>
              <w:spacing w:after="0"/>
              <w:rPr>
                <w:sz w:val="20"/>
                <w:szCs w:val="20"/>
                <w:color w:val="auto"/>
              </w:rPr>
            </w:pPr>
            <w:r>
              <w:rPr>
                <w:rFonts w:ascii="Arial" w:cs="Arial" w:eastAsia="Arial" w:hAnsi="Arial"/>
                <w:sz w:val="20"/>
                <w:szCs w:val="20"/>
                <w:color w:val="231F20"/>
              </w:rPr>
              <w:t>1,341.1</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5"/>
              <w:spacing w:after="0"/>
              <w:rPr>
                <w:sz w:val="20"/>
                <w:szCs w:val="20"/>
                <w:color w:val="auto"/>
              </w:rPr>
            </w:pPr>
            <w:r>
              <w:rPr>
                <w:rFonts w:ascii="Arial" w:cs="Arial" w:eastAsia="Arial" w:hAnsi="Arial"/>
                <w:sz w:val="20"/>
                <w:szCs w:val="20"/>
                <w:color w:val="231F20"/>
              </w:rPr>
              <w:t>1,517.4</w:t>
            </w:r>
          </w:p>
        </w:tc>
        <w:tc>
          <w:tcPr>
            <w:tcW w:w="360" w:type="dxa"/>
            <w:vAlign w:val="bottom"/>
          </w:tcPr>
          <w:p>
            <w:pPr>
              <w:spacing w:after="0"/>
              <w:rPr>
                <w:sz w:val="20"/>
                <w:szCs w:val="20"/>
                <w:color w:val="auto"/>
              </w:rPr>
            </w:pPr>
          </w:p>
        </w:tc>
        <w:tc>
          <w:tcPr>
            <w:tcW w:w="920" w:type="dxa"/>
            <w:vAlign w:val="bottom"/>
          </w:tcPr>
          <w:p>
            <w:pPr>
              <w:jc w:val="right"/>
              <w:ind w:right="5"/>
              <w:spacing w:after="0"/>
              <w:rPr>
                <w:sz w:val="20"/>
                <w:szCs w:val="20"/>
                <w:color w:val="auto"/>
              </w:rPr>
            </w:pPr>
            <w:r>
              <w:rPr>
                <w:rFonts w:ascii="Arial" w:cs="Arial" w:eastAsia="Arial" w:hAnsi="Arial"/>
                <w:sz w:val="20"/>
                <w:szCs w:val="20"/>
                <w:color w:val="231F20"/>
              </w:rPr>
              <w:t>1,416.5</w:t>
            </w:r>
          </w:p>
        </w:tc>
      </w:tr>
      <w:tr>
        <w:trPr>
          <w:trHeight w:val="253"/>
        </w:trPr>
        <w:tc>
          <w:tcPr>
            <w:tcW w:w="534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rPr>
              <w:t xml:space="preserve">Security </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5"/>
              <w:spacing w:after="0" w:line="190" w:lineRule="exact"/>
              <w:rPr>
                <w:sz w:val="20"/>
                <w:szCs w:val="20"/>
                <w:color w:val="auto"/>
              </w:rPr>
            </w:pPr>
            <w:r>
              <w:rPr>
                <w:rFonts w:ascii="Arial" w:cs="Arial" w:eastAsia="Arial" w:hAnsi="Arial"/>
                <w:sz w:val="20"/>
                <w:szCs w:val="20"/>
                <w:color w:val="231F20"/>
              </w:rPr>
              <w:t>722.9</w:t>
            </w:r>
          </w:p>
        </w:tc>
        <w:tc>
          <w:tcPr>
            <w:tcW w:w="3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5"/>
              <w:spacing w:after="0" w:line="190" w:lineRule="exact"/>
              <w:rPr>
                <w:sz w:val="20"/>
                <w:szCs w:val="20"/>
                <w:color w:val="auto"/>
              </w:rPr>
            </w:pPr>
            <w:r>
              <w:rPr>
                <w:rFonts w:ascii="Arial" w:cs="Arial" w:eastAsia="Arial" w:hAnsi="Arial"/>
                <w:sz w:val="20"/>
                <w:szCs w:val="20"/>
                <w:color w:val="231F20"/>
              </w:rPr>
              <w:t>635.4</w:t>
            </w: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5"/>
              <w:spacing w:after="0" w:line="190" w:lineRule="exact"/>
              <w:rPr>
                <w:sz w:val="20"/>
                <w:szCs w:val="20"/>
                <w:color w:val="auto"/>
              </w:rPr>
            </w:pPr>
            <w:r>
              <w:rPr>
                <w:rFonts w:ascii="Arial" w:cs="Arial" w:eastAsia="Arial" w:hAnsi="Arial"/>
                <w:sz w:val="20"/>
                <w:szCs w:val="20"/>
                <w:color w:val="231F20"/>
              </w:rPr>
              <w:t>623.4</w:t>
            </w:r>
          </w:p>
        </w:tc>
      </w:tr>
      <w:tr>
        <w:trPr>
          <w:trHeight w:val="248"/>
        </w:trPr>
        <w:tc>
          <w:tcPr>
            <w:tcW w:w="5340" w:type="dxa"/>
            <w:vAlign w:val="bottom"/>
            <w:tcBorders>
              <w:bottom w:val="single" w:sz="8" w:color="231F20"/>
              <w:right w:val="single" w:sz="8" w:color="231F20"/>
            </w:tcBorders>
          </w:tcPr>
          <w:p>
            <w:pPr>
              <w:ind w:left="280"/>
              <w:spacing w:after="0" w:line="170" w:lineRule="exact"/>
              <w:rPr>
                <w:sz w:val="20"/>
                <w:szCs w:val="20"/>
                <w:color w:val="auto"/>
              </w:rPr>
            </w:pPr>
            <w:r>
              <w:rPr>
                <w:rFonts w:ascii="Arial" w:cs="Arial" w:eastAsia="Arial" w:hAnsi="Arial"/>
                <w:sz w:val="19"/>
                <w:szCs w:val="19"/>
                <w:color w:val="231F20"/>
              </w:rPr>
              <w:t xml:space="preserve">Total net sales </w:t>
            </w:r>
            <w:r>
              <w:rPr>
                <w:rFonts w:ascii="Times New Roman" w:cs="Times New Roman" w:eastAsia="Times New Roman" w:hAnsi="Times New Roman"/>
                <w:sz w:val="19"/>
                <w:szCs w:val="19"/>
                <w:color w:val="231F20"/>
              </w:rPr>
              <w:t>.........................................................................</w:t>
            </w:r>
          </w:p>
        </w:tc>
        <w:tc>
          <w:tcPr>
            <w:tcW w:w="360" w:type="dxa"/>
            <w:vAlign w:val="bottom"/>
            <w:tcBorders>
              <w:bottom w:val="single" w:sz="8" w:color="231F20"/>
            </w:tcBorders>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bottom w:val="single" w:sz="8" w:color="231F20"/>
              <w:right w:val="single" w:sz="8" w:color="231F20"/>
            </w:tcBorders>
          </w:tcPr>
          <w:p>
            <w:pPr>
              <w:jc w:val="right"/>
              <w:ind w:right="125"/>
              <w:spacing w:after="0" w:line="170" w:lineRule="exact"/>
              <w:rPr>
                <w:sz w:val="20"/>
                <w:szCs w:val="20"/>
                <w:color w:val="auto"/>
              </w:rPr>
            </w:pPr>
            <w:r>
              <w:rPr>
                <w:rFonts w:ascii="Arial" w:cs="Arial" w:eastAsia="Arial" w:hAnsi="Arial"/>
                <w:sz w:val="19"/>
                <w:szCs w:val="19"/>
                <w:color w:val="231F20"/>
              </w:rPr>
              <w:t>4,626.2</w:t>
            </w:r>
          </w:p>
        </w:tc>
        <w:tc>
          <w:tcPr>
            <w:tcW w:w="380" w:type="dxa"/>
            <w:vAlign w:val="bottom"/>
            <w:tcBorders>
              <w:bottom w:val="single" w:sz="8" w:color="231F20"/>
            </w:tcBorders>
          </w:tcPr>
          <w:p>
            <w:pPr>
              <w:jc w:val="right"/>
              <w:ind w:right="6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bottom w:val="single" w:sz="8" w:color="231F20"/>
              <w:right w:val="single" w:sz="8" w:color="231F20"/>
            </w:tcBorders>
          </w:tcPr>
          <w:p>
            <w:pPr>
              <w:jc w:val="right"/>
              <w:ind w:right="125"/>
              <w:spacing w:after="0" w:line="170" w:lineRule="exact"/>
              <w:rPr>
                <w:sz w:val="20"/>
                <w:szCs w:val="20"/>
                <w:color w:val="auto"/>
              </w:rPr>
            </w:pPr>
            <w:r>
              <w:rPr>
                <w:rFonts w:ascii="Arial" w:cs="Arial" w:eastAsia="Arial" w:hAnsi="Arial"/>
                <w:sz w:val="19"/>
                <w:szCs w:val="19"/>
                <w:color w:val="231F20"/>
              </w:rPr>
              <w:t>4,723.0</w:t>
            </w:r>
          </w:p>
        </w:tc>
        <w:tc>
          <w:tcPr>
            <w:tcW w:w="360" w:type="dxa"/>
            <w:vAlign w:val="bottom"/>
            <w:tcBorders>
              <w:bottom w:val="single" w:sz="8" w:color="231F20"/>
            </w:tcBorders>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920" w:type="dxa"/>
            <w:vAlign w:val="bottom"/>
            <w:tcBorders>
              <w:bottom w:val="single" w:sz="8" w:color="231F20"/>
            </w:tcBorders>
          </w:tcPr>
          <w:p>
            <w:pPr>
              <w:jc w:val="right"/>
              <w:ind w:right="5"/>
              <w:spacing w:after="0" w:line="170" w:lineRule="exact"/>
              <w:rPr>
                <w:sz w:val="20"/>
                <w:szCs w:val="20"/>
                <w:color w:val="auto"/>
              </w:rPr>
            </w:pPr>
            <w:r>
              <w:rPr>
                <w:rFonts w:ascii="Arial" w:cs="Arial" w:eastAsia="Arial" w:hAnsi="Arial"/>
                <w:sz w:val="19"/>
                <w:szCs w:val="19"/>
                <w:color w:val="231F20"/>
              </w:rPr>
              <w:t>4,801.1</w:t>
            </w:r>
          </w:p>
        </w:tc>
      </w:tr>
    </w:tbl>
    <w:p>
      <w:pPr>
        <w:spacing w:after="0" w:line="200" w:lineRule="exact"/>
        <w:rPr>
          <w:sz w:val="20"/>
          <w:szCs w:val="20"/>
          <w:color w:val="auto"/>
        </w:rPr>
      </w:pPr>
    </w:p>
    <w:p>
      <w:pPr>
        <w:sectPr>
          <w:pgSz w:w="12240" w:h="15840" w:orient="portrait"/>
          <w:cols w:equalWidth="0" w:num="1">
            <w:col w:w="9460"/>
          </w:cols>
          <w:pgMar w:left="1380" w:top="1327"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86</w:t>
      </w:r>
    </w:p>
    <w:p>
      <w:pPr>
        <w:sectPr>
          <w:pgSz w:w="12240" w:h="15840" w:orient="portrait"/>
          <w:cols w:equalWidth="0" w:num="1">
            <w:col w:w="9460"/>
          </w:cols>
          <w:pgMar w:left="1380" w:top="1327" w:right="1400" w:bottom="95" w:gutter="0" w:footer="0" w:header="0"/>
          <w:type w:val="continuous"/>
        </w:sectPr>
      </w:pPr>
    </w:p>
    <w:bookmarkStart w:id="94" w:name="page95"/>
    <w:bookmarkEnd w:id="94"/>
    <w:p>
      <w:pPr>
        <w:ind w:right="80"/>
        <w:spacing w:after="0" w:line="231" w:lineRule="auto"/>
        <w:rPr>
          <w:sz w:val="20"/>
          <w:szCs w:val="20"/>
          <w:color w:val="auto"/>
        </w:rPr>
      </w:pPr>
      <w:r>
        <w:rPr>
          <w:rFonts w:ascii="Arial" w:cs="Arial" w:eastAsia="Arial" w:hAnsi="Arial"/>
          <w:sz w:val="20"/>
          <w:szCs w:val="20"/>
          <w:color w:val="231F20"/>
        </w:rPr>
        <w:t>Net sales to two of the Company’s customers, The Home Depot, Inc. (“The Home Depot”) and Lowe’s Companies, Inc. (“Lowe’s”) each accounted for greater than 10% of the Company’s net sales in 2023, 2022 and 2021. All of our business segments sell to The Home Depot and Lowe’s. Net sales to The Home Depot were 10.2%, 11.7% and 11.2% of net sales in 2023, 2022 and 2021, respectively. Net sales to Lowe’s were 10.9%, 12.0% and 11.9% of net sales in 2023, 2022 and 2021, respectively.</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340" w:type="dxa"/>
            <w:vAlign w:val="bottom"/>
            <w:tcBorders>
              <w:top w:val="single" w:sz="8" w:color="231F20"/>
              <w:bottom w:val="single" w:sz="8" w:color="231F20"/>
              <w:right w:val="single" w:sz="8" w:color="231F20"/>
            </w:tcBorders>
          </w:tcPr>
          <w:p>
            <w:pPr>
              <w:spacing w:after="0" w:line="184" w:lineRule="exact"/>
              <w:rPr>
                <w:sz w:val="20"/>
                <w:szCs w:val="20"/>
                <w:color w:val="auto"/>
              </w:rPr>
            </w:pPr>
            <w:r>
              <w:rPr>
                <w:rFonts w:ascii="Arial" w:cs="Arial" w:eastAsia="Arial" w:hAnsi="Arial"/>
                <w:sz w:val="15"/>
                <w:szCs w:val="15"/>
                <w:i w:val="1"/>
                <w:iCs w:val="1"/>
                <w:color w:val="231F20"/>
              </w:rPr>
              <w:t xml:space="preserve">(In millions) </w:t>
            </w:r>
            <w:r>
              <w:rPr>
                <w:rFonts w:ascii="Times New Roman" w:cs="Times New Roman" w:eastAsia="Times New Roman" w:hAnsi="Times New Roman"/>
                <w:sz w:val="20"/>
                <w:szCs w:val="20"/>
                <w:color w:val="231F20"/>
              </w:rPr>
              <w:t>.........................................................................................</w:t>
            </w:r>
          </w:p>
        </w:tc>
        <w:tc>
          <w:tcPr>
            <w:tcW w:w="360" w:type="dxa"/>
            <w:vAlign w:val="bottom"/>
            <w:tcBorders>
              <w:top w:val="single" w:sz="8" w:color="231F20"/>
              <w:bottom w:val="single" w:sz="8" w:color="231F20"/>
            </w:tcBorders>
          </w:tcPr>
          <w:p>
            <w:pPr>
              <w:spacing w:after="0"/>
              <w:rPr>
                <w:sz w:val="16"/>
                <w:szCs w:val="16"/>
                <w:color w:val="auto"/>
              </w:rPr>
            </w:pPr>
          </w:p>
        </w:tc>
        <w:tc>
          <w:tcPr>
            <w:tcW w:w="1040" w:type="dxa"/>
            <w:vAlign w:val="bottom"/>
            <w:tcBorders>
              <w:top w:val="single" w:sz="8" w:color="231F20"/>
              <w:bottom w:val="single" w:sz="8" w:color="231F20"/>
              <w:right w:val="single" w:sz="8" w:color="231F20"/>
            </w:tcBorders>
          </w:tcPr>
          <w:p>
            <w:pPr>
              <w:jc w:val="right"/>
              <w:ind w:right="121"/>
              <w:spacing w:after="0"/>
              <w:rPr>
                <w:sz w:val="20"/>
                <w:szCs w:val="20"/>
                <w:color w:val="auto"/>
              </w:rPr>
            </w:pPr>
            <w:r>
              <w:rPr>
                <w:rFonts w:ascii="Arial" w:cs="Arial" w:eastAsia="Arial" w:hAnsi="Arial"/>
                <w:sz w:val="15"/>
                <w:szCs w:val="15"/>
                <w:i w:val="1"/>
                <w:iCs w:val="1"/>
                <w:color w:val="231F20"/>
              </w:rPr>
              <w:t>2023</w:t>
            </w:r>
          </w:p>
        </w:tc>
        <w:tc>
          <w:tcPr>
            <w:tcW w:w="380" w:type="dxa"/>
            <w:vAlign w:val="bottom"/>
            <w:tcBorders>
              <w:top w:val="single" w:sz="8" w:color="231F20"/>
              <w:bottom w:val="single" w:sz="8" w:color="231F20"/>
            </w:tcBorders>
          </w:tcPr>
          <w:p>
            <w:pPr>
              <w:spacing w:after="0"/>
              <w:rPr>
                <w:sz w:val="16"/>
                <w:szCs w:val="16"/>
                <w:color w:val="auto"/>
              </w:rPr>
            </w:pPr>
          </w:p>
        </w:tc>
        <w:tc>
          <w:tcPr>
            <w:tcW w:w="1040" w:type="dxa"/>
            <w:vAlign w:val="bottom"/>
            <w:tcBorders>
              <w:top w:val="single" w:sz="8" w:color="231F20"/>
              <w:bottom w:val="single" w:sz="8" w:color="231F20"/>
              <w:right w:val="single" w:sz="8" w:color="231F20"/>
            </w:tcBorders>
          </w:tcPr>
          <w:p>
            <w:pPr>
              <w:jc w:val="right"/>
              <w:ind w:right="121"/>
              <w:spacing w:after="0"/>
              <w:rPr>
                <w:sz w:val="20"/>
                <w:szCs w:val="20"/>
                <w:color w:val="auto"/>
              </w:rPr>
            </w:pPr>
            <w:r>
              <w:rPr>
                <w:rFonts w:ascii="Arial" w:cs="Arial" w:eastAsia="Arial" w:hAnsi="Arial"/>
                <w:sz w:val="15"/>
                <w:szCs w:val="15"/>
                <w:color w:val="231F20"/>
              </w:rPr>
              <w:t>2022</w:t>
            </w:r>
          </w:p>
        </w:tc>
        <w:tc>
          <w:tcPr>
            <w:tcW w:w="360" w:type="dxa"/>
            <w:vAlign w:val="bottom"/>
            <w:tcBorders>
              <w:top w:val="single" w:sz="8" w:color="231F20"/>
              <w:bottom w:val="single" w:sz="8" w:color="231F20"/>
            </w:tcBorders>
          </w:tcPr>
          <w:p>
            <w:pPr>
              <w:spacing w:after="0"/>
              <w:rPr>
                <w:sz w:val="16"/>
                <w:szCs w:val="16"/>
                <w:color w:val="auto"/>
              </w:rPr>
            </w:pPr>
          </w:p>
        </w:tc>
        <w:tc>
          <w:tcPr>
            <w:tcW w:w="920" w:type="dxa"/>
            <w:vAlign w:val="bottom"/>
            <w:tcBorders>
              <w:top w:val="single" w:sz="8" w:color="231F20"/>
              <w:bottom w:val="single" w:sz="8" w:color="231F20"/>
            </w:tcBorders>
          </w:tcPr>
          <w:p>
            <w:pPr>
              <w:jc w:val="right"/>
              <w:ind w:right="1"/>
              <w:spacing w:after="0"/>
              <w:rPr>
                <w:sz w:val="20"/>
                <w:szCs w:val="20"/>
                <w:color w:val="auto"/>
              </w:rPr>
            </w:pPr>
            <w:r>
              <w:rPr>
                <w:rFonts w:ascii="Arial" w:cs="Arial" w:eastAsia="Arial" w:hAnsi="Arial"/>
                <w:sz w:val="15"/>
                <w:szCs w:val="15"/>
                <w:color w:val="231F20"/>
              </w:rPr>
              <w:t>2021</w:t>
            </w:r>
          </w:p>
        </w:tc>
      </w:tr>
      <w:tr>
        <w:trPr>
          <w:trHeight w:val="180"/>
        </w:trPr>
        <w:tc>
          <w:tcPr>
            <w:tcW w:w="5340" w:type="dxa"/>
            <w:vAlign w:val="bottom"/>
            <w:tcBorders>
              <w:right w:val="single" w:sz="8" w:color="231F20"/>
            </w:tcBorders>
          </w:tcPr>
          <w:p>
            <w:pPr>
              <w:spacing w:after="0" w:line="170" w:lineRule="exact"/>
              <w:rPr>
                <w:sz w:val="20"/>
                <w:szCs w:val="20"/>
                <w:color w:val="auto"/>
              </w:rPr>
            </w:pPr>
            <w:r>
              <w:rPr>
                <w:rFonts w:ascii="Arial" w:cs="Arial" w:eastAsia="Arial" w:hAnsi="Arial"/>
                <w:sz w:val="19"/>
                <w:szCs w:val="19"/>
                <w:b w:val="1"/>
                <w:bCs w:val="1"/>
                <w:color w:val="231F20"/>
              </w:rPr>
              <w:t>Operating income:</w:t>
            </w:r>
          </w:p>
        </w:tc>
        <w:tc>
          <w:tcPr>
            <w:tcW w:w="360" w:type="dxa"/>
            <w:vAlign w:val="bottom"/>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5"/>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Water </w:t>
            </w:r>
            <w:r>
              <w:rPr>
                <w:rFonts w:ascii="Times New Roman" w:cs="Times New Roman" w:eastAsia="Times New Roman" w:hAnsi="Times New Roman"/>
                <w:sz w:val="20"/>
                <w:szCs w:val="20"/>
                <w:color w:val="231F20"/>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574.3</w:t>
            </w:r>
          </w:p>
        </w:tc>
        <w:tc>
          <w:tcPr>
            <w:tcW w:w="380" w:type="dxa"/>
            <w:vAlign w:val="bottom"/>
          </w:tcPr>
          <w:p>
            <w:pPr>
              <w:jc w:val="right"/>
              <w:ind w:right="6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614.6</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629.7</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Outdoors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133.5</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194.2</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205.3</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Security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62.4</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95.4</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86.6</w:t>
            </w:r>
          </w:p>
        </w:tc>
      </w:tr>
      <w:tr>
        <w:trPr>
          <w:trHeight w:val="253"/>
        </w:trPr>
        <w:tc>
          <w:tcPr>
            <w:tcW w:w="534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rPr>
              <w:t>Corporate</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61"/>
              <w:spacing w:after="0" w:line="190" w:lineRule="exact"/>
              <w:rPr>
                <w:sz w:val="20"/>
                <w:szCs w:val="20"/>
                <w:color w:val="auto"/>
              </w:rPr>
            </w:pPr>
            <w:r>
              <w:rPr>
                <w:rFonts w:ascii="Arial" w:cs="Arial" w:eastAsia="Arial" w:hAnsi="Arial"/>
                <w:sz w:val="20"/>
                <w:szCs w:val="20"/>
                <w:color w:val="231F20"/>
              </w:rPr>
              <w:t>(155.3)</w:t>
            </w:r>
          </w:p>
        </w:tc>
        <w:tc>
          <w:tcPr>
            <w:tcW w:w="3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61"/>
              <w:spacing w:after="0" w:line="190" w:lineRule="exact"/>
              <w:rPr>
                <w:sz w:val="20"/>
                <w:szCs w:val="20"/>
                <w:color w:val="auto"/>
              </w:rPr>
            </w:pPr>
            <w:r>
              <w:rPr>
                <w:rFonts w:ascii="Arial" w:cs="Arial" w:eastAsia="Arial" w:hAnsi="Arial"/>
                <w:sz w:val="20"/>
                <w:szCs w:val="20"/>
                <w:color w:val="231F20"/>
              </w:rPr>
              <w:t>(129.9)</w:t>
            </w: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spacing w:after="0" w:line="190" w:lineRule="exact"/>
              <w:rPr>
                <w:sz w:val="20"/>
                <w:szCs w:val="20"/>
                <w:color w:val="auto"/>
              </w:rPr>
            </w:pPr>
            <w:r>
              <w:rPr>
                <w:rFonts w:ascii="Arial" w:cs="Arial" w:eastAsia="Arial" w:hAnsi="Arial"/>
                <w:sz w:val="20"/>
                <w:szCs w:val="20"/>
                <w:color w:val="231F20"/>
              </w:rPr>
              <w:t>(110.5)</w:t>
            </w:r>
          </w:p>
        </w:tc>
      </w:tr>
      <w:tr>
        <w:trPr>
          <w:trHeight w:val="223"/>
        </w:trPr>
        <w:tc>
          <w:tcPr>
            <w:tcW w:w="5340" w:type="dxa"/>
            <w:vAlign w:val="bottom"/>
            <w:tcBorders>
              <w:bottom w:val="single" w:sz="8" w:color="231F20"/>
              <w:right w:val="single" w:sz="8" w:color="231F20"/>
            </w:tcBorders>
          </w:tcPr>
          <w:p>
            <w:pPr>
              <w:ind w:left="280"/>
              <w:spacing w:after="0" w:line="170" w:lineRule="exact"/>
              <w:rPr>
                <w:sz w:val="20"/>
                <w:szCs w:val="20"/>
                <w:color w:val="auto"/>
              </w:rPr>
            </w:pPr>
            <w:r>
              <w:rPr>
                <w:rFonts w:ascii="Arial" w:cs="Arial" w:eastAsia="Arial" w:hAnsi="Arial"/>
                <w:sz w:val="19"/>
                <w:szCs w:val="19"/>
                <w:color w:val="231F20"/>
              </w:rPr>
              <w:t xml:space="preserve">Total operating income </w:t>
            </w:r>
            <w:r>
              <w:rPr>
                <w:rFonts w:ascii="Times New Roman" w:cs="Times New Roman" w:eastAsia="Times New Roman" w:hAnsi="Times New Roman"/>
                <w:sz w:val="19"/>
                <w:szCs w:val="19"/>
                <w:color w:val="231F20"/>
              </w:rPr>
              <w:t>..........................................................</w:t>
            </w:r>
          </w:p>
        </w:tc>
        <w:tc>
          <w:tcPr>
            <w:tcW w:w="360" w:type="dxa"/>
            <w:vAlign w:val="bottom"/>
            <w:tcBorders>
              <w:bottom w:val="single" w:sz="8" w:color="231F20"/>
            </w:tcBorders>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bottom w:val="single" w:sz="8" w:color="231F20"/>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614.9</w:t>
            </w:r>
          </w:p>
        </w:tc>
        <w:tc>
          <w:tcPr>
            <w:tcW w:w="380" w:type="dxa"/>
            <w:vAlign w:val="bottom"/>
            <w:tcBorders>
              <w:bottom w:val="single" w:sz="8" w:color="231F20"/>
            </w:tcBorders>
          </w:tcPr>
          <w:p>
            <w:pPr>
              <w:jc w:val="right"/>
              <w:ind w:right="6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bottom w:val="single" w:sz="8" w:color="231F20"/>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774.3</w:t>
            </w:r>
          </w:p>
        </w:tc>
        <w:tc>
          <w:tcPr>
            <w:tcW w:w="360" w:type="dxa"/>
            <w:vAlign w:val="bottom"/>
            <w:tcBorders>
              <w:bottom w:val="single" w:sz="8" w:color="231F20"/>
            </w:tcBorders>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920" w:type="dxa"/>
            <w:vAlign w:val="bottom"/>
            <w:tcBorders>
              <w:bottom w:val="single" w:sz="8" w:color="231F20"/>
            </w:tcBorders>
          </w:tcPr>
          <w:p>
            <w:pPr>
              <w:jc w:val="right"/>
              <w:ind w:right="1"/>
              <w:spacing w:after="0" w:line="170" w:lineRule="exact"/>
              <w:rPr>
                <w:sz w:val="20"/>
                <w:szCs w:val="20"/>
                <w:color w:val="auto"/>
              </w:rPr>
            </w:pPr>
            <w:r>
              <w:rPr>
                <w:rFonts w:ascii="Arial" w:cs="Arial" w:eastAsia="Arial" w:hAnsi="Arial"/>
                <w:sz w:val="19"/>
                <w:szCs w:val="19"/>
                <w:color w:val="231F20"/>
              </w:rPr>
              <w:t>811.1</w:t>
            </w:r>
          </w:p>
        </w:tc>
      </w:tr>
      <w:tr>
        <w:trPr>
          <w:trHeight w:val="199"/>
        </w:trPr>
        <w:tc>
          <w:tcPr>
            <w:tcW w:w="5340" w:type="dxa"/>
            <w:vAlign w:val="bottom"/>
            <w:tcBorders>
              <w:bottom w:val="single" w:sz="8" w:color="231F20"/>
            </w:tcBorders>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r>
      <w:tr>
        <w:trPr>
          <w:trHeight w:val="165"/>
        </w:trPr>
        <w:tc>
          <w:tcPr>
            <w:tcW w:w="5340" w:type="dxa"/>
            <w:vAlign w:val="bottom"/>
            <w:tcBorders>
              <w:bottom w:val="single" w:sz="8" w:color="231F20"/>
              <w:right w:val="single" w:sz="8" w:color="231F20"/>
            </w:tcBorders>
          </w:tcPr>
          <w:p>
            <w:pPr>
              <w:spacing w:after="0" w:line="122" w:lineRule="exact"/>
              <w:rPr>
                <w:sz w:val="20"/>
                <w:szCs w:val="20"/>
                <w:color w:val="auto"/>
              </w:rPr>
            </w:pPr>
            <w:r>
              <w:rPr>
                <w:rFonts w:ascii="Arial" w:cs="Arial" w:eastAsia="Arial" w:hAnsi="Arial"/>
                <w:sz w:val="11"/>
                <w:szCs w:val="11"/>
                <w:i w:val="1"/>
                <w:iCs w:val="1"/>
                <w:color w:val="231F20"/>
              </w:rPr>
              <w:t xml:space="preserve">(In millions) </w:t>
            </w:r>
            <w:r>
              <w:rPr>
                <w:rFonts w:ascii="Times New Roman" w:cs="Times New Roman" w:eastAsia="Times New Roman" w:hAnsi="Times New Roman"/>
                <w:sz w:val="14"/>
                <w:szCs w:val="14"/>
                <w:color w:val="231F20"/>
              </w:rPr>
              <w:t>.........................................................................................</w:t>
            </w:r>
          </w:p>
        </w:tc>
        <w:tc>
          <w:tcPr>
            <w:tcW w:w="360" w:type="dxa"/>
            <w:vAlign w:val="bottom"/>
            <w:tcBorders>
              <w:bottom w:val="single" w:sz="8" w:color="231F20"/>
            </w:tcBorders>
          </w:tcPr>
          <w:p>
            <w:pPr>
              <w:spacing w:after="0"/>
              <w:rPr>
                <w:sz w:val="14"/>
                <w:szCs w:val="14"/>
                <w:color w:val="auto"/>
              </w:rPr>
            </w:pPr>
          </w:p>
        </w:tc>
        <w:tc>
          <w:tcPr>
            <w:tcW w:w="1040" w:type="dxa"/>
            <w:vAlign w:val="bottom"/>
            <w:tcBorders>
              <w:bottom w:val="single" w:sz="8" w:color="231F20"/>
              <w:right w:val="single" w:sz="8" w:color="231F20"/>
            </w:tcBorders>
          </w:tcPr>
          <w:p>
            <w:pPr>
              <w:jc w:val="right"/>
              <w:ind w:right="121"/>
              <w:spacing w:after="0" w:line="123" w:lineRule="exact"/>
              <w:rPr>
                <w:sz w:val="20"/>
                <w:szCs w:val="20"/>
                <w:color w:val="auto"/>
              </w:rPr>
            </w:pPr>
            <w:r>
              <w:rPr>
                <w:rFonts w:ascii="Arial" w:cs="Arial" w:eastAsia="Arial" w:hAnsi="Arial"/>
                <w:sz w:val="14"/>
                <w:szCs w:val="14"/>
                <w:i w:val="1"/>
                <w:iCs w:val="1"/>
                <w:color w:val="231F20"/>
              </w:rPr>
              <w:t>2023</w:t>
            </w:r>
          </w:p>
        </w:tc>
        <w:tc>
          <w:tcPr>
            <w:tcW w:w="380" w:type="dxa"/>
            <w:vAlign w:val="bottom"/>
            <w:tcBorders>
              <w:bottom w:val="single" w:sz="8" w:color="231F20"/>
            </w:tcBorders>
          </w:tcPr>
          <w:p>
            <w:pPr>
              <w:spacing w:after="0"/>
              <w:rPr>
                <w:sz w:val="14"/>
                <w:szCs w:val="14"/>
                <w:color w:val="auto"/>
              </w:rPr>
            </w:pPr>
          </w:p>
        </w:tc>
        <w:tc>
          <w:tcPr>
            <w:tcW w:w="1040" w:type="dxa"/>
            <w:vAlign w:val="bottom"/>
            <w:tcBorders>
              <w:bottom w:val="single" w:sz="8" w:color="231F20"/>
              <w:right w:val="single" w:sz="8" w:color="231F20"/>
            </w:tcBorders>
          </w:tcPr>
          <w:p>
            <w:pPr>
              <w:jc w:val="right"/>
              <w:ind w:right="121"/>
              <w:spacing w:after="0" w:line="123" w:lineRule="exact"/>
              <w:rPr>
                <w:sz w:val="20"/>
                <w:szCs w:val="20"/>
                <w:color w:val="auto"/>
              </w:rPr>
            </w:pPr>
            <w:r>
              <w:rPr>
                <w:rFonts w:ascii="Arial" w:cs="Arial" w:eastAsia="Arial" w:hAnsi="Arial"/>
                <w:sz w:val="14"/>
                <w:szCs w:val="14"/>
                <w:color w:val="231F20"/>
              </w:rPr>
              <w:t>2022</w:t>
            </w:r>
          </w:p>
        </w:tc>
        <w:tc>
          <w:tcPr>
            <w:tcW w:w="360" w:type="dxa"/>
            <w:vAlign w:val="bottom"/>
            <w:tcBorders>
              <w:bottom w:val="single" w:sz="8" w:color="231F20"/>
            </w:tcBorders>
          </w:tcPr>
          <w:p>
            <w:pPr>
              <w:spacing w:after="0"/>
              <w:rPr>
                <w:sz w:val="14"/>
                <w:szCs w:val="14"/>
                <w:color w:val="auto"/>
              </w:rPr>
            </w:pPr>
          </w:p>
        </w:tc>
        <w:tc>
          <w:tcPr>
            <w:tcW w:w="920" w:type="dxa"/>
            <w:vAlign w:val="bottom"/>
            <w:tcBorders>
              <w:bottom w:val="single" w:sz="8" w:color="231F20"/>
            </w:tcBorders>
          </w:tcPr>
          <w:p>
            <w:pPr>
              <w:jc w:val="right"/>
              <w:ind w:right="1"/>
              <w:spacing w:after="0" w:line="123" w:lineRule="exact"/>
              <w:rPr>
                <w:sz w:val="20"/>
                <w:szCs w:val="20"/>
                <w:color w:val="auto"/>
              </w:rPr>
            </w:pPr>
            <w:r>
              <w:rPr>
                <w:rFonts w:ascii="Arial" w:cs="Arial" w:eastAsia="Arial" w:hAnsi="Arial"/>
                <w:sz w:val="14"/>
                <w:szCs w:val="14"/>
                <w:color w:val="231F20"/>
              </w:rPr>
              <w:t>2021</w:t>
            </w:r>
          </w:p>
        </w:tc>
      </w:tr>
      <w:tr>
        <w:trPr>
          <w:trHeight w:val="180"/>
        </w:trPr>
        <w:tc>
          <w:tcPr>
            <w:tcW w:w="5340" w:type="dxa"/>
            <w:vAlign w:val="bottom"/>
            <w:tcBorders>
              <w:right w:val="single" w:sz="8" w:color="231F20"/>
            </w:tcBorders>
          </w:tcPr>
          <w:p>
            <w:pPr>
              <w:spacing w:after="0" w:line="170" w:lineRule="exact"/>
              <w:rPr>
                <w:sz w:val="20"/>
                <w:szCs w:val="20"/>
                <w:color w:val="auto"/>
              </w:rPr>
            </w:pPr>
            <w:r>
              <w:rPr>
                <w:rFonts w:ascii="Arial" w:cs="Arial" w:eastAsia="Arial" w:hAnsi="Arial"/>
                <w:sz w:val="19"/>
                <w:szCs w:val="19"/>
                <w:b w:val="1"/>
                <w:bCs w:val="1"/>
                <w:color w:val="231F20"/>
              </w:rPr>
              <w:t>Total assets:</w:t>
            </w:r>
          </w:p>
        </w:tc>
        <w:tc>
          <w:tcPr>
            <w:tcW w:w="360" w:type="dxa"/>
            <w:vAlign w:val="bottom"/>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5"/>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Water </w:t>
            </w:r>
            <w:r>
              <w:rPr>
                <w:rFonts w:ascii="Times New Roman" w:cs="Times New Roman" w:eastAsia="Times New Roman" w:hAnsi="Times New Roman"/>
                <w:sz w:val="20"/>
                <w:szCs w:val="20"/>
                <w:color w:val="231F20"/>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3,492.2</w:t>
            </w:r>
          </w:p>
        </w:tc>
        <w:tc>
          <w:tcPr>
            <w:tcW w:w="380" w:type="dxa"/>
            <w:vAlign w:val="bottom"/>
          </w:tcPr>
          <w:p>
            <w:pPr>
              <w:jc w:val="right"/>
              <w:ind w:right="6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2,674.4</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2,614.7</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Outdoors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2,205.3</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2,214.6</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2,042.3</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Security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721.0</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605.4</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577.1</w:t>
            </w:r>
          </w:p>
        </w:tc>
      </w:tr>
      <w:tr>
        <w:trPr>
          <w:trHeight w:val="253"/>
        </w:trPr>
        <w:tc>
          <w:tcPr>
            <w:tcW w:w="534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rPr>
              <w:t>Corporate</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146.5</w:t>
            </w:r>
          </w:p>
        </w:tc>
        <w:tc>
          <w:tcPr>
            <w:tcW w:w="3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626.5</w:t>
            </w: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1"/>
              <w:spacing w:after="0" w:line="190" w:lineRule="exact"/>
              <w:rPr>
                <w:sz w:val="20"/>
                <w:szCs w:val="20"/>
                <w:color w:val="auto"/>
              </w:rPr>
            </w:pPr>
            <w:r>
              <w:rPr>
                <w:rFonts w:ascii="Arial" w:cs="Arial" w:eastAsia="Arial" w:hAnsi="Arial"/>
                <w:sz w:val="20"/>
                <w:szCs w:val="20"/>
                <w:color w:val="231F20"/>
              </w:rPr>
              <w:t>212.4</w:t>
            </w:r>
          </w:p>
        </w:tc>
      </w:tr>
      <w:tr>
        <w:trPr>
          <w:trHeight w:val="180"/>
        </w:trPr>
        <w:tc>
          <w:tcPr>
            <w:tcW w:w="5340" w:type="dxa"/>
            <w:vAlign w:val="bottom"/>
            <w:tcBorders>
              <w:right w:val="single" w:sz="8" w:color="231F20"/>
            </w:tcBorders>
          </w:tcPr>
          <w:p>
            <w:pPr>
              <w:ind w:left="280"/>
              <w:spacing w:after="0" w:line="170" w:lineRule="exact"/>
              <w:rPr>
                <w:sz w:val="20"/>
                <w:szCs w:val="20"/>
                <w:color w:val="auto"/>
              </w:rPr>
            </w:pPr>
            <w:r>
              <w:rPr>
                <w:rFonts w:ascii="Arial" w:cs="Arial" w:eastAsia="Arial" w:hAnsi="Arial"/>
                <w:sz w:val="19"/>
                <w:szCs w:val="19"/>
                <w:color w:val="231F20"/>
              </w:rPr>
              <w:t>Total assets</w:t>
            </w:r>
            <w:r>
              <w:rPr>
                <w:rFonts w:ascii="Times New Roman" w:cs="Times New Roman" w:eastAsia="Times New Roman" w:hAnsi="Times New Roman"/>
                <w:sz w:val="19"/>
                <w:szCs w:val="19"/>
                <w:color w:val="231F20"/>
              </w:rPr>
              <w:t>..............................................................................</w:t>
            </w:r>
          </w:p>
        </w:tc>
        <w:tc>
          <w:tcPr>
            <w:tcW w:w="360" w:type="dxa"/>
            <w:vAlign w:val="bottom"/>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6,565.0</w:t>
            </w:r>
          </w:p>
        </w:tc>
        <w:tc>
          <w:tcPr>
            <w:tcW w:w="380" w:type="dxa"/>
            <w:vAlign w:val="bottom"/>
          </w:tcPr>
          <w:p>
            <w:pPr>
              <w:jc w:val="right"/>
              <w:ind w:right="6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6,120.9</w:t>
            </w:r>
          </w:p>
        </w:tc>
        <w:tc>
          <w:tcPr>
            <w:tcW w:w="360" w:type="dxa"/>
            <w:vAlign w:val="bottom"/>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920" w:type="dxa"/>
            <w:vAlign w:val="bottom"/>
          </w:tcPr>
          <w:p>
            <w:pPr>
              <w:jc w:val="right"/>
              <w:ind w:right="1"/>
              <w:spacing w:after="0" w:line="170" w:lineRule="exact"/>
              <w:rPr>
                <w:sz w:val="20"/>
                <w:szCs w:val="20"/>
                <w:color w:val="auto"/>
              </w:rPr>
            </w:pPr>
            <w:r>
              <w:rPr>
                <w:rFonts w:ascii="Arial" w:cs="Arial" w:eastAsia="Arial" w:hAnsi="Arial"/>
                <w:sz w:val="19"/>
                <w:szCs w:val="19"/>
                <w:color w:val="231F20"/>
              </w:rPr>
              <w:t>5,446.5</w:t>
            </w:r>
          </w:p>
        </w:tc>
      </w:tr>
      <w:tr>
        <w:trPr>
          <w:trHeight w:val="233"/>
        </w:trPr>
        <w:tc>
          <w:tcPr>
            <w:tcW w:w="5340" w:type="dxa"/>
            <w:vAlign w:val="bottom"/>
            <w:tcBorders>
              <w:right w:val="single" w:sz="8" w:color="231F20"/>
            </w:tcBorders>
          </w:tcPr>
          <w:p>
            <w:pPr>
              <w:spacing w:after="0" w:line="212" w:lineRule="exact"/>
              <w:rPr>
                <w:sz w:val="20"/>
                <w:szCs w:val="20"/>
                <w:color w:val="auto"/>
              </w:rPr>
            </w:pPr>
            <w:r>
              <w:rPr>
                <w:rFonts w:ascii="Arial" w:cs="Arial" w:eastAsia="Arial" w:hAnsi="Arial"/>
                <w:sz w:val="20"/>
                <w:szCs w:val="20"/>
                <w:b w:val="1"/>
                <w:bCs w:val="1"/>
                <w:color w:val="231F20"/>
              </w:rPr>
              <w:t>Depreciation expense:</w:t>
            </w:r>
          </w:p>
        </w:tc>
        <w:tc>
          <w:tcPr>
            <w:tcW w:w="360" w:type="dxa"/>
            <w:vAlign w:val="bottom"/>
          </w:tcPr>
          <w:p>
            <w:pPr>
              <w:spacing w:after="0"/>
              <w:rPr>
                <w:sz w:val="20"/>
                <w:szCs w:val="20"/>
                <w:color w:val="auto"/>
              </w:rPr>
            </w:pPr>
          </w:p>
        </w:tc>
        <w:tc>
          <w:tcPr>
            <w:tcW w:w="1040" w:type="dxa"/>
            <w:vAlign w:val="bottom"/>
            <w:tcBorders>
              <w:right w:val="single" w:sz="8" w:color="231F20"/>
            </w:tcBorders>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5"/>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Water </w:t>
            </w:r>
            <w:r>
              <w:rPr>
                <w:rFonts w:ascii="Times New Roman" w:cs="Times New Roman" w:eastAsia="Times New Roman" w:hAnsi="Times New Roman"/>
                <w:sz w:val="20"/>
                <w:szCs w:val="20"/>
                <w:color w:val="231F20"/>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40.4</w:t>
            </w:r>
          </w:p>
        </w:tc>
        <w:tc>
          <w:tcPr>
            <w:tcW w:w="380" w:type="dxa"/>
            <w:vAlign w:val="bottom"/>
          </w:tcPr>
          <w:p>
            <w:pPr>
              <w:jc w:val="right"/>
              <w:ind w:right="6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34.9</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37.1</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Outdoors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34.5</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32.3</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26.1</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Security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29.8</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13.2</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14.6</w:t>
            </w:r>
          </w:p>
        </w:tc>
      </w:tr>
      <w:tr>
        <w:trPr>
          <w:trHeight w:val="253"/>
        </w:trPr>
        <w:tc>
          <w:tcPr>
            <w:tcW w:w="534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rPr>
              <w:t>Corporate</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2.0</w:t>
            </w:r>
          </w:p>
        </w:tc>
        <w:tc>
          <w:tcPr>
            <w:tcW w:w="3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2.5</w:t>
            </w: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1"/>
              <w:spacing w:after="0" w:line="190" w:lineRule="exact"/>
              <w:rPr>
                <w:sz w:val="20"/>
                <w:szCs w:val="20"/>
                <w:color w:val="auto"/>
              </w:rPr>
            </w:pPr>
            <w:r>
              <w:rPr>
                <w:rFonts w:ascii="Arial" w:cs="Arial" w:eastAsia="Arial" w:hAnsi="Arial"/>
                <w:sz w:val="20"/>
                <w:szCs w:val="20"/>
                <w:color w:val="231F20"/>
              </w:rPr>
              <w:t>2.8</w:t>
            </w:r>
          </w:p>
        </w:tc>
      </w:tr>
      <w:tr>
        <w:trPr>
          <w:trHeight w:val="180"/>
        </w:trPr>
        <w:tc>
          <w:tcPr>
            <w:tcW w:w="5340" w:type="dxa"/>
            <w:vAlign w:val="bottom"/>
            <w:tcBorders>
              <w:right w:val="single" w:sz="8" w:color="231F20"/>
            </w:tcBorders>
          </w:tcPr>
          <w:p>
            <w:pPr>
              <w:ind w:left="280"/>
              <w:spacing w:after="0" w:line="170" w:lineRule="exact"/>
              <w:rPr>
                <w:sz w:val="20"/>
                <w:szCs w:val="20"/>
                <w:color w:val="auto"/>
              </w:rPr>
            </w:pPr>
            <w:r>
              <w:rPr>
                <w:rFonts w:ascii="Arial" w:cs="Arial" w:eastAsia="Arial" w:hAnsi="Arial"/>
                <w:sz w:val="19"/>
                <w:szCs w:val="19"/>
                <w:color w:val="231F20"/>
              </w:rPr>
              <w:t xml:space="preserve">Depreciation expense </w:t>
            </w:r>
            <w:r>
              <w:rPr>
                <w:rFonts w:ascii="Times New Roman" w:cs="Times New Roman" w:eastAsia="Times New Roman" w:hAnsi="Times New Roman"/>
                <w:sz w:val="19"/>
                <w:szCs w:val="19"/>
                <w:color w:val="231F20"/>
              </w:rPr>
              <w:t>............................................................</w:t>
            </w:r>
          </w:p>
        </w:tc>
        <w:tc>
          <w:tcPr>
            <w:tcW w:w="360" w:type="dxa"/>
            <w:vAlign w:val="bottom"/>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106.7</w:t>
            </w:r>
          </w:p>
        </w:tc>
        <w:tc>
          <w:tcPr>
            <w:tcW w:w="380" w:type="dxa"/>
            <w:vAlign w:val="bottom"/>
          </w:tcPr>
          <w:p>
            <w:pPr>
              <w:jc w:val="right"/>
              <w:ind w:right="6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82.9</w:t>
            </w:r>
          </w:p>
        </w:tc>
        <w:tc>
          <w:tcPr>
            <w:tcW w:w="360" w:type="dxa"/>
            <w:vAlign w:val="bottom"/>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920" w:type="dxa"/>
            <w:vAlign w:val="bottom"/>
          </w:tcPr>
          <w:p>
            <w:pPr>
              <w:jc w:val="right"/>
              <w:ind w:right="1"/>
              <w:spacing w:after="0" w:line="170" w:lineRule="exact"/>
              <w:rPr>
                <w:sz w:val="20"/>
                <w:szCs w:val="20"/>
                <w:color w:val="auto"/>
              </w:rPr>
            </w:pPr>
            <w:r>
              <w:rPr>
                <w:rFonts w:ascii="Arial" w:cs="Arial" w:eastAsia="Arial" w:hAnsi="Arial"/>
                <w:sz w:val="19"/>
                <w:szCs w:val="19"/>
                <w:color w:val="231F20"/>
              </w:rPr>
              <w:t>80.6</w:t>
            </w:r>
          </w:p>
        </w:tc>
      </w:tr>
      <w:tr>
        <w:trPr>
          <w:trHeight w:val="233"/>
        </w:trPr>
        <w:tc>
          <w:tcPr>
            <w:tcW w:w="5340" w:type="dxa"/>
            <w:vAlign w:val="bottom"/>
            <w:tcBorders>
              <w:right w:val="single" w:sz="8" w:color="231F20"/>
            </w:tcBorders>
          </w:tcPr>
          <w:p>
            <w:pPr>
              <w:spacing w:after="0" w:line="212" w:lineRule="exact"/>
              <w:rPr>
                <w:sz w:val="20"/>
                <w:szCs w:val="20"/>
                <w:color w:val="auto"/>
              </w:rPr>
            </w:pPr>
            <w:r>
              <w:rPr>
                <w:rFonts w:ascii="Arial" w:cs="Arial" w:eastAsia="Arial" w:hAnsi="Arial"/>
                <w:sz w:val="20"/>
                <w:szCs w:val="20"/>
                <w:b w:val="1"/>
                <w:bCs w:val="1"/>
                <w:color w:val="231F20"/>
              </w:rPr>
              <w:t>Amortization of intangible assets:</w:t>
            </w:r>
          </w:p>
        </w:tc>
        <w:tc>
          <w:tcPr>
            <w:tcW w:w="360" w:type="dxa"/>
            <w:vAlign w:val="bottom"/>
          </w:tcPr>
          <w:p>
            <w:pPr>
              <w:spacing w:after="0"/>
              <w:rPr>
                <w:sz w:val="20"/>
                <w:szCs w:val="20"/>
                <w:color w:val="auto"/>
              </w:rPr>
            </w:pPr>
          </w:p>
        </w:tc>
        <w:tc>
          <w:tcPr>
            <w:tcW w:w="1040" w:type="dxa"/>
            <w:vAlign w:val="bottom"/>
            <w:tcBorders>
              <w:right w:val="single" w:sz="8" w:color="231F20"/>
            </w:tcBorders>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5"/>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Water </w:t>
            </w:r>
            <w:r>
              <w:rPr>
                <w:rFonts w:ascii="Times New Roman" w:cs="Times New Roman" w:eastAsia="Times New Roman" w:hAnsi="Times New Roman"/>
                <w:sz w:val="20"/>
                <w:szCs w:val="20"/>
                <w:color w:val="231F20"/>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28.9</w:t>
            </w:r>
          </w:p>
        </w:tc>
        <w:tc>
          <w:tcPr>
            <w:tcW w:w="380" w:type="dxa"/>
            <w:vAlign w:val="bottom"/>
          </w:tcPr>
          <w:p>
            <w:pPr>
              <w:jc w:val="right"/>
              <w:ind w:right="6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16.2</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14.9</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Outdoors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30.0</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30.2</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29.6</w:t>
            </w:r>
          </w:p>
        </w:tc>
      </w:tr>
      <w:tr>
        <w:trPr>
          <w:trHeight w:val="253"/>
        </w:trPr>
        <w:tc>
          <w:tcPr>
            <w:tcW w:w="534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rPr>
              <w:t xml:space="preserve">Security </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3.2</w:t>
            </w:r>
          </w:p>
        </w:tc>
        <w:tc>
          <w:tcPr>
            <w:tcW w:w="3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1.9</w:t>
            </w: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1"/>
              <w:spacing w:after="0" w:line="190" w:lineRule="exact"/>
              <w:rPr>
                <w:sz w:val="20"/>
                <w:szCs w:val="20"/>
                <w:color w:val="auto"/>
              </w:rPr>
            </w:pPr>
            <w:r>
              <w:rPr>
                <w:rFonts w:ascii="Arial" w:cs="Arial" w:eastAsia="Arial" w:hAnsi="Arial"/>
                <w:sz w:val="20"/>
                <w:szCs w:val="20"/>
                <w:color w:val="231F20"/>
              </w:rPr>
              <w:t>1.9</w:t>
            </w:r>
          </w:p>
        </w:tc>
      </w:tr>
      <w:tr>
        <w:trPr>
          <w:trHeight w:val="223"/>
        </w:trPr>
        <w:tc>
          <w:tcPr>
            <w:tcW w:w="5340" w:type="dxa"/>
            <w:vAlign w:val="bottom"/>
            <w:tcBorders>
              <w:bottom w:val="single" w:sz="8" w:color="231F20"/>
              <w:right w:val="single" w:sz="8" w:color="231F20"/>
            </w:tcBorders>
          </w:tcPr>
          <w:p>
            <w:pPr>
              <w:ind w:left="280"/>
              <w:spacing w:after="0" w:line="170" w:lineRule="exact"/>
              <w:rPr>
                <w:sz w:val="20"/>
                <w:szCs w:val="20"/>
                <w:color w:val="auto"/>
              </w:rPr>
            </w:pPr>
            <w:r>
              <w:rPr>
                <w:rFonts w:ascii="Arial" w:cs="Arial" w:eastAsia="Arial" w:hAnsi="Arial"/>
                <w:sz w:val="19"/>
                <w:szCs w:val="19"/>
                <w:color w:val="231F20"/>
              </w:rPr>
              <w:t xml:space="preserve">Amortization of intangible assets </w:t>
            </w:r>
            <w:r>
              <w:rPr>
                <w:rFonts w:ascii="Times New Roman" w:cs="Times New Roman" w:eastAsia="Times New Roman" w:hAnsi="Times New Roman"/>
                <w:sz w:val="19"/>
                <w:szCs w:val="19"/>
                <w:color w:val="231F20"/>
              </w:rPr>
              <w:t>.........................................</w:t>
            </w:r>
          </w:p>
        </w:tc>
        <w:tc>
          <w:tcPr>
            <w:tcW w:w="360" w:type="dxa"/>
            <w:vAlign w:val="bottom"/>
            <w:tcBorders>
              <w:bottom w:val="single" w:sz="8" w:color="231F20"/>
            </w:tcBorders>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bottom w:val="single" w:sz="8" w:color="231F20"/>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62.1</w:t>
            </w:r>
          </w:p>
        </w:tc>
        <w:tc>
          <w:tcPr>
            <w:tcW w:w="380" w:type="dxa"/>
            <w:vAlign w:val="bottom"/>
            <w:tcBorders>
              <w:bottom w:val="single" w:sz="8" w:color="231F20"/>
            </w:tcBorders>
          </w:tcPr>
          <w:p>
            <w:pPr>
              <w:jc w:val="right"/>
              <w:ind w:right="6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bottom w:val="single" w:sz="8" w:color="231F20"/>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48.3</w:t>
            </w:r>
          </w:p>
        </w:tc>
        <w:tc>
          <w:tcPr>
            <w:tcW w:w="360" w:type="dxa"/>
            <w:vAlign w:val="bottom"/>
            <w:tcBorders>
              <w:bottom w:val="single" w:sz="8" w:color="231F20"/>
            </w:tcBorders>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920" w:type="dxa"/>
            <w:vAlign w:val="bottom"/>
            <w:tcBorders>
              <w:bottom w:val="single" w:sz="8" w:color="231F20"/>
            </w:tcBorders>
          </w:tcPr>
          <w:p>
            <w:pPr>
              <w:jc w:val="right"/>
              <w:ind w:right="1"/>
              <w:spacing w:after="0" w:line="170" w:lineRule="exact"/>
              <w:rPr>
                <w:sz w:val="20"/>
                <w:szCs w:val="20"/>
                <w:color w:val="auto"/>
              </w:rPr>
            </w:pPr>
            <w:r>
              <w:rPr>
                <w:rFonts w:ascii="Arial" w:cs="Arial" w:eastAsia="Arial" w:hAnsi="Arial"/>
                <w:sz w:val="19"/>
                <w:szCs w:val="19"/>
                <w:color w:val="231F20"/>
              </w:rPr>
              <w:t>46.4</w:t>
            </w:r>
          </w:p>
        </w:tc>
      </w:tr>
      <w:tr>
        <w:trPr>
          <w:trHeight w:val="180"/>
        </w:trPr>
        <w:tc>
          <w:tcPr>
            <w:tcW w:w="5340" w:type="dxa"/>
            <w:vAlign w:val="bottom"/>
            <w:tcBorders>
              <w:right w:val="single" w:sz="8" w:color="231F20"/>
            </w:tcBorders>
          </w:tcPr>
          <w:p>
            <w:pPr>
              <w:spacing w:after="0" w:line="170" w:lineRule="exact"/>
              <w:rPr>
                <w:sz w:val="20"/>
                <w:szCs w:val="20"/>
                <w:color w:val="auto"/>
              </w:rPr>
            </w:pPr>
            <w:r>
              <w:rPr>
                <w:rFonts w:ascii="Arial" w:cs="Arial" w:eastAsia="Arial" w:hAnsi="Arial"/>
                <w:sz w:val="19"/>
                <w:szCs w:val="19"/>
                <w:b w:val="1"/>
                <w:bCs w:val="1"/>
                <w:color w:val="231F20"/>
              </w:rPr>
              <w:t>Capital expenditures:</w:t>
            </w:r>
          </w:p>
        </w:tc>
        <w:tc>
          <w:tcPr>
            <w:tcW w:w="360" w:type="dxa"/>
            <w:vAlign w:val="bottom"/>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55"/>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Water </w:t>
            </w:r>
            <w:r>
              <w:rPr>
                <w:rFonts w:ascii="Times New Roman" w:cs="Times New Roman" w:eastAsia="Times New Roman" w:hAnsi="Times New Roman"/>
                <w:sz w:val="20"/>
                <w:szCs w:val="20"/>
                <w:color w:val="231F20"/>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104.7</w:t>
            </w:r>
          </w:p>
        </w:tc>
        <w:tc>
          <w:tcPr>
            <w:tcW w:w="380" w:type="dxa"/>
            <w:vAlign w:val="bottom"/>
          </w:tcPr>
          <w:p>
            <w:pPr>
              <w:jc w:val="right"/>
              <w:ind w:right="6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52.1</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38.1</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Outdoors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140.0</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120.2</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112.3</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Security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10.4</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17.9</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11.9</w:t>
            </w:r>
          </w:p>
        </w:tc>
      </w:tr>
      <w:tr>
        <w:trPr>
          <w:trHeight w:val="253"/>
        </w:trPr>
        <w:tc>
          <w:tcPr>
            <w:tcW w:w="534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rPr>
              <w:t>Corporate</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1.4</w:t>
            </w:r>
          </w:p>
        </w:tc>
        <w:tc>
          <w:tcPr>
            <w:tcW w:w="3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1"/>
              <w:spacing w:after="0" w:line="190" w:lineRule="exact"/>
              <w:rPr>
                <w:sz w:val="20"/>
                <w:szCs w:val="20"/>
                <w:color w:val="auto"/>
              </w:rPr>
            </w:pPr>
            <w:r>
              <w:rPr>
                <w:rFonts w:ascii="Arial" w:cs="Arial" w:eastAsia="Arial" w:hAnsi="Arial"/>
                <w:sz w:val="20"/>
                <w:szCs w:val="20"/>
                <w:color w:val="231F20"/>
              </w:rPr>
              <w:t>0.3</w:t>
            </w:r>
          </w:p>
        </w:tc>
      </w:tr>
      <w:tr>
        <w:trPr>
          <w:trHeight w:val="202"/>
        </w:trPr>
        <w:tc>
          <w:tcPr>
            <w:tcW w:w="5340" w:type="dxa"/>
            <w:vAlign w:val="bottom"/>
            <w:tcBorders>
              <w:right w:val="single" w:sz="8" w:color="231F20"/>
            </w:tcBorders>
          </w:tcPr>
          <w:p>
            <w:pPr>
              <w:ind w:left="280"/>
              <w:spacing w:after="0" w:line="202" w:lineRule="exact"/>
              <w:rPr>
                <w:sz w:val="20"/>
                <w:szCs w:val="20"/>
                <w:color w:val="auto"/>
              </w:rPr>
            </w:pPr>
            <w:r>
              <w:rPr>
                <w:rFonts w:ascii="Arial" w:cs="Arial" w:eastAsia="Arial" w:hAnsi="Arial"/>
                <w:sz w:val="20"/>
                <w:szCs w:val="20"/>
                <w:color w:val="231F20"/>
              </w:rPr>
              <w:t>Capital expenditures, gross</w:t>
            </w:r>
            <w:r>
              <w:rPr>
                <w:rFonts w:ascii="Times New Roman" w:cs="Times New Roman" w:eastAsia="Times New Roman" w:hAnsi="Times New Roman"/>
                <w:sz w:val="20"/>
                <w:szCs w:val="20"/>
                <w:color w:val="231F20"/>
              </w:rPr>
              <w:t>...................................................</w:t>
            </w:r>
          </w:p>
        </w:tc>
        <w:tc>
          <w:tcPr>
            <w:tcW w:w="360" w:type="dxa"/>
            <w:vAlign w:val="bottom"/>
          </w:tcPr>
          <w:p>
            <w:pPr>
              <w:spacing w:after="0"/>
              <w:rPr>
                <w:sz w:val="17"/>
                <w:szCs w:val="17"/>
                <w:color w:val="auto"/>
              </w:rPr>
            </w:pPr>
          </w:p>
        </w:tc>
        <w:tc>
          <w:tcPr>
            <w:tcW w:w="1040" w:type="dxa"/>
            <w:vAlign w:val="bottom"/>
            <w:tcBorders>
              <w:right w:val="single" w:sz="8" w:color="231F20"/>
            </w:tcBorders>
          </w:tcPr>
          <w:p>
            <w:pPr>
              <w:jc w:val="right"/>
              <w:ind w:right="121"/>
              <w:spacing w:after="0" w:line="203" w:lineRule="exact"/>
              <w:rPr>
                <w:sz w:val="20"/>
                <w:szCs w:val="20"/>
                <w:color w:val="auto"/>
              </w:rPr>
            </w:pPr>
            <w:r>
              <w:rPr>
                <w:rFonts w:ascii="Arial" w:cs="Arial" w:eastAsia="Arial" w:hAnsi="Arial"/>
                <w:sz w:val="20"/>
                <w:szCs w:val="20"/>
                <w:color w:val="231F20"/>
              </w:rPr>
              <w:t>256.5</w:t>
            </w:r>
          </w:p>
        </w:tc>
        <w:tc>
          <w:tcPr>
            <w:tcW w:w="380" w:type="dxa"/>
            <w:vAlign w:val="bottom"/>
          </w:tcPr>
          <w:p>
            <w:pPr>
              <w:spacing w:after="0"/>
              <w:rPr>
                <w:sz w:val="17"/>
                <w:szCs w:val="17"/>
                <w:color w:val="auto"/>
              </w:rPr>
            </w:pPr>
          </w:p>
        </w:tc>
        <w:tc>
          <w:tcPr>
            <w:tcW w:w="1040" w:type="dxa"/>
            <w:vAlign w:val="bottom"/>
            <w:tcBorders>
              <w:right w:val="single" w:sz="8" w:color="231F20"/>
            </w:tcBorders>
          </w:tcPr>
          <w:p>
            <w:pPr>
              <w:jc w:val="right"/>
              <w:ind w:right="121"/>
              <w:spacing w:after="0" w:line="203" w:lineRule="exact"/>
              <w:rPr>
                <w:sz w:val="20"/>
                <w:szCs w:val="20"/>
                <w:color w:val="auto"/>
              </w:rPr>
            </w:pPr>
            <w:r>
              <w:rPr>
                <w:rFonts w:ascii="Arial" w:cs="Arial" w:eastAsia="Arial" w:hAnsi="Arial"/>
                <w:sz w:val="20"/>
                <w:szCs w:val="20"/>
                <w:color w:val="231F20"/>
              </w:rPr>
              <w:t>190.2</w:t>
            </w:r>
          </w:p>
        </w:tc>
        <w:tc>
          <w:tcPr>
            <w:tcW w:w="360" w:type="dxa"/>
            <w:vAlign w:val="bottom"/>
          </w:tcPr>
          <w:p>
            <w:pPr>
              <w:spacing w:after="0"/>
              <w:rPr>
                <w:sz w:val="17"/>
                <w:szCs w:val="17"/>
                <w:color w:val="auto"/>
              </w:rPr>
            </w:pPr>
          </w:p>
        </w:tc>
        <w:tc>
          <w:tcPr>
            <w:tcW w:w="920" w:type="dxa"/>
            <w:vAlign w:val="bottom"/>
          </w:tcPr>
          <w:p>
            <w:pPr>
              <w:jc w:val="right"/>
              <w:ind w:right="1"/>
              <w:spacing w:after="0" w:line="203" w:lineRule="exact"/>
              <w:rPr>
                <w:sz w:val="20"/>
                <w:szCs w:val="20"/>
                <w:color w:val="auto"/>
              </w:rPr>
            </w:pPr>
            <w:r>
              <w:rPr>
                <w:rFonts w:ascii="Arial" w:cs="Arial" w:eastAsia="Arial" w:hAnsi="Arial"/>
                <w:sz w:val="20"/>
                <w:szCs w:val="20"/>
                <w:color w:val="231F20"/>
              </w:rPr>
              <w:t>162.6</w:t>
            </w:r>
          </w:p>
        </w:tc>
      </w:tr>
      <w:tr>
        <w:trPr>
          <w:trHeight w:val="253"/>
        </w:trPr>
        <w:tc>
          <w:tcPr>
            <w:tcW w:w="534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rPr>
              <w:t xml:space="preserve">Less: proceeds from disposition of assets </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61"/>
              <w:spacing w:after="0" w:line="190" w:lineRule="exact"/>
              <w:rPr>
                <w:sz w:val="20"/>
                <w:szCs w:val="20"/>
                <w:color w:val="auto"/>
              </w:rPr>
            </w:pPr>
            <w:r>
              <w:rPr>
                <w:rFonts w:ascii="Arial" w:cs="Arial" w:eastAsia="Arial" w:hAnsi="Arial"/>
                <w:sz w:val="20"/>
                <w:szCs w:val="20"/>
                <w:color w:val="231F20"/>
              </w:rPr>
              <w:t>(2.8)</w:t>
            </w:r>
          </w:p>
        </w:tc>
        <w:tc>
          <w:tcPr>
            <w:tcW w:w="3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61"/>
              <w:spacing w:after="0" w:line="190" w:lineRule="exact"/>
              <w:rPr>
                <w:sz w:val="20"/>
                <w:szCs w:val="20"/>
                <w:color w:val="auto"/>
              </w:rPr>
            </w:pPr>
            <w:r>
              <w:rPr>
                <w:rFonts w:ascii="Arial" w:cs="Arial" w:eastAsia="Arial" w:hAnsi="Arial"/>
                <w:sz w:val="20"/>
                <w:szCs w:val="20"/>
                <w:color w:val="231F20"/>
              </w:rPr>
              <w:t>(8.2)</w:t>
            </w: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spacing w:after="0" w:line="190" w:lineRule="exact"/>
              <w:rPr>
                <w:sz w:val="20"/>
                <w:szCs w:val="20"/>
                <w:color w:val="auto"/>
              </w:rPr>
            </w:pPr>
            <w:r>
              <w:rPr>
                <w:rFonts w:ascii="Arial" w:cs="Arial" w:eastAsia="Arial" w:hAnsi="Arial"/>
                <w:sz w:val="20"/>
                <w:szCs w:val="20"/>
                <w:color w:val="231F20"/>
              </w:rPr>
              <w:t>(1.8)</w:t>
            </w:r>
          </w:p>
        </w:tc>
      </w:tr>
      <w:tr>
        <w:trPr>
          <w:trHeight w:val="180"/>
        </w:trPr>
        <w:tc>
          <w:tcPr>
            <w:tcW w:w="5340" w:type="dxa"/>
            <w:vAlign w:val="bottom"/>
            <w:tcBorders>
              <w:right w:val="single" w:sz="8" w:color="231F20"/>
            </w:tcBorders>
          </w:tcPr>
          <w:p>
            <w:pPr>
              <w:ind w:left="280"/>
              <w:spacing w:after="0" w:line="170" w:lineRule="exact"/>
              <w:rPr>
                <w:sz w:val="20"/>
                <w:szCs w:val="20"/>
                <w:color w:val="auto"/>
              </w:rPr>
            </w:pPr>
            <w:r>
              <w:rPr>
                <w:rFonts w:ascii="Arial" w:cs="Arial" w:eastAsia="Arial" w:hAnsi="Arial"/>
                <w:sz w:val="19"/>
                <w:szCs w:val="19"/>
                <w:color w:val="231F20"/>
              </w:rPr>
              <w:t>Capital expenditures, net</w:t>
            </w:r>
            <w:r>
              <w:rPr>
                <w:rFonts w:ascii="Times New Roman" w:cs="Times New Roman" w:eastAsia="Times New Roman" w:hAnsi="Times New Roman"/>
                <w:sz w:val="19"/>
                <w:szCs w:val="19"/>
                <w:color w:val="231F20"/>
              </w:rPr>
              <w:t>.......................................................</w:t>
            </w:r>
          </w:p>
        </w:tc>
        <w:tc>
          <w:tcPr>
            <w:tcW w:w="360" w:type="dxa"/>
            <w:vAlign w:val="bottom"/>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253.7</w:t>
            </w:r>
          </w:p>
        </w:tc>
        <w:tc>
          <w:tcPr>
            <w:tcW w:w="380" w:type="dxa"/>
            <w:vAlign w:val="bottom"/>
          </w:tcPr>
          <w:p>
            <w:pPr>
              <w:jc w:val="right"/>
              <w:ind w:right="6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182.0</w:t>
            </w:r>
          </w:p>
        </w:tc>
        <w:tc>
          <w:tcPr>
            <w:tcW w:w="360" w:type="dxa"/>
            <w:vAlign w:val="bottom"/>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920" w:type="dxa"/>
            <w:vAlign w:val="bottom"/>
          </w:tcPr>
          <w:p>
            <w:pPr>
              <w:jc w:val="right"/>
              <w:ind w:right="1"/>
              <w:spacing w:after="0" w:line="170" w:lineRule="exact"/>
              <w:rPr>
                <w:sz w:val="20"/>
                <w:szCs w:val="20"/>
                <w:color w:val="auto"/>
              </w:rPr>
            </w:pPr>
            <w:r>
              <w:rPr>
                <w:rFonts w:ascii="Arial" w:cs="Arial" w:eastAsia="Arial" w:hAnsi="Arial"/>
                <w:sz w:val="19"/>
                <w:szCs w:val="19"/>
                <w:color w:val="231F20"/>
              </w:rPr>
              <w:t>160.8</w:t>
            </w:r>
          </w:p>
        </w:tc>
      </w:tr>
      <w:tr>
        <w:trPr>
          <w:trHeight w:val="233"/>
        </w:trPr>
        <w:tc>
          <w:tcPr>
            <w:tcW w:w="5340" w:type="dxa"/>
            <w:vAlign w:val="bottom"/>
            <w:tcBorders>
              <w:right w:val="single" w:sz="8" w:color="231F20"/>
            </w:tcBorders>
          </w:tcPr>
          <w:p>
            <w:pPr>
              <w:spacing w:after="0" w:line="212" w:lineRule="exact"/>
              <w:rPr>
                <w:sz w:val="20"/>
                <w:szCs w:val="20"/>
                <w:color w:val="auto"/>
              </w:rPr>
            </w:pPr>
            <w:r>
              <w:rPr>
                <w:rFonts w:ascii="Arial" w:cs="Arial" w:eastAsia="Arial" w:hAnsi="Arial"/>
                <w:sz w:val="19"/>
                <w:szCs w:val="19"/>
                <w:b w:val="1"/>
                <w:bCs w:val="1"/>
                <w:color w:val="231F20"/>
              </w:rPr>
              <w:t xml:space="preserve">Net sales by geographic region </w:t>
            </w:r>
            <w:r>
              <w:rPr>
                <w:rFonts w:ascii="Arial" w:cs="Arial" w:eastAsia="Arial" w:hAnsi="Arial"/>
                <w:sz w:val="24"/>
                <w:szCs w:val="24"/>
                <w:b w:val="1"/>
                <w:bCs w:val="1"/>
                <w:color w:val="231F20"/>
                <w:vertAlign w:val="superscript"/>
              </w:rPr>
              <w:t>(a)</w:t>
            </w:r>
            <w:r>
              <w:rPr>
                <w:rFonts w:ascii="Arial" w:cs="Arial" w:eastAsia="Arial" w:hAnsi="Arial"/>
                <w:sz w:val="19"/>
                <w:szCs w:val="19"/>
                <w:b w:val="1"/>
                <w:bCs w:val="1"/>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5"/>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United States</w:t>
            </w:r>
            <w:r>
              <w:rPr>
                <w:rFonts w:ascii="Times New Roman" w:cs="Times New Roman" w:eastAsia="Times New Roman" w:hAnsi="Times New Roman"/>
                <w:sz w:val="20"/>
                <w:szCs w:val="20"/>
                <w:color w:val="231F20"/>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3,708.0</w:t>
            </w:r>
          </w:p>
        </w:tc>
        <w:tc>
          <w:tcPr>
            <w:tcW w:w="380" w:type="dxa"/>
            <w:vAlign w:val="bottom"/>
          </w:tcPr>
          <w:p>
            <w:pPr>
              <w:jc w:val="right"/>
              <w:ind w:right="6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3,763.6</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3,722.7</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China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335.2</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363.9</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510.4</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Canada</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352.4</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368.2</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384.2</w:t>
            </w:r>
          </w:p>
        </w:tc>
      </w:tr>
      <w:tr>
        <w:trPr>
          <w:trHeight w:val="253"/>
        </w:trPr>
        <w:tc>
          <w:tcPr>
            <w:tcW w:w="534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rPr>
              <w:t>Other international</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230.6</w:t>
            </w:r>
          </w:p>
        </w:tc>
        <w:tc>
          <w:tcPr>
            <w:tcW w:w="3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227.3</w:t>
            </w: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1"/>
              <w:spacing w:after="0" w:line="190" w:lineRule="exact"/>
              <w:rPr>
                <w:sz w:val="20"/>
                <w:szCs w:val="20"/>
                <w:color w:val="auto"/>
              </w:rPr>
            </w:pPr>
            <w:r>
              <w:rPr>
                <w:rFonts w:ascii="Arial" w:cs="Arial" w:eastAsia="Arial" w:hAnsi="Arial"/>
                <w:sz w:val="20"/>
                <w:szCs w:val="20"/>
                <w:color w:val="231F20"/>
              </w:rPr>
              <w:t>183.8</w:t>
            </w:r>
          </w:p>
        </w:tc>
      </w:tr>
      <w:tr>
        <w:trPr>
          <w:trHeight w:val="180"/>
        </w:trPr>
        <w:tc>
          <w:tcPr>
            <w:tcW w:w="5340" w:type="dxa"/>
            <w:vAlign w:val="bottom"/>
            <w:tcBorders>
              <w:right w:val="single" w:sz="8" w:color="231F20"/>
            </w:tcBorders>
          </w:tcPr>
          <w:p>
            <w:pPr>
              <w:ind w:left="280"/>
              <w:spacing w:after="0" w:line="170" w:lineRule="exact"/>
              <w:rPr>
                <w:sz w:val="20"/>
                <w:szCs w:val="20"/>
                <w:color w:val="auto"/>
              </w:rPr>
            </w:pPr>
            <w:r>
              <w:rPr>
                <w:rFonts w:ascii="Arial" w:cs="Arial" w:eastAsia="Arial" w:hAnsi="Arial"/>
                <w:sz w:val="19"/>
                <w:szCs w:val="19"/>
                <w:color w:val="231F20"/>
              </w:rPr>
              <w:t xml:space="preserve">Net sales </w:t>
            </w:r>
            <w:r>
              <w:rPr>
                <w:rFonts w:ascii="Times New Roman" w:cs="Times New Roman" w:eastAsia="Times New Roman" w:hAnsi="Times New Roman"/>
                <w:sz w:val="19"/>
                <w:szCs w:val="19"/>
                <w:color w:val="231F20"/>
              </w:rPr>
              <w:t>..................................................................................</w:t>
            </w:r>
          </w:p>
        </w:tc>
        <w:tc>
          <w:tcPr>
            <w:tcW w:w="360" w:type="dxa"/>
            <w:vAlign w:val="bottom"/>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4,626.2</w:t>
            </w:r>
          </w:p>
        </w:tc>
        <w:tc>
          <w:tcPr>
            <w:tcW w:w="380" w:type="dxa"/>
            <w:vAlign w:val="bottom"/>
          </w:tcPr>
          <w:p>
            <w:pPr>
              <w:jc w:val="right"/>
              <w:ind w:right="6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4,723.0</w:t>
            </w:r>
          </w:p>
        </w:tc>
        <w:tc>
          <w:tcPr>
            <w:tcW w:w="360" w:type="dxa"/>
            <w:vAlign w:val="bottom"/>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920" w:type="dxa"/>
            <w:vAlign w:val="bottom"/>
          </w:tcPr>
          <w:p>
            <w:pPr>
              <w:jc w:val="right"/>
              <w:ind w:right="1"/>
              <w:spacing w:after="0" w:line="170" w:lineRule="exact"/>
              <w:rPr>
                <w:sz w:val="20"/>
                <w:szCs w:val="20"/>
                <w:color w:val="auto"/>
              </w:rPr>
            </w:pPr>
            <w:r>
              <w:rPr>
                <w:rFonts w:ascii="Arial" w:cs="Arial" w:eastAsia="Arial" w:hAnsi="Arial"/>
                <w:sz w:val="19"/>
                <w:szCs w:val="19"/>
                <w:color w:val="231F20"/>
              </w:rPr>
              <w:t>4,801.1</w:t>
            </w:r>
          </w:p>
        </w:tc>
      </w:tr>
      <w:tr>
        <w:trPr>
          <w:trHeight w:val="233"/>
        </w:trPr>
        <w:tc>
          <w:tcPr>
            <w:tcW w:w="5340" w:type="dxa"/>
            <w:vAlign w:val="bottom"/>
            <w:tcBorders>
              <w:right w:val="single" w:sz="8" w:color="231F20"/>
            </w:tcBorders>
          </w:tcPr>
          <w:p>
            <w:pPr>
              <w:spacing w:after="0" w:line="212" w:lineRule="exact"/>
              <w:rPr>
                <w:sz w:val="20"/>
                <w:szCs w:val="20"/>
                <w:color w:val="auto"/>
              </w:rPr>
            </w:pPr>
            <w:r>
              <w:rPr>
                <w:rFonts w:ascii="Arial" w:cs="Arial" w:eastAsia="Arial" w:hAnsi="Arial"/>
                <w:sz w:val="20"/>
                <w:szCs w:val="20"/>
                <w:b w:val="1"/>
                <w:bCs w:val="1"/>
                <w:color w:val="231F20"/>
              </w:rPr>
              <w:t>Property, plant and equipment, net:</w:t>
            </w:r>
          </w:p>
        </w:tc>
        <w:tc>
          <w:tcPr>
            <w:tcW w:w="360" w:type="dxa"/>
            <w:vAlign w:val="bottom"/>
          </w:tcPr>
          <w:p>
            <w:pPr>
              <w:spacing w:after="0"/>
              <w:rPr>
                <w:sz w:val="20"/>
                <w:szCs w:val="20"/>
                <w:color w:val="auto"/>
              </w:rPr>
            </w:pPr>
          </w:p>
        </w:tc>
        <w:tc>
          <w:tcPr>
            <w:tcW w:w="1040" w:type="dxa"/>
            <w:vAlign w:val="bottom"/>
            <w:tcBorders>
              <w:right w:val="single" w:sz="8" w:color="231F20"/>
            </w:tcBorders>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5"/>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United States</w:t>
            </w:r>
            <w:r>
              <w:rPr>
                <w:rFonts w:ascii="Times New Roman" w:cs="Times New Roman" w:eastAsia="Times New Roman" w:hAnsi="Times New Roman"/>
                <w:sz w:val="20"/>
                <w:szCs w:val="20"/>
                <w:color w:val="231F20"/>
              </w:rPr>
              <w:t>.................................................................................</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798.0</w:t>
            </w:r>
          </w:p>
        </w:tc>
        <w:tc>
          <w:tcPr>
            <w:tcW w:w="380" w:type="dxa"/>
            <w:vAlign w:val="bottom"/>
          </w:tcPr>
          <w:p>
            <w:pPr>
              <w:jc w:val="right"/>
              <w:ind w:right="61"/>
              <w:spacing w:after="0"/>
              <w:rPr>
                <w:sz w:val="20"/>
                <w:szCs w:val="20"/>
                <w:color w:val="auto"/>
              </w:rPr>
            </w:pPr>
            <w:r>
              <w:rPr>
                <w:rFonts w:ascii="Arial" w:cs="Arial" w:eastAsia="Arial" w:hAnsi="Arial"/>
                <w:sz w:val="20"/>
                <w:szCs w:val="20"/>
                <w:color w:val="231F20"/>
              </w:rPr>
              <w:t>$</w:t>
            </w: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673.5</w:t>
            </w:r>
          </w:p>
        </w:tc>
        <w:tc>
          <w:tcPr>
            <w:tcW w:w="360" w:type="dxa"/>
            <w:vAlign w:val="bottom"/>
          </w:tcPr>
          <w:p>
            <w:pPr>
              <w:jc w:val="right"/>
              <w:ind w:right="41"/>
              <w:spacing w:after="0"/>
              <w:rPr>
                <w:sz w:val="20"/>
                <w:szCs w:val="20"/>
                <w:color w:val="auto"/>
              </w:rPr>
            </w:pPr>
            <w:r>
              <w:rPr>
                <w:rFonts w:ascii="Arial" w:cs="Arial" w:eastAsia="Arial" w:hAnsi="Arial"/>
                <w:sz w:val="20"/>
                <w:szCs w:val="20"/>
                <w:color w:val="231F20"/>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569.6</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Mexico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62.9</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55.9</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53.7</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Canada</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7.6</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7.3</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7.7</w:t>
            </w:r>
          </w:p>
        </w:tc>
      </w:tr>
      <w:tr>
        <w:trPr>
          <w:trHeight w:val="233"/>
        </w:trPr>
        <w:tc>
          <w:tcPr>
            <w:tcW w:w="5340" w:type="dxa"/>
            <w:vAlign w:val="bottom"/>
            <w:tcBorders>
              <w:right w:val="single" w:sz="8" w:color="231F20"/>
            </w:tcBorders>
          </w:tcPr>
          <w:p>
            <w:pPr>
              <w:spacing w:after="0"/>
              <w:rPr>
                <w:sz w:val="20"/>
                <w:szCs w:val="20"/>
                <w:color w:val="auto"/>
              </w:rPr>
            </w:pPr>
            <w:r>
              <w:rPr>
                <w:rFonts w:ascii="Arial" w:cs="Arial" w:eastAsia="Arial" w:hAnsi="Arial"/>
                <w:sz w:val="20"/>
                <w:szCs w:val="20"/>
                <w:color w:val="231F20"/>
              </w:rPr>
              <w:t xml:space="preserve">China </w:t>
            </w:r>
            <w:r>
              <w:rPr>
                <w:rFonts w:ascii="Times New Roman" w:cs="Times New Roman" w:eastAsia="Times New Roman" w:hAnsi="Times New Roman"/>
                <w:sz w:val="20"/>
                <w:szCs w:val="20"/>
                <w:color w:val="231F20"/>
              </w:rPr>
              <w:t>..............................................................................................</w:t>
            </w:r>
          </w:p>
        </w:tc>
        <w:tc>
          <w:tcPr>
            <w:tcW w:w="36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17.3</w:t>
            </w:r>
          </w:p>
        </w:tc>
        <w:tc>
          <w:tcPr>
            <w:tcW w:w="380" w:type="dxa"/>
            <w:vAlign w:val="bottom"/>
          </w:tcPr>
          <w:p>
            <w:pPr>
              <w:spacing w:after="0"/>
              <w:rPr>
                <w:sz w:val="20"/>
                <w:szCs w:val="20"/>
                <w:color w:val="auto"/>
              </w:rPr>
            </w:pPr>
          </w:p>
        </w:tc>
        <w:tc>
          <w:tcPr>
            <w:tcW w:w="1040" w:type="dxa"/>
            <w:vAlign w:val="bottom"/>
            <w:tcBorders>
              <w:right w:val="single" w:sz="8" w:color="231F20"/>
            </w:tcBorders>
          </w:tcPr>
          <w:p>
            <w:pPr>
              <w:jc w:val="right"/>
              <w:ind w:right="121"/>
              <w:spacing w:after="0"/>
              <w:rPr>
                <w:sz w:val="20"/>
                <w:szCs w:val="20"/>
                <w:color w:val="auto"/>
              </w:rPr>
            </w:pPr>
            <w:r>
              <w:rPr>
                <w:rFonts w:ascii="Arial" w:cs="Arial" w:eastAsia="Arial" w:hAnsi="Arial"/>
                <w:sz w:val="20"/>
                <w:szCs w:val="20"/>
                <w:color w:val="231F20"/>
              </w:rPr>
              <w:t>20.1</w:t>
            </w:r>
          </w:p>
        </w:tc>
        <w:tc>
          <w:tcPr>
            <w:tcW w:w="36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231F20"/>
              </w:rPr>
              <w:t>23.7</w:t>
            </w:r>
          </w:p>
        </w:tc>
      </w:tr>
      <w:tr>
        <w:trPr>
          <w:trHeight w:val="253"/>
        </w:trPr>
        <w:tc>
          <w:tcPr>
            <w:tcW w:w="5340" w:type="dxa"/>
            <w:vAlign w:val="bottom"/>
            <w:tcBorders>
              <w:bottom w:val="single" w:sz="8" w:color="231F20"/>
              <w:right w:val="single" w:sz="8" w:color="231F20"/>
            </w:tcBorders>
          </w:tcPr>
          <w:p>
            <w:pPr>
              <w:spacing w:after="0" w:line="190" w:lineRule="exact"/>
              <w:rPr>
                <w:sz w:val="20"/>
                <w:szCs w:val="20"/>
                <w:color w:val="auto"/>
              </w:rPr>
            </w:pPr>
            <w:r>
              <w:rPr>
                <w:rFonts w:ascii="Arial" w:cs="Arial" w:eastAsia="Arial" w:hAnsi="Arial"/>
                <w:sz w:val="20"/>
                <w:szCs w:val="20"/>
                <w:color w:val="231F20"/>
              </w:rPr>
              <w:t>Other international</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89.2</w:t>
            </w:r>
          </w:p>
        </w:tc>
        <w:tc>
          <w:tcPr>
            <w:tcW w:w="3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jc w:val="right"/>
              <w:ind w:right="121"/>
              <w:spacing w:after="0" w:line="190" w:lineRule="exact"/>
              <w:rPr>
                <w:sz w:val="20"/>
                <w:szCs w:val="20"/>
                <w:color w:val="auto"/>
              </w:rPr>
            </w:pPr>
            <w:r>
              <w:rPr>
                <w:rFonts w:ascii="Arial" w:cs="Arial" w:eastAsia="Arial" w:hAnsi="Arial"/>
                <w:sz w:val="20"/>
                <w:szCs w:val="20"/>
                <w:color w:val="231F20"/>
              </w:rPr>
              <w:t>26.9</w:t>
            </w:r>
          </w:p>
        </w:tc>
        <w:tc>
          <w:tcPr>
            <w:tcW w:w="3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1"/>
              <w:spacing w:after="0" w:line="190" w:lineRule="exact"/>
              <w:rPr>
                <w:sz w:val="20"/>
                <w:szCs w:val="20"/>
                <w:color w:val="auto"/>
              </w:rPr>
            </w:pPr>
            <w:r>
              <w:rPr>
                <w:rFonts w:ascii="Arial" w:cs="Arial" w:eastAsia="Arial" w:hAnsi="Arial"/>
                <w:sz w:val="20"/>
                <w:szCs w:val="20"/>
                <w:color w:val="231F20"/>
              </w:rPr>
              <w:t>16.1</w:t>
            </w:r>
          </w:p>
        </w:tc>
      </w:tr>
      <w:tr>
        <w:trPr>
          <w:trHeight w:val="248"/>
        </w:trPr>
        <w:tc>
          <w:tcPr>
            <w:tcW w:w="5340" w:type="dxa"/>
            <w:vAlign w:val="bottom"/>
            <w:tcBorders>
              <w:bottom w:val="single" w:sz="8" w:color="231F20"/>
              <w:right w:val="single" w:sz="8" w:color="231F20"/>
            </w:tcBorders>
          </w:tcPr>
          <w:p>
            <w:pPr>
              <w:ind w:left="280"/>
              <w:spacing w:after="0" w:line="170" w:lineRule="exact"/>
              <w:rPr>
                <w:sz w:val="20"/>
                <w:szCs w:val="20"/>
                <w:color w:val="auto"/>
              </w:rPr>
            </w:pPr>
            <w:r>
              <w:rPr>
                <w:rFonts w:ascii="Arial" w:cs="Arial" w:eastAsia="Arial" w:hAnsi="Arial"/>
                <w:sz w:val="19"/>
                <w:szCs w:val="19"/>
                <w:color w:val="231F20"/>
              </w:rPr>
              <w:t>Property, plant and equipment, net</w:t>
            </w:r>
            <w:r>
              <w:rPr>
                <w:rFonts w:ascii="Times New Roman" w:cs="Times New Roman" w:eastAsia="Times New Roman" w:hAnsi="Times New Roman"/>
                <w:sz w:val="19"/>
                <w:szCs w:val="19"/>
                <w:color w:val="231F20"/>
              </w:rPr>
              <w:t>......................................</w:t>
            </w:r>
          </w:p>
        </w:tc>
        <w:tc>
          <w:tcPr>
            <w:tcW w:w="360" w:type="dxa"/>
            <w:vAlign w:val="bottom"/>
            <w:tcBorders>
              <w:bottom w:val="single" w:sz="8" w:color="231F20"/>
            </w:tcBorders>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bottom w:val="single" w:sz="8" w:color="231F20"/>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975.0</w:t>
            </w:r>
          </w:p>
        </w:tc>
        <w:tc>
          <w:tcPr>
            <w:tcW w:w="380" w:type="dxa"/>
            <w:vAlign w:val="bottom"/>
            <w:tcBorders>
              <w:bottom w:val="single" w:sz="8" w:color="231F20"/>
            </w:tcBorders>
          </w:tcPr>
          <w:p>
            <w:pPr>
              <w:jc w:val="right"/>
              <w:ind w:right="61"/>
              <w:spacing w:after="0" w:line="170" w:lineRule="exact"/>
              <w:rPr>
                <w:sz w:val="20"/>
                <w:szCs w:val="20"/>
                <w:color w:val="auto"/>
              </w:rPr>
            </w:pPr>
            <w:r>
              <w:rPr>
                <w:rFonts w:ascii="Arial" w:cs="Arial" w:eastAsia="Arial" w:hAnsi="Arial"/>
                <w:sz w:val="19"/>
                <w:szCs w:val="19"/>
                <w:color w:val="231F20"/>
              </w:rPr>
              <w:t>$</w:t>
            </w:r>
          </w:p>
        </w:tc>
        <w:tc>
          <w:tcPr>
            <w:tcW w:w="1040" w:type="dxa"/>
            <w:vAlign w:val="bottom"/>
            <w:tcBorders>
              <w:bottom w:val="single" w:sz="8" w:color="231F20"/>
              <w:right w:val="single" w:sz="8" w:color="231F20"/>
            </w:tcBorders>
          </w:tcPr>
          <w:p>
            <w:pPr>
              <w:jc w:val="right"/>
              <w:ind w:right="121"/>
              <w:spacing w:after="0" w:line="170" w:lineRule="exact"/>
              <w:rPr>
                <w:sz w:val="20"/>
                <w:szCs w:val="20"/>
                <w:color w:val="auto"/>
              </w:rPr>
            </w:pPr>
            <w:r>
              <w:rPr>
                <w:rFonts w:ascii="Arial" w:cs="Arial" w:eastAsia="Arial" w:hAnsi="Arial"/>
                <w:sz w:val="19"/>
                <w:szCs w:val="19"/>
                <w:color w:val="231F20"/>
              </w:rPr>
              <w:t>783.7</w:t>
            </w:r>
          </w:p>
        </w:tc>
        <w:tc>
          <w:tcPr>
            <w:tcW w:w="360" w:type="dxa"/>
            <w:vAlign w:val="bottom"/>
            <w:tcBorders>
              <w:bottom w:val="single" w:sz="8" w:color="231F20"/>
            </w:tcBorders>
          </w:tcPr>
          <w:p>
            <w:pPr>
              <w:jc w:val="right"/>
              <w:ind w:right="41"/>
              <w:spacing w:after="0" w:line="170" w:lineRule="exact"/>
              <w:rPr>
                <w:sz w:val="20"/>
                <w:szCs w:val="20"/>
                <w:color w:val="auto"/>
              </w:rPr>
            </w:pPr>
            <w:r>
              <w:rPr>
                <w:rFonts w:ascii="Arial" w:cs="Arial" w:eastAsia="Arial" w:hAnsi="Arial"/>
                <w:sz w:val="19"/>
                <w:szCs w:val="19"/>
                <w:color w:val="231F20"/>
              </w:rPr>
              <w:t>$</w:t>
            </w:r>
          </w:p>
        </w:tc>
        <w:tc>
          <w:tcPr>
            <w:tcW w:w="920" w:type="dxa"/>
            <w:vAlign w:val="bottom"/>
            <w:tcBorders>
              <w:bottom w:val="single" w:sz="8" w:color="231F20"/>
            </w:tcBorders>
          </w:tcPr>
          <w:p>
            <w:pPr>
              <w:jc w:val="right"/>
              <w:ind w:right="1"/>
              <w:spacing w:after="0" w:line="170" w:lineRule="exact"/>
              <w:rPr>
                <w:sz w:val="20"/>
                <w:szCs w:val="20"/>
                <w:color w:val="auto"/>
              </w:rPr>
            </w:pPr>
            <w:r>
              <w:rPr>
                <w:rFonts w:ascii="Arial" w:cs="Arial" w:eastAsia="Arial" w:hAnsi="Arial"/>
                <w:sz w:val="19"/>
                <w:szCs w:val="19"/>
                <w:color w:val="231F20"/>
              </w:rPr>
              <w:t>670.8</w:t>
            </w:r>
          </w:p>
        </w:tc>
      </w:tr>
    </w:tbl>
    <w:p>
      <w:pPr>
        <w:spacing w:after="0" w:line="201" w:lineRule="exact"/>
        <w:rPr>
          <w:sz w:val="20"/>
          <w:szCs w:val="20"/>
          <w:color w:val="auto"/>
        </w:rPr>
      </w:pPr>
    </w:p>
    <w:p>
      <w:pPr>
        <w:ind w:left="320" w:hanging="314"/>
        <w:spacing w:after="0"/>
        <w:tabs>
          <w:tab w:leader="none" w:pos="320" w:val="left"/>
        </w:tabs>
        <w:numPr>
          <w:ilvl w:val="0"/>
          <w:numId w:val="53"/>
        </w:numPr>
        <w:rPr>
          <w:rFonts w:ascii="Arial" w:cs="Arial" w:eastAsia="Arial" w:hAnsi="Arial"/>
          <w:sz w:val="10"/>
          <w:szCs w:val="10"/>
          <w:i w:val="1"/>
          <w:iCs w:val="1"/>
          <w:color w:val="231F20"/>
        </w:rPr>
      </w:pPr>
      <w:r>
        <w:rPr>
          <w:rFonts w:ascii="Arial" w:cs="Arial" w:eastAsia="Arial" w:hAnsi="Arial"/>
          <w:sz w:val="16"/>
          <w:szCs w:val="16"/>
          <w:i w:val="1"/>
          <w:iCs w:val="1"/>
          <w:color w:val="231F20"/>
        </w:rPr>
        <w:t>Based on country of destination.</w:t>
      </w:r>
    </w:p>
    <w:p>
      <w:pPr>
        <w:sectPr>
          <w:pgSz w:w="12240" w:h="15840" w:orient="portrait"/>
          <w:cols w:equalWidth="0" w:num="1">
            <w:col w:w="9460"/>
          </w:cols>
          <w:pgMar w:left="1380" w:top="1327"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87</w:t>
      </w:r>
    </w:p>
    <w:p>
      <w:pPr>
        <w:sectPr>
          <w:pgSz w:w="12240" w:h="15840" w:orient="portrait"/>
          <w:cols w:equalWidth="0" w:num="1">
            <w:col w:w="9460"/>
          </w:cols>
          <w:pgMar w:left="1380" w:top="1327" w:right="1400" w:bottom="95" w:gutter="0" w:footer="0" w:header="0"/>
          <w:type w:val="continuous"/>
        </w:sectPr>
      </w:pPr>
    </w:p>
    <w:bookmarkStart w:id="95" w:name="page96"/>
    <w:bookmarkEnd w:id="95"/>
    <w:p>
      <w:pPr>
        <w:spacing w:after="0"/>
        <w:tabs>
          <w:tab w:leader="none" w:pos="500" w:val="left"/>
        </w:tabs>
        <w:rPr>
          <w:sz w:val="20"/>
          <w:szCs w:val="20"/>
          <w:color w:val="auto"/>
        </w:rPr>
      </w:pPr>
      <w:r>
        <w:rPr>
          <w:rFonts w:ascii="Arial" w:cs="Arial" w:eastAsia="Arial" w:hAnsi="Arial"/>
          <w:sz w:val="20"/>
          <w:szCs w:val="20"/>
          <w:b w:val="1"/>
          <w:bCs w:val="1"/>
          <w:color w:val="231F20"/>
        </w:rPr>
        <w:t>20.</w:t>
        <w:tab/>
        <w:t>Earnings Per Share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231F20"/>
        </w:rPr>
        <w:t>The computations of earnings per common share were as follows: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Borders>
              <w:bottom w:val="single" w:sz="8" w:color="231F20"/>
            </w:tcBorders>
          </w:tcPr>
          <w:p>
            <w:pPr>
              <w:spacing w:after="0"/>
              <w:rPr>
                <w:sz w:val="16"/>
                <w:szCs w:val="16"/>
                <w:color w:val="auto"/>
              </w:rPr>
            </w:pPr>
          </w:p>
        </w:tc>
        <w:tc>
          <w:tcPr>
            <w:tcW w:w="5940" w:type="dxa"/>
            <w:vAlign w:val="bottom"/>
            <w:tcBorders>
              <w:top w:val="single" w:sz="8" w:color="231F20"/>
              <w:bottom w:val="single" w:sz="8" w:color="231F20"/>
              <w:right w:val="single" w:sz="8" w:color="231F20"/>
            </w:tcBorders>
          </w:tcPr>
          <w:p>
            <w:pPr>
              <w:jc w:val="right"/>
              <w:spacing w:after="0" w:line="184" w:lineRule="exact"/>
              <w:rPr>
                <w:sz w:val="20"/>
                <w:szCs w:val="20"/>
                <w:color w:val="auto"/>
              </w:rPr>
            </w:pPr>
            <w:r>
              <w:rPr>
                <w:rFonts w:ascii="Arial" w:cs="Arial" w:eastAsia="Arial" w:hAnsi="Arial"/>
                <w:sz w:val="15"/>
                <w:szCs w:val="15"/>
                <w:i w:val="1"/>
                <w:iCs w:val="1"/>
                <w:color w:val="231F20"/>
              </w:rPr>
              <w:t xml:space="preserve">(In millions, except per share data) </w:t>
            </w:r>
            <w:r>
              <w:rPr>
                <w:rFonts w:ascii="Times New Roman" w:cs="Times New Roman" w:eastAsia="Times New Roman" w:hAnsi="Times New Roman"/>
                <w:sz w:val="20"/>
                <w:szCs w:val="20"/>
                <w:color w:val="231F20"/>
              </w:rPr>
              <w:t>.......................................................................</w:t>
            </w:r>
          </w:p>
        </w:tc>
        <w:tc>
          <w:tcPr>
            <w:tcW w:w="360" w:type="dxa"/>
            <w:vAlign w:val="bottom"/>
            <w:tcBorders>
              <w:top w:val="single" w:sz="8" w:color="231F20"/>
              <w:bottom w:val="single" w:sz="8" w:color="231F20"/>
            </w:tcBorders>
          </w:tcPr>
          <w:p>
            <w:pPr>
              <w:spacing w:after="0"/>
              <w:rPr>
                <w:sz w:val="16"/>
                <w:szCs w:val="16"/>
                <w:color w:val="auto"/>
              </w:rPr>
            </w:pPr>
          </w:p>
        </w:tc>
        <w:tc>
          <w:tcPr>
            <w:tcW w:w="860" w:type="dxa"/>
            <w:vAlign w:val="bottom"/>
            <w:tcBorders>
              <w:top w:val="single" w:sz="8" w:color="231F20"/>
              <w:bottom w:val="single" w:sz="8" w:color="231F20"/>
              <w:right w:val="single" w:sz="8" w:color="231F20"/>
            </w:tcBorders>
          </w:tcPr>
          <w:p>
            <w:pPr>
              <w:jc w:val="right"/>
              <w:ind w:right="141"/>
              <w:spacing w:after="0"/>
              <w:rPr>
                <w:sz w:val="20"/>
                <w:szCs w:val="20"/>
                <w:color w:val="auto"/>
              </w:rPr>
            </w:pPr>
            <w:r>
              <w:rPr>
                <w:rFonts w:ascii="Arial" w:cs="Arial" w:eastAsia="Arial" w:hAnsi="Arial"/>
                <w:sz w:val="15"/>
                <w:szCs w:val="15"/>
                <w:i w:val="1"/>
                <w:iCs w:val="1"/>
                <w:color w:val="231F20"/>
              </w:rPr>
              <w:t>2023</w:t>
            </w:r>
          </w:p>
        </w:tc>
        <w:tc>
          <w:tcPr>
            <w:tcW w:w="360" w:type="dxa"/>
            <w:vAlign w:val="bottom"/>
            <w:tcBorders>
              <w:top w:val="single" w:sz="8" w:color="231F20"/>
              <w:bottom w:val="single" w:sz="8" w:color="231F20"/>
            </w:tcBorders>
          </w:tcPr>
          <w:p>
            <w:pPr>
              <w:spacing w:after="0"/>
              <w:rPr>
                <w:sz w:val="16"/>
                <w:szCs w:val="16"/>
                <w:color w:val="auto"/>
              </w:rPr>
            </w:pPr>
          </w:p>
        </w:tc>
        <w:tc>
          <w:tcPr>
            <w:tcW w:w="740" w:type="dxa"/>
            <w:vAlign w:val="bottom"/>
            <w:tcBorders>
              <w:top w:val="single" w:sz="8" w:color="231F20"/>
              <w:bottom w:val="single" w:sz="8" w:color="231F20"/>
            </w:tcBorders>
          </w:tcPr>
          <w:p>
            <w:pPr>
              <w:jc w:val="right"/>
              <w:ind w:right="21"/>
              <w:spacing w:after="0"/>
              <w:rPr>
                <w:sz w:val="20"/>
                <w:szCs w:val="20"/>
                <w:color w:val="auto"/>
              </w:rPr>
            </w:pPr>
            <w:r>
              <w:rPr>
                <w:rFonts w:ascii="Arial" w:cs="Arial" w:eastAsia="Arial" w:hAnsi="Arial"/>
                <w:sz w:val="15"/>
                <w:szCs w:val="15"/>
                <w:color w:val="231F20"/>
              </w:rPr>
              <w:t>2022</w:t>
            </w:r>
          </w:p>
        </w:tc>
        <w:tc>
          <w:tcPr>
            <w:tcW w:w="380" w:type="dxa"/>
            <w:vAlign w:val="bottom"/>
            <w:tcBorders>
              <w:top w:val="single" w:sz="8" w:color="231F20"/>
              <w:bottom w:val="single" w:sz="8" w:color="231F20"/>
            </w:tcBorders>
          </w:tcPr>
          <w:p>
            <w:pPr>
              <w:spacing w:after="0"/>
              <w:rPr>
                <w:sz w:val="16"/>
                <w:szCs w:val="16"/>
                <w:color w:val="auto"/>
              </w:rPr>
            </w:pPr>
          </w:p>
        </w:tc>
        <w:tc>
          <w:tcPr>
            <w:tcW w:w="780" w:type="dxa"/>
            <w:vAlign w:val="bottom"/>
            <w:tcBorders>
              <w:top w:val="single" w:sz="8" w:color="231F20"/>
              <w:bottom w:val="single" w:sz="8" w:color="231F20"/>
            </w:tcBorders>
          </w:tcPr>
          <w:p>
            <w:pPr>
              <w:jc w:val="right"/>
              <w:ind w:right="1"/>
              <w:spacing w:after="0"/>
              <w:rPr>
                <w:sz w:val="20"/>
                <w:szCs w:val="20"/>
                <w:color w:val="auto"/>
              </w:rPr>
            </w:pPr>
            <w:r>
              <w:rPr>
                <w:rFonts w:ascii="Arial" w:cs="Arial" w:eastAsia="Arial" w:hAnsi="Arial"/>
                <w:sz w:val="15"/>
                <w:szCs w:val="15"/>
                <w:color w:val="231F20"/>
              </w:rPr>
              <w:t>2021</w:t>
            </w:r>
          </w:p>
        </w:tc>
      </w:tr>
      <w:tr>
        <w:trPr>
          <w:trHeight w:val="202"/>
        </w:trPr>
        <w:tc>
          <w:tcPr>
            <w:tcW w:w="5960" w:type="dxa"/>
            <w:vAlign w:val="bottom"/>
            <w:tcBorders>
              <w:right w:val="single" w:sz="8" w:color="231F20"/>
            </w:tcBorders>
            <w:gridSpan w:val="2"/>
          </w:tcPr>
          <w:p>
            <w:pPr>
              <w:jc w:val="right"/>
              <w:spacing w:after="0" w:line="202" w:lineRule="exact"/>
              <w:rPr>
                <w:sz w:val="20"/>
                <w:szCs w:val="20"/>
                <w:color w:val="auto"/>
              </w:rPr>
            </w:pPr>
            <w:r>
              <w:rPr>
                <w:rFonts w:ascii="Arial" w:cs="Arial" w:eastAsia="Arial" w:hAnsi="Arial"/>
                <w:sz w:val="20"/>
                <w:szCs w:val="20"/>
                <w:color w:val="231F20"/>
              </w:rPr>
              <w:t>Income from continuing operations</w:t>
            </w:r>
            <w:r>
              <w:rPr>
                <w:rFonts w:ascii="Times New Roman" w:cs="Times New Roman" w:eastAsia="Times New Roman" w:hAnsi="Times New Roman"/>
                <w:sz w:val="20"/>
                <w:szCs w:val="20"/>
                <w:color w:val="231F20"/>
              </w:rPr>
              <w:t>........................................................</w:t>
            </w:r>
          </w:p>
        </w:tc>
        <w:tc>
          <w:tcPr>
            <w:tcW w:w="360" w:type="dxa"/>
            <w:vAlign w:val="bottom"/>
          </w:tcPr>
          <w:p>
            <w:pPr>
              <w:jc w:val="right"/>
              <w:ind w:right="39"/>
              <w:spacing w:after="0" w:line="203" w:lineRule="exact"/>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141"/>
              <w:spacing w:after="0" w:line="203" w:lineRule="exact"/>
              <w:rPr>
                <w:sz w:val="20"/>
                <w:szCs w:val="20"/>
                <w:color w:val="auto"/>
              </w:rPr>
            </w:pPr>
            <w:r>
              <w:rPr>
                <w:rFonts w:ascii="Arial" w:cs="Arial" w:eastAsia="Arial" w:hAnsi="Arial"/>
                <w:sz w:val="20"/>
                <w:szCs w:val="20"/>
                <w:color w:val="231F20"/>
              </w:rPr>
              <w:t>405.5</w:t>
            </w:r>
          </w:p>
        </w:tc>
        <w:tc>
          <w:tcPr>
            <w:tcW w:w="360" w:type="dxa"/>
            <w:vAlign w:val="bottom"/>
          </w:tcPr>
          <w:p>
            <w:pPr>
              <w:jc w:val="right"/>
              <w:ind w:right="39"/>
              <w:spacing w:after="0" w:line="203"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21"/>
              <w:spacing w:after="0" w:line="203" w:lineRule="exact"/>
              <w:rPr>
                <w:sz w:val="20"/>
                <w:szCs w:val="20"/>
                <w:color w:val="auto"/>
              </w:rPr>
            </w:pPr>
            <w:r>
              <w:rPr>
                <w:rFonts w:ascii="Arial" w:cs="Arial" w:eastAsia="Arial" w:hAnsi="Arial"/>
                <w:sz w:val="20"/>
                <w:szCs w:val="20"/>
                <w:color w:val="231F20"/>
              </w:rPr>
              <w:t>539.9</w:t>
            </w:r>
          </w:p>
        </w:tc>
        <w:tc>
          <w:tcPr>
            <w:tcW w:w="380" w:type="dxa"/>
            <w:vAlign w:val="bottom"/>
          </w:tcPr>
          <w:p>
            <w:pPr>
              <w:jc w:val="right"/>
              <w:ind w:right="59"/>
              <w:spacing w:after="0" w:line="203" w:lineRule="exact"/>
              <w:rPr>
                <w:sz w:val="20"/>
                <w:szCs w:val="20"/>
                <w:color w:val="auto"/>
              </w:rPr>
            </w:pPr>
            <w:r>
              <w:rPr>
                <w:rFonts w:ascii="Arial" w:cs="Arial" w:eastAsia="Arial" w:hAnsi="Arial"/>
                <w:sz w:val="20"/>
                <w:szCs w:val="20"/>
                <w:color w:val="231F20"/>
              </w:rPr>
              <w:t>$</w:t>
            </w:r>
          </w:p>
        </w:tc>
        <w:tc>
          <w:tcPr>
            <w:tcW w:w="780" w:type="dxa"/>
            <w:vAlign w:val="bottom"/>
          </w:tcPr>
          <w:p>
            <w:pPr>
              <w:jc w:val="right"/>
              <w:ind w:right="1"/>
              <w:spacing w:after="0" w:line="203" w:lineRule="exact"/>
              <w:rPr>
                <w:sz w:val="20"/>
                <w:szCs w:val="20"/>
                <w:color w:val="auto"/>
              </w:rPr>
            </w:pPr>
            <w:r>
              <w:rPr>
                <w:rFonts w:ascii="Arial" w:cs="Arial" w:eastAsia="Arial" w:hAnsi="Arial"/>
                <w:sz w:val="20"/>
                <w:szCs w:val="20"/>
                <w:color w:val="231F20"/>
              </w:rPr>
              <w:t>559.7</w:t>
            </w:r>
          </w:p>
        </w:tc>
      </w:tr>
      <w:tr>
        <w:trPr>
          <w:trHeight w:val="253"/>
        </w:trPr>
        <w:tc>
          <w:tcPr>
            <w:tcW w:w="5960" w:type="dxa"/>
            <w:vAlign w:val="bottom"/>
            <w:tcBorders>
              <w:bottom w:val="single" w:sz="8" w:color="231F20"/>
              <w:right w:val="single" w:sz="8" w:color="231F20"/>
            </w:tcBorders>
            <w:gridSpan w:val="2"/>
          </w:tcPr>
          <w:p>
            <w:pPr>
              <w:jc w:val="right"/>
              <w:spacing w:after="0"/>
              <w:rPr>
                <w:sz w:val="20"/>
                <w:szCs w:val="20"/>
                <w:color w:val="auto"/>
              </w:rPr>
            </w:pPr>
            <w:r>
              <w:rPr>
                <w:rFonts w:ascii="Arial" w:cs="Arial" w:eastAsia="Arial" w:hAnsi="Arial"/>
                <w:sz w:val="20"/>
                <w:szCs w:val="20"/>
                <w:color w:val="231F20"/>
              </w:rPr>
              <w:t xml:space="preserve">Income from discontinued operations </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right"/>
              <w:ind w:right="61"/>
              <w:spacing w:after="0"/>
              <w:rPr>
                <w:sz w:val="20"/>
                <w:szCs w:val="20"/>
                <w:color w:val="auto"/>
              </w:rPr>
            </w:pPr>
            <w:r>
              <w:rPr>
                <w:rFonts w:ascii="Arial" w:cs="Arial" w:eastAsia="Arial" w:hAnsi="Arial"/>
                <w:sz w:val="20"/>
                <w:szCs w:val="20"/>
                <w:color w:val="231F20"/>
              </w:rPr>
              <w:t>(1.0)</w:t>
            </w:r>
          </w:p>
        </w:tc>
        <w:tc>
          <w:tcPr>
            <w:tcW w:w="360" w:type="dxa"/>
            <w:vAlign w:val="bottom"/>
            <w:tcBorders>
              <w:bottom w:val="single" w:sz="8" w:color="231F20"/>
            </w:tcBorders>
          </w:tcPr>
          <w:p>
            <w:pPr>
              <w:spacing w:after="0"/>
              <w:rPr>
                <w:sz w:val="22"/>
                <w:szCs w:val="22"/>
                <w:color w:val="auto"/>
              </w:rPr>
            </w:pPr>
          </w:p>
        </w:tc>
        <w:tc>
          <w:tcPr>
            <w:tcW w:w="740" w:type="dxa"/>
            <w:vAlign w:val="bottom"/>
            <w:tcBorders>
              <w:bottom w:val="single" w:sz="8" w:color="231F20"/>
            </w:tcBorders>
          </w:tcPr>
          <w:p>
            <w:pPr>
              <w:jc w:val="right"/>
              <w:ind w:right="21"/>
              <w:spacing w:after="0"/>
              <w:rPr>
                <w:sz w:val="20"/>
                <w:szCs w:val="20"/>
                <w:color w:val="auto"/>
              </w:rPr>
            </w:pPr>
            <w:r>
              <w:rPr>
                <w:rFonts w:ascii="Arial" w:cs="Arial" w:eastAsia="Arial" w:hAnsi="Arial"/>
                <w:sz w:val="20"/>
                <w:szCs w:val="20"/>
                <w:color w:val="231F20"/>
              </w:rPr>
              <w:t>146.8</w:t>
            </w:r>
          </w:p>
        </w:tc>
        <w:tc>
          <w:tcPr>
            <w:tcW w:w="38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212.7</w:t>
            </w:r>
          </w:p>
        </w:tc>
      </w:tr>
      <w:tr>
        <w:trPr>
          <w:trHeight w:val="203"/>
        </w:trPr>
        <w:tc>
          <w:tcPr>
            <w:tcW w:w="5960" w:type="dxa"/>
            <w:vAlign w:val="bottom"/>
            <w:tcBorders>
              <w:right w:val="single" w:sz="8" w:color="231F20"/>
            </w:tcBorders>
            <w:gridSpan w:val="2"/>
          </w:tcPr>
          <w:p>
            <w:pPr>
              <w:jc w:val="right"/>
              <w:spacing w:after="0" w:line="203" w:lineRule="exact"/>
              <w:rPr>
                <w:sz w:val="20"/>
                <w:szCs w:val="20"/>
                <w:color w:val="auto"/>
              </w:rPr>
            </w:pPr>
            <w:r>
              <w:rPr>
                <w:rFonts w:ascii="Arial" w:cs="Arial" w:eastAsia="Arial" w:hAnsi="Arial"/>
                <w:sz w:val="20"/>
                <w:szCs w:val="20"/>
                <w:color w:val="231F20"/>
              </w:rPr>
              <w:t>Net income attributable to Fortune Brands</w:t>
            </w:r>
            <w:r>
              <w:rPr>
                <w:rFonts w:ascii="Times New Roman" w:cs="Times New Roman" w:eastAsia="Times New Roman" w:hAnsi="Times New Roman"/>
                <w:sz w:val="20"/>
                <w:szCs w:val="20"/>
                <w:color w:val="231F20"/>
              </w:rPr>
              <w:t>...........................................</w:t>
            </w:r>
          </w:p>
        </w:tc>
        <w:tc>
          <w:tcPr>
            <w:tcW w:w="360" w:type="dxa"/>
            <w:vAlign w:val="bottom"/>
          </w:tcPr>
          <w:p>
            <w:pPr>
              <w:jc w:val="right"/>
              <w:ind w:right="39"/>
              <w:spacing w:after="0" w:line="204" w:lineRule="exact"/>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141"/>
              <w:spacing w:after="0" w:line="204" w:lineRule="exact"/>
              <w:rPr>
                <w:sz w:val="20"/>
                <w:szCs w:val="20"/>
                <w:color w:val="auto"/>
              </w:rPr>
            </w:pPr>
            <w:r>
              <w:rPr>
                <w:rFonts w:ascii="Arial" w:cs="Arial" w:eastAsia="Arial" w:hAnsi="Arial"/>
                <w:sz w:val="20"/>
                <w:szCs w:val="20"/>
                <w:color w:val="231F20"/>
              </w:rPr>
              <w:t>404.5</w:t>
            </w:r>
          </w:p>
        </w:tc>
        <w:tc>
          <w:tcPr>
            <w:tcW w:w="360" w:type="dxa"/>
            <w:vAlign w:val="bottom"/>
          </w:tcPr>
          <w:p>
            <w:pPr>
              <w:jc w:val="right"/>
              <w:ind w:right="39"/>
              <w:spacing w:after="0" w:line="204"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21"/>
              <w:spacing w:after="0" w:line="204" w:lineRule="exact"/>
              <w:rPr>
                <w:sz w:val="20"/>
                <w:szCs w:val="20"/>
                <w:color w:val="auto"/>
              </w:rPr>
            </w:pPr>
            <w:r>
              <w:rPr>
                <w:rFonts w:ascii="Arial" w:cs="Arial" w:eastAsia="Arial" w:hAnsi="Arial"/>
                <w:sz w:val="20"/>
                <w:szCs w:val="20"/>
                <w:color w:val="231F20"/>
              </w:rPr>
              <w:t>686.7</w:t>
            </w:r>
          </w:p>
        </w:tc>
        <w:tc>
          <w:tcPr>
            <w:tcW w:w="380" w:type="dxa"/>
            <w:vAlign w:val="bottom"/>
          </w:tcPr>
          <w:p>
            <w:pPr>
              <w:jc w:val="right"/>
              <w:ind w:right="59"/>
              <w:spacing w:after="0" w:line="204" w:lineRule="exact"/>
              <w:rPr>
                <w:sz w:val="20"/>
                <w:szCs w:val="20"/>
                <w:color w:val="auto"/>
              </w:rPr>
            </w:pPr>
            <w:r>
              <w:rPr>
                <w:rFonts w:ascii="Arial" w:cs="Arial" w:eastAsia="Arial" w:hAnsi="Arial"/>
                <w:sz w:val="20"/>
                <w:szCs w:val="20"/>
                <w:color w:val="231F20"/>
              </w:rPr>
              <w:t>$</w:t>
            </w:r>
          </w:p>
        </w:tc>
        <w:tc>
          <w:tcPr>
            <w:tcW w:w="780" w:type="dxa"/>
            <w:vAlign w:val="bottom"/>
          </w:tcPr>
          <w:p>
            <w:pPr>
              <w:jc w:val="right"/>
              <w:ind w:right="1"/>
              <w:spacing w:after="0" w:line="204" w:lineRule="exact"/>
              <w:rPr>
                <w:sz w:val="20"/>
                <w:szCs w:val="20"/>
                <w:color w:val="auto"/>
              </w:rPr>
            </w:pPr>
            <w:r>
              <w:rPr>
                <w:rFonts w:ascii="Arial" w:cs="Arial" w:eastAsia="Arial" w:hAnsi="Arial"/>
                <w:sz w:val="20"/>
                <w:szCs w:val="20"/>
                <w:color w:val="231F20"/>
              </w:rPr>
              <w:t>772.4</w:t>
            </w:r>
          </w:p>
        </w:tc>
      </w:tr>
      <w:tr>
        <w:trPr>
          <w:trHeight w:val="233"/>
        </w:trPr>
        <w:tc>
          <w:tcPr>
            <w:tcW w:w="596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Earnings per common share</w:t>
            </w:r>
          </w:p>
        </w:tc>
        <w:tc>
          <w:tcPr>
            <w:tcW w:w="360" w:type="dxa"/>
            <w:vAlign w:val="bottom"/>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1"/>
        </w:trPr>
        <w:tc>
          <w:tcPr>
            <w:tcW w:w="20" w:type="dxa"/>
            <w:vAlign w:val="bottom"/>
          </w:tcPr>
          <w:p>
            <w:pPr>
              <w:spacing w:after="0"/>
              <w:rPr>
                <w:sz w:val="20"/>
                <w:szCs w:val="20"/>
                <w:color w:val="auto"/>
              </w:rPr>
            </w:pPr>
          </w:p>
        </w:tc>
        <w:tc>
          <w:tcPr>
            <w:tcW w:w="5940" w:type="dxa"/>
            <w:vAlign w:val="bottom"/>
            <w:tcBorders>
              <w:right w:val="single" w:sz="8" w:color="231F20"/>
            </w:tcBorders>
          </w:tcPr>
          <w:p>
            <w:pPr>
              <w:ind w:left="120"/>
              <w:spacing w:after="0"/>
              <w:rPr>
                <w:sz w:val="20"/>
                <w:szCs w:val="20"/>
                <w:color w:val="auto"/>
              </w:rPr>
            </w:pPr>
            <w:r>
              <w:rPr>
                <w:rFonts w:ascii="Arial" w:cs="Arial" w:eastAsia="Arial" w:hAnsi="Arial"/>
                <w:sz w:val="20"/>
                <w:szCs w:val="20"/>
                <w:color w:val="231F20"/>
              </w:rPr>
              <w:t>Basic</w:t>
            </w:r>
          </w:p>
        </w:tc>
        <w:tc>
          <w:tcPr>
            <w:tcW w:w="360" w:type="dxa"/>
            <w:vAlign w:val="bottom"/>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594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Continuing operations</w:t>
            </w:r>
            <w:r>
              <w:rPr>
                <w:rFonts w:ascii="Times New Roman" w:cs="Times New Roman" w:eastAsia="Times New Roman" w:hAnsi="Times New Roman"/>
                <w:sz w:val="20"/>
                <w:szCs w:val="20"/>
                <w:color w:val="231F20"/>
              </w:rPr>
              <w:t>.........................................................................</w:t>
            </w:r>
          </w:p>
        </w:tc>
        <w:tc>
          <w:tcPr>
            <w:tcW w:w="360" w:type="dxa"/>
            <w:vAlign w:val="bottom"/>
          </w:tcPr>
          <w:p>
            <w:pPr>
              <w:jc w:val="right"/>
              <w:ind w:right="39"/>
              <w:spacing w:after="0"/>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141"/>
              <w:spacing w:after="0"/>
              <w:rPr>
                <w:sz w:val="20"/>
                <w:szCs w:val="20"/>
                <w:color w:val="auto"/>
              </w:rPr>
            </w:pPr>
            <w:r>
              <w:rPr>
                <w:rFonts w:ascii="Arial" w:cs="Arial" w:eastAsia="Arial" w:hAnsi="Arial"/>
                <w:sz w:val="20"/>
                <w:szCs w:val="20"/>
                <w:color w:val="231F20"/>
              </w:rPr>
              <w:t>3.20</w:t>
            </w:r>
          </w:p>
        </w:tc>
        <w:tc>
          <w:tcPr>
            <w:tcW w:w="360" w:type="dxa"/>
            <w:vAlign w:val="bottom"/>
          </w:tcPr>
          <w:p>
            <w:pPr>
              <w:jc w:val="right"/>
              <w:ind w:right="39"/>
              <w:spacing w:after="0"/>
              <w:rPr>
                <w:sz w:val="20"/>
                <w:szCs w:val="20"/>
                <w:color w:val="auto"/>
              </w:rPr>
            </w:pPr>
            <w:r>
              <w:rPr>
                <w:rFonts w:ascii="Arial" w:cs="Arial" w:eastAsia="Arial" w:hAnsi="Arial"/>
                <w:sz w:val="20"/>
                <w:szCs w:val="20"/>
                <w:color w:val="231F20"/>
              </w:rPr>
              <w:t>$</w:t>
            </w:r>
          </w:p>
        </w:tc>
        <w:tc>
          <w:tcPr>
            <w:tcW w:w="740" w:type="dxa"/>
            <w:vAlign w:val="bottom"/>
          </w:tcPr>
          <w:p>
            <w:pPr>
              <w:jc w:val="right"/>
              <w:ind w:right="21"/>
              <w:spacing w:after="0"/>
              <w:rPr>
                <w:sz w:val="20"/>
                <w:szCs w:val="20"/>
                <w:color w:val="auto"/>
              </w:rPr>
            </w:pPr>
            <w:r>
              <w:rPr>
                <w:rFonts w:ascii="Arial" w:cs="Arial" w:eastAsia="Arial" w:hAnsi="Arial"/>
                <w:sz w:val="20"/>
                <w:szCs w:val="20"/>
                <w:color w:val="231F20"/>
              </w:rPr>
              <w:t>4.14</w:t>
            </w:r>
          </w:p>
        </w:tc>
        <w:tc>
          <w:tcPr>
            <w:tcW w:w="380" w:type="dxa"/>
            <w:vAlign w:val="bottom"/>
          </w:tcPr>
          <w:p>
            <w:pPr>
              <w:jc w:val="right"/>
              <w:ind w:right="59"/>
              <w:spacing w:after="0"/>
              <w:rPr>
                <w:sz w:val="20"/>
                <w:szCs w:val="20"/>
                <w:color w:val="auto"/>
              </w:rPr>
            </w:pPr>
            <w:r>
              <w:rPr>
                <w:rFonts w:ascii="Arial" w:cs="Arial" w:eastAsia="Arial" w:hAnsi="Arial"/>
                <w:sz w:val="20"/>
                <w:szCs w:val="20"/>
                <w:color w:val="231F20"/>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231F20"/>
              </w:rPr>
              <w:t>4.07</w:t>
            </w:r>
          </w:p>
        </w:tc>
      </w:tr>
      <w:tr>
        <w:trPr>
          <w:trHeight w:val="253"/>
        </w:trPr>
        <w:tc>
          <w:tcPr>
            <w:tcW w:w="20" w:type="dxa"/>
            <w:vAlign w:val="bottom"/>
          </w:tcPr>
          <w:p>
            <w:pPr>
              <w:spacing w:after="0"/>
              <w:rPr>
                <w:sz w:val="22"/>
                <w:szCs w:val="22"/>
                <w:color w:val="auto"/>
              </w:rPr>
            </w:pPr>
          </w:p>
        </w:tc>
        <w:tc>
          <w:tcPr>
            <w:tcW w:w="594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Discontinued operations</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right"/>
              <w:ind w:right="61"/>
              <w:spacing w:after="0"/>
              <w:rPr>
                <w:sz w:val="20"/>
                <w:szCs w:val="20"/>
                <w:color w:val="auto"/>
              </w:rPr>
            </w:pPr>
            <w:r>
              <w:rPr>
                <w:rFonts w:ascii="Arial" w:cs="Arial" w:eastAsia="Arial" w:hAnsi="Arial"/>
                <w:sz w:val="20"/>
                <w:szCs w:val="20"/>
                <w:color w:val="231F20"/>
              </w:rPr>
              <w:t>(0.01)</w:t>
            </w:r>
          </w:p>
        </w:tc>
        <w:tc>
          <w:tcPr>
            <w:tcW w:w="360" w:type="dxa"/>
            <w:vAlign w:val="bottom"/>
            <w:tcBorders>
              <w:bottom w:val="single" w:sz="8" w:color="231F20"/>
            </w:tcBorders>
          </w:tcPr>
          <w:p>
            <w:pPr>
              <w:spacing w:after="0"/>
              <w:rPr>
                <w:sz w:val="22"/>
                <w:szCs w:val="22"/>
                <w:color w:val="auto"/>
              </w:rPr>
            </w:pPr>
          </w:p>
        </w:tc>
        <w:tc>
          <w:tcPr>
            <w:tcW w:w="740" w:type="dxa"/>
            <w:vAlign w:val="bottom"/>
            <w:tcBorders>
              <w:bottom w:val="single" w:sz="8" w:color="231F20"/>
            </w:tcBorders>
          </w:tcPr>
          <w:p>
            <w:pPr>
              <w:jc w:val="right"/>
              <w:ind w:right="21"/>
              <w:spacing w:after="0"/>
              <w:rPr>
                <w:sz w:val="20"/>
                <w:szCs w:val="20"/>
                <w:color w:val="auto"/>
              </w:rPr>
            </w:pPr>
            <w:r>
              <w:rPr>
                <w:rFonts w:ascii="Arial" w:cs="Arial" w:eastAsia="Arial" w:hAnsi="Arial"/>
                <w:sz w:val="20"/>
                <w:szCs w:val="20"/>
                <w:color w:val="231F20"/>
              </w:rPr>
              <w:t>1.13</w:t>
            </w:r>
          </w:p>
        </w:tc>
        <w:tc>
          <w:tcPr>
            <w:tcW w:w="38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1.55</w:t>
            </w:r>
          </w:p>
        </w:tc>
      </w:tr>
      <w:tr>
        <w:trPr>
          <w:trHeight w:val="203"/>
        </w:trPr>
        <w:tc>
          <w:tcPr>
            <w:tcW w:w="20" w:type="dxa"/>
            <w:vAlign w:val="bottom"/>
          </w:tcPr>
          <w:p>
            <w:pPr>
              <w:spacing w:after="0"/>
              <w:rPr>
                <w:sz w:val="17"/>
                <w:szCs w:val="17"/>
                <w:color w:val="auto"/>
              </w:rPr>
            </w:pPr>
          </w:p>
        </w:tc>
        <w:tc>
          <w:tcPr>
            <w:tcW w:w="5940" w:type="dxa"/>
            <w:vAlign w:val="bottom"/>
            <w:tcBorders>
              <w:right w:val="single" w:sz="8" w:color="231F20"/>
            </w:tcBorders>
          </w:tcPr>
          <w:p>
            <w:pPr>
              <w:jc w:val="right"/>
              <w:spacing w:after="0" w:line="203" w:lineRule="exact"/>
              <w:rPr>
                <w:sz w:val="20"/>
                <w:szCs w:val="20"/>
                <w:color w:val="auto"/>
              </w:rPr>
            </w:pPr>
            <w:r>
              <w:rPr>
                <w:rFonts w:ascii="Arial" w:cs="Arial" w:eastAsia="Arial" w:hAnsi="Arial"/>
                <w:sz w:val="20"/>
                <w:szCs w:val="20"/>
                <w:color w:val="231F20"/>
              </w:rPr>
              <w:t>Basic earnings per share attributable to Fortune Brands</w:t>
            </w:r>
            <w:r>
              <w:rPr>
                <w:rFonts w:ascii="Times New Roman" w:cs="Times New Roman" w:eastAsia="Times New Roman" w:hAnsi="Times New Roman"/>
                <w:sz w:val="20"/>
                <w:szCs w:val="20"/>
                <w:color w:val="231F20"/>
              </w:rPr>
              <w:t>...................</w:t>
            </w:r>
          </w:p>
        </w:tc>
        <w:tc>
          <w:tcPr>
            <w:tcW w:w="360" w:type="dxa"/>
            <w:vAlign w:val="bottom"/>
          </w:tcPr>
          <w:p>
            <w:pPr>
              <w:jc w:val="right"/>
              <w:ind w:right="39"/>
              <w:spacing w:after="0" w:line="204" w:lineRule="exact"/>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141"/>
              <w:spacing w:after="0" w:line="204" w:lineRule="exact"/>
              <w:rPr>
                <w:sz w:val="20"/>
                <w:szCs w:val="20"/>
                <w:color w:val="auto"/>
              </w:rPr>
            </w:pPr>
            <w:r>
              <w:rPr>
                <w:rFonts w:ascii="Arial" w:cs="Arial" w:eastAsia="Arial" w:hAnsi="Arial"/>
                <w:sz w:val="20"/>
                <w:szCs w:val="20"/>
                <w:color w:val="231F20"/>
              </w:rPr>
              <w:t>3.19</w:t>
            </w:r>
          </w:p>
        </w:tc>
        <w:tc>
          <w:tcPr>
            <w:tcW w:w="360" w:type="dxa"/>
            <w:vAlign w:val="bottom"/>
          </w:tcPr>
          <w:p>
            <w:pPr>
              <w:jc w:val="right"/>
              <w:ind w:right="39"/>
              <w:spacing w:after="0" w:line="204"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21"/>
              <w:spacing w:after="0" w:line="204" w:lineRule="exact"/>
              <w:rPr>
                <w:sz w:val="20"/>
                <w:szCs w:val="20"/>
                <w:color w:val="auto"/>
              </w:rPr>
            </w:pPr>
            <w:r>
              <w:rPr>
                <w:rFonts w:ascii="Arial" w:cs="Arial" w:eastAsia="Arial" w:hAnsi="Arial"/>
                <w:sz w:val="20"/>
                <w:szCs w:val="20"/>
                <w:color w:val="231F20"/>
              </w:rPr>
              <w:t>5.27</w:t>
            </w:r>
          </w:p>
        </w:tc>
        <w:tc>
          <w:tcPr>
            <w:tcW w:w="380" w:type="dxa"/>
            <w:vAlign w:val="bottom"/>
          </w:tcPr>
          <w:p>
            <w:pPr>
              <w:jc w:val="right"/>
              <w:ind w:right="59"/>
              <w:spacing w:after="0" w:line="204" w:lineRule="exact"/>
              <w:rPr>
                <w:sz w:val="20"/>
                <w:szCs w:val="20"/>
                <w:color w:val="auto"/>
              </w:rPr>
            </w:pPr>
            <w:r>
              <w:rPr>
                <w:rFonts w:ascii="Arial" w:cs="Arial" w:eastAsia="Arial" w:hAnsi="Arial"/>
                <w:sz w:val="20"/>
                <w:szCs w:val="20"/>
                <w:color w:val="231F20"/>
              </w:rPr>
              <w:t>$</w:t>
            </w:r>
          </w:p>
        </w:tc>
        <w:tc>
          <w:tcPr>
            <w:tcW w:w="780" w:type="dxa"/>
            <w:vAlign w:val="bottom"/>
          </w:tcPr>
          <w:p>
            <w:pPr>
              <w:jc w:val="right"/>
              <w:ind w:right="1"/>
              <w:spacing w:after="0" w:line="204" w:lineRule="exact"/>
              <w:rPr>
                <w:sz w:val="20"/>
                <w:szCs w:val="20"/>
                <w:color w:val="auto"/>
              </w:rPr>
            </w:pPr>
            <w:r>
              <w:rPr>
                <w:rFonts w:ascii="Arial" w:cs="Arial" w:eastAsia="Arial" w:hAnsi="Arial"/>
                <w:sz w:val="20"/>
                <w:szCs w:val="20"/>
                <w:color w:val="231F20"/>
              </w:rPr>
              <w:t>5.62</w:t>
            </w:r>
          </w:p>
        </w:tc>
      </w:tr>
      <w:tr>
        <w:trPr>
          <w:trHeight w:val="231"/>
        </w:trPr>
        <w:tc>
          <w:tcPr>
            <w:tcW w:w="20" w:type="dxa"/>
            <w:vAlign w:val="bottom"/>
          </w:tcPr>
          <w:p>
            <w:pPr>
              <w:spacing w:after="0"/>
              <w:rPr>
                <w:sz w:val="20"/>
                <w:szCs w:val="20"/>
                <w:color w:val="auto"/>
              </w:rPr>
            </w:pPr>
          </w:p>
        </w:tc>
        <w:tc>
          <w:tcPr>
            <w:tcW w:w="5940" w:type="dxa"/>
            <w:vAlign w:val="bottom"/>
            <w:tcBorders>
              <w:right w:val="single" w:sz="8" w:color="231F20"/>
            </w:tcBorders>
          </w:tcPr>
          <w:p>
            <w:pPr>
              <w:ind w:left="120"/>
              <w:spacing w:after="0"/>
              <w:rPr>
                <w:sz w:val="20"/>
                <w:szCs w:val="20"/>
                <w:color w:val="auto"/>
              </w:rPr>
            </w:pPr>
            <w:r>
              <w:rPr>
                <w:rFonts w:ascii="Arial" w:cs="Arial" w:eastAsia="Arial" w:hAnsi="Arial"/>
                <w:sz w:val="20"/>
                <w:szCs w:val="20"/>
                <w:color w:val="231F20"/>
              </w:rPr>
              <w:t>Diluted</w:t>
            </w:r>
          </w:p>
        </w:tc>
        <w:tc>
          <w:tcPr>
            <w:tcW w:w="360" w:type="dxa"/>
            <w:vAlign w:val="bottom"/>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594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Continuing operations</w:t>
            </w:r>
            <w:r>
              <w:rPr>
                <w:rFonts w:ascii="Times New Roman" w:cs="Times New Roman" w:eastAsia="Times New Roman" w:hAnsi="Times New Roman"/>
                <w:sz w:val="20"/>
                <w:szCs w:val="20"/>
                <w:color w:val="231F20"/>
              </w:rPr>
              <w:t>.........................................................................</w:t>
            </w:r>
          </w:p>
        </w:tc>
        <w:tc>
          <w:tcPr>
            <w:tcW w:w="360" w:type="dxa"/>
            <w:vAlign w:val="bottom"/>
          </w:tcPr>
          <w:p>
            <w:pPr>
              <w:jc w:val="right"/>
              <w:ind w:right="39"/>
              <w:spacing w:after="0"/>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141"/>
              <w:spacing w:after="0"/>
              <w:rPr>
                <w:sz w:val="20"/>
                <w:szCs w:val="20"/>
                <w:color w:val="auto"/>
              </w:rPr>
            </w:pPr>
            <w:r>
              <w:rPr>
                <w:rFonts w:ascii="Arial" w:cs="Arial" w:eastAsia="Arial" w:hAnsi="Arial"/>
                <w:sz w:val="20"/>
                <w:szCs w:val="20"/>
                <w:color w:val="231F20"/>
              </w:rPr>
              <w:t>3.17</w:t>
            </w:r>
          </w:p>
        </w:tc>
        <w:tc>
          <w:tcPr>
            <w:tcW w:w="360" w:type="dxa"/>
            <w:vAlign w:val="bottom"/>
          </w:tcPr>
          <w:p>
            <w:pPr>
              <w:jc w:val="right"/>
              <w:ind w:right="39"/>
              <w:spacing w:after="0"/>
              <w:rPr>
                <w:sz w:val="20"/>
                <w:szCs w:val="20"/>
                <w:color w:val="auto"/>
              </w:rPr>
            </w:pPr>
            <w:r>
              <w:rPr>
                <w:rFonts w:ascii="Arial" w:cs="Arial" w:eastAsia="Arial" w:hAnsi="Arial"/>
                <w:sz w:val="20"/>
                <w:szCs w:val="20"/>
                <w:color w:val="231F20"/>
              </w:rPr>
              <w:t>$</w:t>
            </w:r>
          </w:p>
        </w:tc>
        <w:tc>
          <w:tcPr>
            <w:tcW w:w="740" w:type="dxa"/>
            <w:vAlign w:val="bottom"/>
          </w:tcPr>
          <w:p>
            <w:pPr>
              <w:jc w:val="right"/>
              <w:ind w:right="21"/>
              <w:spacing w:after="0"/>
              <w:rPr>
                <w:sz w:val="20"/>
                <w:szCs w:val="20"/>
                <w:color w:val="auto"/>
              </w:rPr>
            </w:pPr>
            <w:r>
              <w:rPr>
                <w:rFonts w:ascii="Arial" w:cs="Arial" w:eastAsia="Arial" w:hAnsi="Arial"/>
                <w:sz w:val="20"/>
                <w:szCs w:val="20"/>
                <w:color w:val="231F20"/>
              </w:rPr>
              <w:t>4.11</w:t>
            </w:r>
          </w:p>
        </w:tc>
        <w:tc>
          <w:tcPr>
            <w:tcW w:w="380" w:type="dxa"/>
            <w:vAlign w:val="bottom"/>
          </w:tcPr>
          <w:p>
            <w:pPr>
              <w:jc w:val="right"/>
              <w:ind w:right="59"/>
              <w:spacing w:after="0"/>
              <w:rPr>
                <w:sz w:val="20"/>
                <w:szCs w:val="20"/>
                <w:color w:val="auto"/>
              </w:rPr>
            </w:pPr>
            <w:r>
              <w:rPr>
                <w:rFonts w:ascii="Arial" w:cs="Arial" w:eastAsia="Arial" w:hAnsi="Arial"/>
                <w:sz w:val="20"/>
                <w:szCs w:val="20"/>
                <w:color w:val="231F20"/>
              </w:rPr>
              <w:t>$</w:t>
            </w:r>
          </w:p>
        </w:tc>
        <w:tc>
          <w:tcPr>
            <w:tcW w:w="780" w:type="dxa"/>
            <w:vAlign w:val="bottom"/>
          </w:tcPr>
          <w:p>
            <w:pPr>
              <w:jc w:val="right"/>
              <w:ind w:right="1"/>
              <w:spacing w:after="0"/>
              <w:rPr>
                <w:sz w:val="20"/>
                <w:szCs w:val="20"/>
                <w:color w:val="auto"/>
              </w:rPr>
            </w:pPr>
            <w:r>
              <w:rPr>
                <w:rFonts w:ascii="Arial" w:cs="Arial" w:eastAsia="Arial" w:hAnsi="Arial"/>
                <w:sz w:val="20"/>
                <w:szCs w:val="20"/>
                <w:color w:val="231F20"/>
              </w:rPr>
              <w:t>4.01</w:t>
            </w:r>
          </w:p>
        </w:tc>
      </w:tr>
      <w:tr>
        <w:trPr>
          <w:trHeight w:val="253"/>
        </w:trPr>
        <w:tc>
          <w:tcPr>
            <w:tcW w:w="20" w:type="dxa"/>
            <w:vAlign w:val="bottom"/>
          </w:tcPr>
          <w:p>
            <w:pPr>
              <w:spacing w:after="0"/>
              <w:rPr>
                <w:sz w:val="22"/>
                <w:szCs w:val="22"/>
                <w:color w:val="auto"/>
              </w:rPr>
            </w:pPr>
          </w:p>
        </w:tc>
        <w:tc>
          <w:tcPr>
            <w:tcW w:w="594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Discontinued operations</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right"/>
              <w:ind w:right="141"/>
              <w:spacing w:after="0"/>
              <w:rPr>
                <w:sz w:val="20"/>
                <w:szCs w:val="20"/>
                <w:color w:val="auto"/>
              </w:rPr>
            </w:pPr>
            <w:r>
              <w:rPr>
                <w:rFonts w:ascii="Arial" w:cs="Arial" w:eastAsia="Arial" w:hAnsi="Arial"/>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740" w:type="dxa"/>
            <w:vAlign w:val="bottom"/>
            <w:tcBorders>
              <w:bottom w:val="single" w:sz="8" w:color="231F20"/>
            </w:tcBorders>
          </w:tcPr>
          <w:p>
            <w:pPr>
              <w:jc w:val="right"/>
              <w:ind w:right="21"/>
              <w:spacing w:after="0"/>
              <w:rPr>
                <w:sz w:val="20"/>
                <w:szCs w:val="20"/>
                <w:color w:val="auto"/>
              </w:rPr>
            </w:pPr>
            <w:r>
              <w:rPr>
                <w:rFonts w:ascii="Arial" w:cs="Arial" w:eastAsia="Arial" w:hAnsi="Arial"/>
                <w:sz w:val="20"/>
                <w:szCs w:val="20"/>
                <w:color w:val="231F20"/>
              </w:rPr>
              <w:t>1.12</w:t>
            </w:r>
          </w:p>
        </w:tc>
        <w:tc>
          <w:tcPr>
            <w:tcW w:w="38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1.53</w:t>
            </w:r>
          </w:p>
        </w:tc>
      </w:tr>
      <w:tr>
        <w:trPr>
          <w:trHeight w:val="202"/>
        </w:trPr>
        <w:tc>
          <w:tcPr>
            <w:tcW w:w="20" w:type="dxa"/>
            <w:vAlign w:val="bottom"/>
          </w:tcPr>
          <w:p>
            <w:pPr>
              <w:spacing w:after="0"/>
              <w:rPr>
                <w:sz w:val="17"/>
                <w:szCs w:val="17"/>
                <w:color w:val="auto"/>
              </w:rPr>
            </w:pPr>
          </w:p>
        </w:tc>
        <w:tc>
          <w:tcPr>
            <w:tcW w:w="594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w w:val="99"/>
              </w:rPr>
              <w:t xml:space="preserve">Diluted earnings per share attributable to Fortune Brands </w:t>
            </w:r>
            <w:r>
              <w:rPr>
                <w:rFonts w:ascii="Times New Roman" w:cs="Times New Roman" w:eastAsia="Times New Roman" w:hAnsi="Times New Roman"/>
                <w:sz w:val="20"/>
                <w:szCs w:val="20"/>
                <w:color w:val="231F20"/>
                <w:w w:val="99"/>
              </w:rPr>
              <w:t>................</w:t>
            </w:r>
          </w:p>
        </w:tc>
        <w:tc>
          <w:tcPr>
            <w:tcW w:w="360" w:type="dxa"/>
            <w:vAlign w:val="bottom"/>
          </w:tcPr>
          <w:p>
            <w:pPr>
              <w:jc w:val="right"/>
              <w:ind w:right="39"/>
              <w:spacing w:after="0" w:line="203" w:lineRule="exact"/>
              <w:rPr>
                <w:sz w:val="20"/>
                <w:szCs w:val="20"/>
                <w:color w:val="auto"/>
              </w:rPr>
            </w:pPr>
            <w:r>
              <w:rPr>
                <w:rFonts w:ascii="Arial" w:cs="Arial" w:eastAsia="Arial" w:hAnsi="Arial"/>
                <w:sz w:val="20"/>
                <w:szCs w:val="20"/>
                <w:color w:val="231F20"/>
              </w:rPr>
              <w:t>$</w:t>
            </w:r>
          </w:p>
        </w:tc>
        <w:tc>
          <w:tcPr>
            <w:tcW w:w="860" w:type="dxa"/>
            <w:vAlign w:val="bottom"/>
            <w:tcBorders>
              <w:right w:val="single" w:sz="8" w:color="231F20"/>
            </w:tcBorders>
          </w:tcPr>
          <w:p>
            <w:pPr>
              <w:jc w:val="right"/>
              <w:ind w:right="141"/>
              <w:spacing w:after="0" w:line="203" w:lineRule="exact"/>
              <w:rPr>
                <w:sz w:val="20"/>
                <w:szCs w:val="20"/>
                <w:color w:val="auto"/>
              </w:rPr>
            </w:pPr>
            <w:r>
              <w:rPr>
                <w:rFonts w:ascii="Arial" w:cs="Arial" w:eastAsia="Arial" w:hAnsi="Arial"/>
                <w:sz w:val="20"/>
                <w:szCs w:val="20"/>
                <w:color w:val="231F20"/>
              </w:rPr>
              <w:t>3.17</w:t>
            </w:r>
          </w:p>
        </w:tc>
        <w:tc>
          <w:tcPr>
            <w:tcW w:w="360" w:type="dxa"/>
            <w:vAlign w:val="bottom"/>
          </w:tcPr>
          <w:p>
            <w:pPr>
              <w:jc w:val="right"/>
              <w:ind w:right="39"/>
              <w:spacing w:after="0" w:line="203" w:lineRule="exact"/>
              <w:rPr>
                <w:sz w:val="20"/>
                <w:szCs w:val="20"/>
                <w:color w:val="auto"/>
              </w:rPr>
            </w:pPr>
            <w:r>
              <w:rPr>
                <w:rFonts w:ascii="Arial" w:cs="Arial" w:eastAsia="Arial" w:hAnsi="Arial"/>
                <w:sz w:val="20"/>
                <w:szCs w:val="20"/>
                <w:color w:val="231F20"/>
              </w:rPr>
              <w:t>$</w:t>
            </w:r>
          </w:p>
        </w:tc>
        <w:tc>
          <w:tcPr>
            <w:tcW w:w="740" w:type="dxa"/>
            <w:vAlign w:val="bottom"/>
          </w:tcPr>
          <w:p>
            <w:pPr>
              <w:jc w:val="right"/>
              <w:ind w:right="21"/>
              <w:spacing w:after="0" w:line="203" w:lineRule="exact"/>
              <w:rPr>
                <w:sz w:val="20"/>
                <w:szCs w:val="20"/>
                <w:color w:val="auto"/>
              </w:rPr>
            </w:pPr>
            <w:r>
              <w:rPr>
                <w:rFonts w:ascii="Arial" w:cs="Arial" w:eastAsia="Arial" w:hAnsi="Arial"/>
                <w:sz w:val="20"/>
                <w:szCs w:val="20"/>
                <w:color w:val="231F20"/>
              </w:rPr>
              <w:t>5.23</w:t>
            </w:r>
          </w:p>
        </w:tc>
        <w:tc>
          <w:tcPr>
            <w:tcW w:w="380" w:type="dxa"/>
            <w:vAlign w:val="bottom"/>
          </w:tcPr>
          <w:p>
            <w:pPr>
              <w:jc w:val="right"/>
              <w:ind w:right="59"/>
              <w:spacing w:after="0" w:line="203" w:lineRule="exact"/>
              <w:rPr>
                <w:sz w:val="20"/>
                <w:szCs w:val="20"/>
                <w:color w:val="auto"/>
              </w:rPr>
            </w:pPr>
            <w:r>
              <w:rPr>
                <w:rFonts w:ascii="Arial" w:cs="Arial" w:eastAsia="Arial" w:hAnsi="Arial"/>
                <w:sz w:val="20"/>
                <w:szCs w:val="20"/>
                <w:color w:val="231F20"/>
              </w:rPr>
              <w:t>$</w:t>
            </w:r>
          </w:p>
        </w:tc>
        <w:tc>
          <w:tcPr>
            <w:tcW w:w="780" w:type="dxa"/>
            <w:vAlign w:val="bottom"/>
          </w:tcPr>
          <w:p>
            <w:pPr>
              <w:jc w:val="right"/>
              <w:ind w:right="1"/>
              <w:spacing w:after="0" w:line="203" w:lineRule="exact"/>
              <w:rPr>
                <w:sz w:val="20"/>
                <w:szCs w:val="20"/>
                <w:color w:val="auto"/>
              </w:rPr>
            </w:pPr>
            <w:r>
              <w:rPr>
                <w:rFonts w:ascii="Arial" w:cs="Arial" w:eastAsia="Arial" w:hAnsi="Arial"/>
                <w:sz w:val="20"/>
                <w:szCs w:val="20"/>
                <w:color w:val="231F20"/>
              </w:rPr>
              <w:t>5.54</w:t>
            </w:r>
          </w:p>
        </w:tc>
      </w:tr>
      <w:tr>
        <w:trPr>
          <w:trHeight w:val="233"/>
        </w:trPr>
        <w:tc>
          <w:tcPr>
            <w:tcW w:w="5960" w:type="dxa"/>
            <w:vAlign w:val="bottom"/>
            <w:tcBorders>
              <w:right w:val="single" w:sz="8" w:color="231F20"/>
            </w:tcBorders>
            <w:gridSpan w:val="2"/>
          </w:tcPr>
          <w:p>
            <w:pPr>
              <w:jc w:val="right"/>
              <w:spacing w:after="0" w:line="232" w:lineRule="exact"/>
              <w:rPr>
                <w:sz w:val="20"/>
                <w:szCs w:val="20"/>
                <w:color w:val="auto"/>
              </w:rPr>
            </w:pPr>
            <w:r>
              <w:rPr>
                <w:rFonts w:ascii="Arial" w:cs="Arial" w:eastAsia="Arial" w:hAnsi="Arial"/>
                <w:sz w:val="20"/>
                <w:szCs w:val="20"/>
                <w:color w:val="231F20"/>
                <w:w w:val="99"/>
              </w:rPr>
              <w:t>Basic average shares outstanding</w:t>
            </w:r>
            <w:r>
              <w:rPr>
                <w:rFonts w:ascii="Arial" w:cs="Arial" w:eastAsia="Arial" w:hAnsi="Arial"/>
                <w:sz w:val="26"/>
                <w:szCs w:val="26"/>
                <w:color w:val="231F20"/>
                <w:w w:val="99"/>
                <w:vertAlign w:val="superscript"/>
              </w:rPr>
              <w:t>(a)</w:t>
            </w:r>
            <w:r>
              <w:rPr>
                <w:rFonts w:ascii="Times New Roman" w:cs="Times New Roman" w:eastAsia="Times New Roman" w:hAnsi="Times New Roman"/>
                <w:sz w:val="20"/>
                <w:szCs w:val="20"/>
                <w:color w:val="231F20"/>
                <w:w w:val="99"/>
              </w:rPr>
              <w:t>......................................................</w:t>
            </w:r>
          </w:p>
        </w:tc>
        <w:tc>
          <w:tcPr>
            <w:tcW w:w="360" w:type="dxa"/>
            <w:vAlign w:val="bottom"/>
          </w:tcPr>
          <w:p>
            <w:pPr>
              <w:spacing w:after="0"/>
              <w:rPr>
                <w:sz w:val="20"/>
                <w:szCs w:val="20"/>
                <w:color w:val="auto"/>
              </w:rPr>
            </w:pPr>
          </w:p>
        </w:tc>
        <w:tc>
          <w:tcPr>
            <w:tcW w:w="860" w:type="dxa"/>
            <w:vAlign w:val="bottom"/>
            <w:tcBorders>
              <w:right w:val="single" w:sz="8" w:color="231F20"/>
            </w:tcBorders>
          </w:tcPr>
          <w:p>
            <w:pPr>
              <w:jc w:val="right"/>
              <w:ind w:right="141"/>
              <w:spacing w:after="0"/>
              <w:rPr>
                <w:sz w:val="20"/>
                <w:szCs w:val="20"/>
                <w:color w:val="auto"/>
              </w:rPr>
            </w:pPr>
            <w:r>
              <w:rPr>
                <w:rFonts w:ascii="Arial" w:cs="Arial" w:eastAsia="Arial" w:hAnsi="Arial"/>
                <w:sz w:val="20"/>
                <w:szCs w:val="20"/>
                <w:color w:val="231F20"/>
              </w:rPr>
              <w:t>126.9</w:t>
            </w:r>
          </w:p>
        </w:tc>
        <w:tc>
          <w:tcPr>
            <w:tcW w:w="3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20"/>
                <w:szCs w:val="20"/>
                <w:color w:val="231F20"/>
              </w:rPr>
              <w:t>130.3</w:t>
            </w:r>
          </w:p>
        </w:tc>
        <w:tc>
          <w:tcPr>
            <w:tcW w:w="38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20"/>
                <w:szCs w:val="20"/>
                <w:color w:val="231F20"/>
              </w:rPr>
              <w:t>137.5</w:t>
            </w:r>
          </w:p>
        </w:tc>
      </w:tr>
      <w:tr>
        <w:trPr>
          <w:trHeight w:val="253"/>
        </w:trPr>
        <w:tc>
          <w:tcPr>
            <w:tcW w:w="20" w:type="dxa"/>
            <w:vAlign w:val="bottom"/>
          </w:tcPr>
          <w:p>
            <w:pPr>
              <w:spacing w:after="0"/>
              <w:rPr>
                <w:sz w:val="22"/>
                <w:szCs w:val="22"/>
                <w:color w:val="auto"/>
              </w:rPr>
            </w:pPr>
          </w:p>
        </w:tc>
        <w:tc>
          <w:tcPr>
            <w:tcW w:w="594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Stock-based awards</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right w:val="single" w:sz="8" w:color="231F20"/>
            </w:tcBorders>
          </w:tcPr>
          <w:p>
            <w:pPr>
              <w:jc w:val="right"/>
              <w:ind w:right="141"/>
              <w:spacing w:after="0"/>
              <w:rPr>
                <w:sz w:val="20"/>
                <w:szCs w:val="20"/>
                <w:color w:val="auto"/>
              </w:rPr>
            </w:pPr>
            <w:r>
              <w:rPr>
                <w:rFonts w:ascii="Arial" w:cs="Arial" w:eastAsia="Arial" w:hAnsi="Arial"/>
                <w:sz w:val="20"/>
                <w:szCs w:val="20"/>
                <w:color w:val="231F20"/>
              </w:rPr>
              <w:t>0.8</w:t>
            </w:r>
          </w:p>
        </w:tc>
        <w:tc>
          <w:tcPr>
            <w:tcW w:w="360" w:type="dxa"/>
            <w:vAlign w:val="bottom"/>
            <w:tcBorders>
              <w:bottom w:val="single" w:sz="8" w:color="231F20"/>
            </w:tcBorders>
          </w:tcPr>
          <w:p>
            <w:pPr>
              <w:spacing w:after="0"/>
              <w:rPr>
                <w:sz w:val="22"/>
                <w:szCs w:val="22"/>
                <w:color w:val="auto"/>
              </w:rPr>
            </w:pPr>
          </w:p>
        </w:tc>
        <w:tc>
          <w:tcPr>
            <w:tcW w:w="740" w:type="dxa"/>
            <w:vAlign w:val="bottom"/>
            <w:tcBorders>
              <w:bottom w:val="single" w:sz="8" w:color="231F20"/>
            </w:tcBorders>
          </w:tcPr>
          <w:p>
            <w:pPr>
              <w:jc w:val="right"/>
              <w:ind w:right="21"/>
              <w:spacing w:after="0"/>
              <w:rPr>
                <w:sz w:val="20"/>
                <w:szCs w:val="20"/>
                <w:color w:val="auto"/>
              </w:rPr>
            </w:pPr>
            <w:r>
              <w:rPr>
                <w:rFonts w:ascii="Arial" w:cs="Arial" w:eastAsia="Arial" w:hAnsi="Arial"/>
                <w:sz w:val="20"/>
                <w:szCs w:val="20"/>
                <w:color w:val="231F20"/>
              </w:rPr>
              <w:t>1.0</w:t>
            </w:r>
          </w:p>
        </w:tc>
        <w:tc>
          <w:tcPr>
            <w:tcW w:w="38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2.0</w:t>
            </w:r>
          </w:p>
        </w:tc>
      </w:tr>
      <w:tr>
        <w:trPr>
          <w:trHeight w:val="203"/>
        </w:trPr>
        <w:tc>
          <w:tcPr>
            <w:tcW w:w="20" w:type="dxa"/>
            <w:vAlign w:val="bottom"/>
          </w:tcPr>
          <w:p>
            <w:pPr>
              <w:spacing w:after="0"/>
              <w:rPr>
                <w:sz w:val="17"/>
                <w:szCs w:val="17"/>
                <w:color w:val="auto"/>
              </w:rPr>
            </w:pPr>
          </w:p>
        </w:tc>
        <w:tc>
          <w:tcPr>
            <w:tcW w:w="5940" w:type="dxa"/>
            <w:vAlign w:val="bottom"/>
            <w:tcBorders>
              <w:right w:val="single" w:sz="8" w:color="231F20"/>
            </w:tcBorders>
          </w:tcPr>
          <w:p>
            <w:pPr>
              <w:jc w:val="right"/>
              <w:spacing w:after="0" w:line="203" w:lineRule="exact"/>
              <w:rPr>
                <w:sz w:val="20"/>
                <w:szCs w:val="20"/>
                <w:color w:val="auto"/>
              </w:rPr>
            </w:pPr>
            <w:r>
              <w:rPr>
                <w:rFonts w:ascii="Arial" w:cs="Arial" w:eastAsia="Arial" w:hAnsi="Arial"/>
                <w:sz w:val="18"/>
                <w:szCs w:val="18"/>
                <w:color w:val="231F20"/>
              </w:rPr>
              <w:t>Diluted average shares outstanding</w:t>
            </w:r>
            <w:r>
              <w:rPr>
                <w:rFonts w:ascii="Arial" w:cs="Arial" w:eastAsia="Arial" w:hAnsi="Arial"/>
                <w:sz w:val="23"/>
                <w:szCs w:val="23"/>
                <w:color w:val="231F20"/>
                <w:vertAlign w:val="superscript"/>
              </w:rPr>
              <w:t>(a)</w:t>
            </w:r>
            <w:r>
              <w:rPr>
                <w:rFonts w:ascii="Arial" w:cs="Arial" w:eastAsia="Arial" w:hAnsi="Arial"/>
                <w:sz w:val="18"/>
                <w:szCs w:val="18"/>
                <w:color w:val="231F20"/>
              </w:rPr>
              <w:t xml:space="preserve"> </w:t>
            </w:r>
            <w:r>
              <w:rPr>
                <w:rFonts w:ascii="Times New Roman" w:cs="Times New Roman" w:eastAsia="Times New Roman" w:hAnsi="Times New Roman"/>
                <w:sz w:val="18"/>
                <w:szCs w:val="18"/>
                <w:color w:val="231F20"/>
              </w:rPr>
              <w:t>...................................................</w:t>
            </w:r>
          </w:p>
        </w:tc>
        <w:tc>
          <w:tcPr>
            <w:tcW w:w="360" w:type="dxa"/>
            <w:vAlign w:val="bottom"/>
          </w:tcPr>
          <w:p>
            <w:pPr>
              <w:spacing w:after="0"/>
              <w:rPr>
                <w:sz w:val="17"/>
                <w:szCs w:val="17"/>
                <w:color w:val="auto"/>
              </w:rPr>
            </w:pPr>
          </w:p>
        </w:tc>
        <w:tc>
          <w:tcPr>
            <w:tcW w:w="860" w:type="dxa"/>
            <w:vAlign w:val="bottom"/>
            <w:tcBorders>
              <w:right w:val="single" w:sz="8" w:color="231F20"/>
            </w:tcBorders>
          </w:tcPr>
          <w:p>
            <w:pPr>
              <w:jc w:val="right"/>
              <w:ind w:right="141"/>
              <w:spacing w:after="0" w:line="204" w:lineRule="exact"/>
              <w:rPr>
                <w:sz w:val="20"/>
                <w:szCs w:val="20"/>
                <w:color w:val="auto"/>
              </w:rPr>
            </w:pPr>
            <w:r>
              <w:rPr>
                <w:rFonts w:ascii="Arial" w:cs="Arial" w:eastAsia="Arial" w:hAnsi="Arial"/>
                <w:sz w:val="20"/>
                <w:szCs w:val="20"/>
                <w:color w:val="231F20"/>
              </w:rPr>
              <w:t>127.7</w:t>
            </w:r>
          </w:p>
        </w:tc>
        <w:tc>
          <w:tcPr>
            <w:tcW w:w="360" w:type="dxa"/>
            <w:vAlign w:val="bottom"/>
          </w:tcPr>
          <w:p>
            <w:pPr>
              <w:spacing w:after="0"/>
              <w:rPr>
                <w:sz w:val="17"/>
                <w:szCs w:val="17"/>
                <w:color w:val="auto"/>
              </w:rPr>
            </w:pPr>
          </w:p>
        </w:tc>
        <w:tc>
          <w:tcPr>
            <w:tcW w:w="740" w:type="dxa"/>
            <w:vAlign w:val="bottom"/>
          </w:tcPr>
          <w:p>
            <w:pPr>
              <w:jc w:val="right"/>
              <w:ind w:right="21"/>
              <w:spacing w:after="0" w:line="204" w:lineRule="exact"/>
              <w:rPr>
                <w:sz w:val="20"/>
                <w:szCs w:val="20"/>
                <w:color w:val="auto"/>
              </w:rPr>
            </w:pPr>
            <w:r>
              <w:rPr>
                <w:rFonts w:ascii="Arial" w:cs="Arial" w:eastAsia="Arial" w:hAnsi="Arial"/>
                <w:sz w:val="20"/>
                <w:szCs w:val="20"/>
                <w:color w:val="231F20"/>
              </w:rPr>
              <w:t>131.3</w:t>
            </w:r>
          </w:p>
        </w:tc>
        <w:tc>
          <w:tcPr>
            <w:tcW w:w="380" w:type="dxa"/>
            <w:vAlign w:val="bottom"/>
          </w:tcPr>
          <w:p>
            <w:pPr>
              <w:spacing w:after="0"/>
              <w:rPr>
                <w:sz w:val="17"/>
                <w:szCs w:val="17"/>
                <w:color w:val="auto"/>
              </w:rPr>
            </w:pPr>
          </w:p>
        </w:tc>
        <w:tc>
          <w:tcPr>
            <w:tcW w:w="780" w:type="dxa"/>
            <w:vAlign w:val="bottom"/>
          </w:tcPr>
          <w:p>
            <w:pPr>
              <w:jc w:val="right"/>
              <w:ind w:right="1"/>
              <w:spacing w:after="0" w:line="204" w:lineRule="exact"/>
              <w:rPr>
                <w:sz w:val="20"/>
                <w:szCs w:val="20"/>
                <w:color w:val="auto"/>
              </w:rPr>
            </w:pPr>
            <w:r>
              <w:rPr>
                <w:rFonts w:ascii="Arial" w:cs="Arial" w:eastAsia="Arial" w:hAnsi="Arial"/>
                <w:sz w:val="20"/>
                <w:szCs w:val="20"/>
                <w:color w:val="231F20"/>
              </w:rPr>
              <w:t>139.5</w:t>
            </w:r>
          </w:p>
        </w:tc>
      </w:tr>
      <w:tr>
        <w:trPr>
          <w:trHeight w:val="231"/>
        </w:trPr>
        <w:tc>
          <w:tcPr>
            <w:tcW w:w="5960" w:type="dxa"/>
            <w:vAlign w:val="bottom"/>
            <w:tcBorders>
              <w:right w:val="single" w:sz="8" w:color="231F20"/>
            </w:tcBorders>
            <w:gridSpan w:val="2"/>
          </w:tcPr>
          <w:p>
            <w:pPr>
              <w:spacing w:after="0"/>
              <w:rPr>
                <w:sz w:val="20"/>
                <w:szCs w:val="20"/>
                <w:color w:val="auto"/>
              </w:rPr>
            </w:pPr>
            <w:r>
              <w:rPr>
                <w:rFonts w:ascii="Arial" w:cs="Arial" w:eastAsia="Arial" w:hAnsi="Arial"/>
                <w:sz w:val="20"/>
                <w:szCs w:val="20"/>
                <w:color w:val="231F20"/>
              </w:rPr>
              <w:t>Antidilutive stock-based awards excluded from weighted-average</w:t>
            </w:r>
          </w:p>
        </w:tc>
        <w:tc>
          <w:tcPr>
            <w:tcW w:w="360" w:type="dxa"/>
            <w:vAlign w:val="bottom"/>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9"/>
        </w:trPr>
        <w:tc>
          <w:tcPr>
            <w:tcW w:w="20" w:type="dxa"/>
            <w:vAlign w:val="bottom"/>
          </w:tcPr>
          <w:p>
            <w:pPr>
              <w:spacing w:after="0"/>
              <w:rPr>
                <w:sz w:val="24"/>
                <w:szCs w:val="24"/>
                <w:color w:val="auto"/>
              </w:rPr>
            </w:pPr>
          </w:p>
        </w:tc>
        <w:tc>
          <w:tcPr>
            <w:tcW w:w="594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number of shares outstanding for diluted earnings per share</w:t>
            </w:r>
            <w:r>
              <w:rPr>
                <w:rFonts w:ascii="Times New Roman" w:cs="Times New Roman" w:eastAsia="Times New Roman" w:hAnsi="Times New Roman"/>
                <w:sz w:val="20"/>
                <w:szCs w:val="20"/>
                <w:color w:val="231F20"/>
              </w:rPr>
              <w:t>........</w:t>
            </w:r>
          </w:p>
        </w:tc>
        <w:tc>
          <w:tcPr>
            <w:tcW w:w="36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right w:val="single" w:sz="8" w:color="231F20"/>
            </w:tcBorders>
          </w:tcPr>
          <w:p>
            <w:pPr>
              <w:jc w:val="right"/>
              <w:ind w:right="141"/>
              <w:spacing w:after="0"/>
              <w:rPr>
                <w:sz w:val="20"/>
                <w:szCs w:val="20"/>
                <w:color w:val="auto"/>
              </w:rPr>
            </w:pPr>
            <w:r>
              <w:rPr>
                <w:rFonts w:ascii="Arial" w:cs="Arial" w:eastAsia="Arial" w:hAnsi="Arial"/>
                <w:sz w:val="20"/>
                <w:szCs w:val="20"/>
                <w:color w:val="231F20"/>
              </w:rPr>
              <w:t>0.9</w:t>
            </w:r>
          </w:p>
        </w:tc>
        <w:tc>
          <w:tcPr>
            <w:tcW w:w="36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ind w:right="21"/>
              <w:spacing w:after="0"/>
              <w:rPr>
                <w:sz w:val="20"/>
                <w:szCs w:val="20"/>
                <w:color w:val="auto"/>
              </w:rPr>
            </w:pPr>
            <w:r>
              <w:rPr>
                <w:rFonts w:ascii="Arial" w:cs="Arial" w:eastAsia="Arial" w:hAnsi="Arial"/>
                <w:sz w:val="20"/>
                <w:szCs w:val="20"/>
                <w:color w:val="231F20"/>
              </w:rPr>
              <w:t>1.3</w:t>
            </w:r>
          </w:p>
        </w:tc>
        <w:tc>
          <w:tcPr>
            <w:tcW w:w="38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ind w:right="1"/>
              <w:spacing w:after="0"/>
              <w:rPr>
                <w:sz w:val="20"/>
                <w:szCs w:val="20"/>
                <w:color w:val="auto"/>
              </w:rPr>
            </w:pPr>
            <w:r>
              <w:rPr>
                <w:rFonts w:ascii="Arial" w:cs="Arial" w:eastAsia="Arial" w:hAnsi="Arial"/>
                <w:sz w:val="20"/>
                <w:szCs w:val="20"/>
                <w:color w:val="231F20"/>
              </w:rPr>
              <w:t>0.3</w:t>
            </w:r>
          </w:p>
        </w:tc>
      </w:tr>
    </w:tbl>
    <w:p>
      <w:pPr>
        <w:ind w:left="320" w:right="460" w:hanging="314"/>
        <w:spacing w:after="0" w:line="268" w:lineRule="auto"/>
        <w:tabs>
          <w:tab w:leader="none" w:pos="320" w:val="left"/>
        </w:tabs>
        <w:numPr>
          <w:ilvl w:val="0"/>
          <w:numId w:val="54"/>
        </w:numPr>
        <w:rPr>
          <w:rFonts w:ascii="Arial" w:cs="Arial" w:eastAsia="Arial" w:hAnsi="Arial"/>
          <w:sz w:val="10"/>
          <w:szCs w:val="10"/>
          <w:i w:val="1"/>
          <w:iCs w:val="1"/>
          <w:color w:val="231F20"/>
        </w:rPr>
      </w:pPr>
      <w:r>
        <w:rPr>
          <w:rFonts w:ascii="Arial" w:cs="Arial" w:eastAsia="Arial" w:hAnsi="Arial"/>
          <w:sz w:val="16"/>
          <w:szCs w:val="16"/>
          <w:i w:val="1"/>
          <w:iCs w:val="1"/>
          <w:color w:val="231F20"/>
        </w:rPr>
        <w:t>Reflects the impact of share repurchases during the years ended December 30, 2023, and December 31, 2022 and 2021, respectively.</w:t>
      </w:r>
    </w:p>
    <w:p>
      <w:pPr>
        <w:spacing w:after="0" w:line="120" w:lineRule="exact"/>
        <w:rPr>
          <w:sz w:val="20"/>
          <w:szCs w:val="20"/>
          <w:color w:val="auto"/>
        </w:rPr>
      </w:pPr>
    </w:p>
    <w:p>
      <w:pPr>
        <w:ind w:left="520" w:hanging="514"/>
        <w:spacing w:after="0"/>
        <w:tabs>
          <w:tab w:leader="none" w:pos="520" w:val="left"/>
        </w:tabs>
        <w:numPr>
          <w:ilvl w:val="0"/>
          <w:numId w:val="55"/>
        </w:numPr>
        <w:rPr>
          <w:rFonts w:ascii="Arial" w:cs="Arial" w:eastAsia="Arial" w:hAnsi="Arial"/>
          <w:sz w:val="20"/>
          <w:szCs w:val="20"/>
          <w:b w:val="1"/>
          <w:bCs w:val="1"/>
          <w:color w:val="231F20"/>
        </w:rPr>
      </w:pPr>
      <w:r>
        <w:rPr>
          <w:rFonts w:ascii="Arial" w:cs="Arial" w:eastAsia="Arial" w:hAnsi="Arial"/>
          <w:sz w:val="20"/>
          <w:szCs w:val="20"/>
          <w:b w:val="1"/>
          <w:bCs w:val="1"/>
          <w:color w:val="231F20"/>
        </w:rPr>
        <w:t>Other (Income) Expense, Net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231F20"/>
        </w:rPr>
        <w:t>The components of other (income) expense, net, for 2023, 2022 and 2021 were as follows: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240" w:type="dxa"/>
            <w:vAlign w:val="bottom"/>
            <w:tcBorders>
              <w:top w:val="single" w:sz="8" w:color="231F20"/>
              <w:bottom w:val="single" w:sz="8" w:color="231F20"/>
              <w:right w:val="single" w:sz="8" w:color="231F20"/>
            </w:tcBorders>
          </w:tcPr>
          <w:p>
            <w:pPr>
              <w:jc w:val="right"/>
              <w:spacing w:after="0" w:line="184" w:lineRule="exact"/>
              <w:rPr>
                <w:sz w:val="20"/>
                <w:szCs w:val="20"/>
                <w:color w:val="auto"/>
              </w:rPr>
            </w:pPr>
            <w:r>
              <w:rPr>
                <w:rFonts w:ascii="Times New Roman" w:cs="Times New Roman" w:eastAsia="Times New Roman" w:hAnsi="Times New Roman"/>
                <w:sz w:val="20"/>
                <w:szCs w:val="20"/>
                <w:color w:val="231F20"/>
              </w:rPr>
              <w:t>........................................................................................</w:t>
            </w:r>
            <w:r>
              <w:rPr>
                <w:rFonts w:ascii="Arial" w:cs="Arial" w:eastAsia="Arial" w:hAnsi="Arial"/>
                <w:sz w:val="15"/>
                <w:szCs w:val="15"/>
                <w:i w:val="1"/>
                <w:iCs w:val="1"/>
                <w:color w:val="231F20"/>
              </w:rPr>
              <w:t>(Inmillions)</w:t>
            </w:r>
          </w:p>
        </w:tc>
        <w:tc>
          <w:tcPr>
            <w:tcW w:w="520" w:type="dxa"/>
            <w:vAlign w:val="bottom"/>
            <w:tcBorders>
              <w:top w:val="single" w:sz="8" w:color="231F20"/>
              <w:bottom w:val="single" w:sz="8" w:color="231F20"/>
            </w:tcBorders>
          </w:tcPr>
          <w:p>
            <w:pPr>
              <w:spacing w:after="0"/>
              <w:rPr>
                <w:sz w:val="16"/>
                <w:szCs w:val="16"/>
                <w:color w:val="auto"/>
              </w:rPr>
            </w:pPr>
          </w:p>
        </w:tc>
        <w:tc>
          <w:tcPr>
            <w:tcW w:w="980" w:type="dxa"/>
            <w:vAlign w:val="bottom"/>
            <w:tcBorders>
              <w:top w:val="single" w:sz="8" w:color="231F20"/>
              <w:bottom w:val="single" w:sz="8" w:color="231F20"/>
              <w:right w:val="single" w:sz="8" w:color="231F20"/>
            </w:tcBorders>
          </w:tcPr>
          <w:p>
            <w:pPr>
              <w:jc w:val="right"/>
              <w:ind w:right="122"/>
              <w:spacing w:after="0"/>
              <w:rPr>
                <w:sz w:val="20"/>
                <w:szCs w:val="20"/>
                <w:color w:val="auto"/>
              </w:rPr>
            </w:pPr>
            <w:r>
              <w:rPr>
                <w:rFonts w:ascii="Arial" w:cs="Arial" w:eastAsia="Arial" w:hAnsi="Arial"/>
                <w:sz w:val="15"/>
                <w:szCs w:val="15"/>
                <w:i w:val="1"/>
                <w:iCs w:val="1"/>
                <w:color w:val="231F20"/>
              </w:rPr>
              <w:t>2023</w:t>
            </w:r>
          </w:p>
        </w:tc>
        <w:tc>
          <w:tcPr>
            <w:tcW w:w="500" w:type="dxa"/>
            <w:vAlign w:val="bottom"/>
            <w:tcBorders>
              <w:top w:val="single" w:sz="8" w:color="231F20"/>
              <w:bottom w:val="single" w:sz="8" w:color="231F20"/>
            </w:tcBorders>
          </w:tcPr>
          <w:p>
            <w:pPr>
              <w:spacing w:after="0"/>
              <w:rPr>
                <w:sz w:val="16"/>
                <w:szCs w:val="16"/>
                <w:color w:val="auto"/>
              </w:rPr>
            </w:pPr>
          </w:p>
        </w:tc>
        <w:tc>
          <w:tcPr>
            <w:tcW w:w="900" w:type="dxa"/>
            <w:vAlign w:val="bottom"/>
            <w:tcBorders>
              <w:top w:val="single" w:sz="8" w:color="231F20"/>
              <w:bottom w:val="single" w:sz="8" w:color="231F20"/>
            </w:tcBorders>
          </w:tcPr>
          <w:p>
            <w:pPr>
              <w:jc w:val="right"/>
              <w:ind w:right="42"/>
              <w:spacing w:after="0"/>
              <w:rPr>
                <w:sz w:val="20"/>
                <w:szCs w:val="20"/>
                <w:color w:val="auto"/>
              </w:rPr>
            </w:pPr>
            <w:r>
              <w:rPr>
                <w:rFonts w:ascii="Arial" w:cs="Arial" w:eastAsia="Arial" w:hAnsi="Arial"/>
                <w:sz w:val="15"/>
                <w:szCs w:val="15"/>
                <w:color w:val="231F20"/>
              </w:rPr>
              <w:t>2022</w:t>
            </w:r>
          </w:p>
        </w:tc>
        <w:tc>
          <w:tcPr>
            <w:tcW w:w="520" w:type="dxa"/>
            <w:vAlign w:val="bottom"/>
            <w:tcBorders>
              <w:top w:val="single" w:sz="8" w:color="231F20"/>
              <w:bottom w:val="single" w:sz="8" w:color="231F20"/>
            </w:tcBorders>
          </w:tcPr>
          <w:p>
            <w:pPr>
              <w:spacing w:after="0"/>
              <w:rPr>
                <w:sz w:val="16"/>
                <w:szCs w:val="16"/>
                <w:color w:val="auto"/>
              </w:rPr>
            </w:pPr>
          </w:p>
        </w:tc>
        <w:tc>
          <w:tcPr>
            <w:tcW w:w="780" w:type="dxa"/>
            <w:vAlign w:val="bottom"/>
            <w:tcBorders>
              <w:top w:val="single" w:sz="8" w:color="231F20"/>
              <w:bottom w:val="single" w:sz="8" w:color="231F20"/>
            </w:tcBorders>
          </w:tcPr>
          <w:p>
            <w:pPr>
              <w:jc w:val="right"/>
              <w:ind w:right="2"/>
              <w:spacing w:after="0"/>
              <w:rPr>
                <w:sz w:val="20"/>
                <w:szCs w:val="20"/>
                <w:color w:val="auto"/>
              </w:rPr>
            </w:pPr>
            <w:r>
              <w:rPr>
                <w:rFonts w:ascii="Arial" w:cs="Arial" w:eastAsia="Arial" w:hAnsi="Arial"/>
                <w:sz w:val="15"/>
                <w:szCs w:val="15"/>
                <w:color w:val="231F20"/>
              </w:rPr>
              <w:t>2021</w:t>
            </w:r>
          </w:p>
        </w:tc>
      </w:tr>
      <w:tr>
        <w:trPr>
          <w:trHeight w:val="202"/>
        </w:trPr>
        <w:tc>
          <w:tcPr>
            <w:tcW w:w="5240" w:type="dxa"/>
            <w:vAlign w:val="bottom"/>
            <w:tcBorders>
              <w:right w:val="single" w:sz="8" w:color="231F20"/>
            </w:tcBorders>
          </w:tcPr>
          <w:p>
            <w:pPr>
              <w:jc w:val="right"/>
              <w:spacing w:after="0" w:line="202" w:lineRule="exact"/>
              <w:rPr>
                <w:sz w:val="20"/>
                <w:szCs w:val="20"/>
                <w:color w:val="auto"/>
              </w:rPr>
            </w:pPr>
            <w:r>
              <w:rPr>
                <w:rFonts w:ascii="Arial" w:cs="Arial" w:eastAsia="Arial" w:hAnsi="Arial"/>
                <w:sz w:val="20"/>
                <w:szCs w:val="20"/>
                <w:color w:val="231F20"/>
              </w:rPr>
              <w:t xml:space="preserve">Defined benefit plan </w:t>
            </w:r>
            <w:r>
              <w:rPr>
                <w:rFonts w:ascii="Times New Roman" w:cs="Times New Roman" w:eastAsia="Times New Roman" w:hAnsi="Times New Roman"/>
                <w:sz w:val="20"/>
                <w:szCs w:val="20"/>
                <w:color w:val="231F20"/>
              </w:rPr>
              <w:t>...................................................................</w:t>
            </w:r>
          </w:p>
        </w:tc>
        <w:tc>
          <w:tcPr>
            <w:tcW w:w="520" w:type="dxa"/>
            <w:vAlign w:val="bottom"/>
          </w:tcPr>
          <w:p>
            <w:pPr>
              <w:jc w:val="right"/>
              <w:ind w:right="199"/>
              <w:spacing w:after="0" w:line="203" w:lineRule="exact"/>
              <w:rPr>
                <w:sz w:val="20"/>
                <w:szCs w:val="20"/>
                <w:color w:val="auto"/>
              </w:rPr>
            </w:pPr>
            <w:r>
              <w:rPr>
                <w:rFonts w:ascii="Arial" w:cs="Arial" w:eastAsia="Arial" w:hAnsi="Arial"/>
                <w:sz w:val="20"/>
                <w:szCs w:val="20"/>
                <w:color w:val="231F20"/>
              </w:rPr>
              <w:t>$</w:t>
            </w:r>
          </w:p>
        </w:tc>
        <w:tc>
          <w:tcPr>
            <w:tcW w:w="980" w:type="dxa"/>
            <w:vAlign w:val="bottom"/>
            <w:tcBorders>
              <w:right w:val="single" w:sz="8" w:color="231F20"/>
            </w:tcBorders>
          </w:tcPr>
          <w:p>
            <w:pPr>
              <w:jc w:val="right"/>
              <w:ind w:right="62"/>
              <w:spacing w:after="0" w:line="203" w:lineRule="exact"/>
              <w:rPr>
                <w:sz w:val="20"/>
                <w:szCs w:val="20"/>
                <w:color w:val="auto"/>
              </w:rPr>
            </w:pPr>
            <w:r>
              <w:rPr>
                <w:rFonts w:ascii="Arial" w:cs="Arial" w:eastAsia="Arial" w:hAnsi="Arial"/>
                <w:sz w:val="20"/>
                <w:szCs w:val="20"/>
                <w:color w:val="231F20"/>
              </w:rPr>
              <w:t>(1.6)</w:t>
            </w:r>
          </w:p>
        </w:tc>
        <w:tc>
          <w:tcPr>
            <w:tcW w:w="500" w:type="dxa"/>
            <w:vAlign w:val="bottom"/>
          </w:tcPr>
          <w:p>
            <w:pPr>
              <w:jc w:val="right"/>
              <w:ind w:right="179"/>
              <w:spacing w:after="0" w:line="203" w:lineRule="exact"/>
              <w:rPr>
                <w:sz w:val="20"/>
                <w:szCs w:val="20"/>
                <w:color w:val="auto"/>
              </w:rPr>
            </w:pPr>
            <w:r>
              <w:rPr>
                <w:rFonts w:ascii="Arial" w:cs="Arial" w:eastAsia="Arial" w:hAnsi="Arial"/>
                <w:sz w:val="20"/>
                <w:szCs w:val="20"/>
                <w:color w:val="231F20"/>
              </w:rPr>
              <w:t>$</w:t>
            </w:r>
          </w:p>
        </w:tc>
        <w:tc>
          <w:tcPr>
            <w:tcW w:w="900" w:type="dxa"/>
            <w:vAlign w:val="bottom"/>
          </w:tcPr>
          <w:p>
            <w:pPr>
              <w:jc w:val="right"/>
              <w:spacing w:after="0" w:line="203" w:lineRule="exact"/>
              <w:rPr>
                <w:sz w:val="20"/>
                <w:szCs w:val="20"/>
                <w:color w:val="auto"/>
              </w:rPr>
            </w:pPr>
            <w:r>
              <w:rPr>
                <w:rFonts w:ascii="Arial" w:cs="Arial" w:eastAsia="Arial" w:hAnsi="Arial"/>
                <w:sz w:val="20"/>
                <w:szCs w:val="20"/>
                <w:color w:val="231F20"/>
              </w:rPr>
              <w:t>(8.7)</w:t>
            </w:r>
          </w:p>
        </w:tc>
        <w:tc>
          <w:tcPr>
            <w:tcW w:w="520" w:type="dxa"/>
            <w:vAlign w:val="bottom"/>
          </w:tcPr>
          <w:p>
            <w:pPr>
              <w:jc w:val="right"/>
              <w:ind w:right="239"/>
              <w:spacing w:after="0" w:line="203" w:lineRule="exact"/>
              <w:rPr>
                <w:sz w:val="20"/>
                <w:szCs w:val="20"/>
                <w:color w:val="auto"/>
              </w:rPr>
            </w:pPr>
            <w:r>
              <w:rPr>
                <w:rFonts w:ascii="Arial" w:cs="Arial" w:eastAsia="Arial" w:hAnsi="Arial"/>
                <w:sz w:val="20"/>
                <w:szCs w:val="20"/>
                <w:color w:val="231F20"/>
              </w:rPr>
              <w:t>$</w:t>
            </w:r>
          </w:p>
        </w:tc>
        <w:tc>
          <w:tcPr>
            <w:tcW w:w="780" w:type="dxa"/>
            <w:vAlign w:val="bottom"/>
          </w:tcPr>
          <w:p>
            <w:pPr>
              <w:jc w:val="right"/>
              <w:spacing w:after="0" w:line="203" w:lineRule="exact"/>
              <w:rPr>
                <w:sz w:val="20"/>
                <w:szCs w:val="20"/>
                <w:color w:val="auto"/>
              </w:rPr>
            </w:pPr>
            <w:r>
              <w:rPr>
                <w:rFonts w:ascii="Arial" w:cs="Arial" w:eastAsia="Arial" w:hAnsi="Arial"/>
                <w:sz w:val="20"/>
                <w:szCs w:val="20"/>
                <w:color w:val="231F20"/>
              </w:rPr>
              <w:t>(7.1)</w:t>
            </w:r>
          </w:p>
        </w:tc>
      </w:tr>
      <w:tr>
        <w:trPr>
          <w:trHeight w:val="233"/>
        </w:trPr>
        <w:tc>
          <w:tcPr>
            <w:tcW w:w="524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Interest income</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980" w:type="dxa"/>
            <w:vAlign w:val="bottom"/>
            <w:tcBorders>
              <w:right w:val="single" w:sz="8" w:color="231F20"/>
            </w:tcBorders>
          </w:tcPr>
          <w:p>
            <w:pPr>
              <w:jc w:val="right"/>
              <w:ind w:right="62"/>
              <w:spacing w:after="0"/>
              <w:rPr>
                <w:sz w:val="20"/>
                <w:szCs w:val="20"/>
                <w:color w:val="auto"/>
              </w:rPr>
            </w:pPr>
            <w:r>
              <w:rPr>
                <w:rFonts w:ascii="Arial" w:cs="Arial" w:eastAsia="Arial" w:hAnsi="Arial"/>
                <w:sz w:val="20"/>
                <w:szCs w:val="20"/>
                <w:color w:val="231F20"/>
              </w:rPr>
              <w:t>(14.2)</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231F20"/>
              </w:rPr>
              <w:t>(5.8)</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(2.1)</w:t>
            </w:r>
          </w:p>
        </w:tc>
      </w:tr>
      <w:tr>
        <w:trPr>
          <w:trHeight w:val="233"/>
        </w:trPr>
        <w:tc>
          <w:tcPr>
            <w:tcW w:w="524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Foreign currency (gains) losses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980" w:type="dxa"/>
            <w:vAlign w:val="bottom"/>
            <w:tcBorders>
              <w:right w:val="single" w:sz="8" w:color="231F20"/>
            </w:tcBorders>
          </w:tcPr>
          <w:p>
            <w:pPr>
              <w:jc w:val="right"/>
              <w:ind w:right="62"/>
              <w:spacing w:after="0"/>
              <w:rPr>
                <w:sz w:val="20"/>
                <w:szCs w:val="20"/>
                <w:color w:val="auto"/>
              </w:rPr>
            </w:pPr>
            <w:r>
              <w:rPr>
                <w:rFonts w:ascii="Arial" w:cs="Arial" w:eastAsia="Arial" w:hAnsi="Arial"/>
                <w:sz w:val="20"/>
                <w:szCs w:val="20"/>
                <w:color w:val="231F20"/>
              </w:rPr>
              <w:t>(3.4)</w:t>
            </w:r>
          </w:p>
        </w:tc>
        <w:tc>
          <w:tcPr>
            <w:tcW w:w="50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231F20"/>
              </w:rPr>
              <w:t>3.3</w:t>
            </w:r>
          </w:p>
        </w:tc>
        <w:tc>
          <w:tcPr>
            <w:tcW w:w="52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20"/>
                <w:szCs w:val="20"/>
                <w:color w:val="231F20"/>
              </w:rPr>
              <w:t>4.6</w:t>
            </w:r>
          </w:p>
        </w:tc>
      </w:tr>
      <w:tr>
        <w:trPr>
          <w:trHeight w:val="233"/>
        </w:trPr>
        <w:tc>
          <w:tcPr>
            <w:tcW w:w="5240" w:type="dxa"/>
            <w:vAlign w:val="bottom"/>
            <w:tcBorders>
              <w:right w:val="single" w:sz="8" w:color="231F20"/>
            </w:tcBorders>
          </w:tcPr>
          <w:p>
            <w:pPr>
              <w:jc w:val="right"/>
              <w:spacing w:after="0"/>
              <w:rPr>
                <w:sz w:val="20"/>
                <w:szCs w:val="20"/>
                <w:color w:val="auto"/>
              </w:rPr>
            </w:pPr>
            <w:r>
              <w:rPr>
                <w:rFonts w:ascii="Arial" w:cs="Arial" w:eastAsia="Arial" w:hAnsi="Arial"/>
                <w:sz w:val="20"/>
                <w:szCs w:val="20"/>
                <w:color w:val="231F20"/>
              </w:rPr>
              <w:t xml:space="preserve">Losses on equity investment </w:t>
            </w:r>
            <w:r>
              <w:rPr>
                <w:rFonts w:ascii="Times New Roman" w:cs="Times New Roman" w:eastAsia="Times New Roman" w:hAnsi="Times New Roman"/>
                <w:sz w:val="20"/>
                <w:szCs w:val="20"/>
                <w:color w:val="231F20"/>
              </w:rPr>
              <w:t>....................................................</w:t>
            </w:r>
          </w:p>
        </w:tc>
        <w:tc>
          <w:tcPr>
            <w:tcW w:w="520" w:type="dxa"/>
            <w:vAlign w:val="bottom"/>
          </w:tcPr>
          <w:p>
            <w:pPr>
              <w:spacing w:after="0"/>
              <w:rPr>
                <w:sz w:val="20"/>
                <w:szCs w:val="20"/>
                <w:color w:val="auto"/>
              </w:rPr>
            </w:pPr>
          </w:p>
        </w:tc>
        <w:tc>
          <w:tcPr>
            <w:tcW w:w="980" w:type="dxa"/>
            <w:vAlign w:val="bottom"/>
            <w:tcBorders>
              <w:right w:val="single" w:sz="8" w:color="231F20"/>
            </w:tcBorders>
          </w:tcPr>
          <w:p>
            <w:pPr>
              <w:jc w:val="right"/>
              <w:ind w:right="122"/>
              <w:spacing w:after="0"/>
              <w:rPr>
                <w:sz w:val="20"/>
                <w:szCs w:val="20"/>
                <w:color w:val="auto"/>
              </w:rPr>
            </w:pPr>
            <w:r>
              <w:rPr>
                <w:rFonts w:ascii="Arial" w:cs="Arial" w:eastAsia="Arial" w:hAnsi="Arial"/>
                <w:sz w:val="20"/>
                <w:szCs w:val="20"/>
                <w:color w:val="231F20"/>
              </w:rPr>
              <w:t>—</w:t>
            </w:r>
          </w:p>
        </w:tc>
        <w:tc>
          <w:tcPr>
            <w:tcW w:w="50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20"/>
                <w:szCs w:val="20"/>
                <w:color w:val="231F20"/>
              </w:rPr>
              <w:t>—</w:t>
            </w:r>
          </w:p>
        </w:tc>
        <w:tc>
          <w:tcPr>
            <w:tcW w:w="520" w:type="dxa"/>
            <w:vAlign w:val="bottom"/>
          </w:tcPr>
          <w:p>
            <w:pPr>
              <w:spacing w:after="0"/>
              <w:rPr>
                <w:sz w:val="20"/>
                <w:szCs w:val="20"/>
                <w:color w:val="auto"/>
              </w:rPr>
            </w:pPr>
          </w:p>
        </w:tc>
        <w:tc>
          <w:tcPr>
            <w:tcW w:w="780" w:type="dxa"/>
            <w:vAlign w:val="bottom"/>
          </w:tcPr>
          <w:p>
            <w:pPr>
              <w:jc w:val="right"/>
              <w:ind w:right="2"/>
              <w:spacing w:after="0"/>
              <w:rPr>
                <w:sz w:val="20"/>
                <w:szCs w:val="20"/>
                <w:color w:val="auto"/>
              </w:rPr>
            </w:pPr>
            <w:r>
              <w:rPr>
                <w:rFonts w:ascii="Arial" w:cs="Arial" w:eastAsia="Arial" w:hAnsi="Arial"/>
                <w:sz w:val="20"/>
                <w:szCs w:val="20"/>
                <w:color w:val="231F20"/>
              </w:rPr>
              <w:t>5.0</w:t>
            </w:r>
          </w:p>
        </w:tc>
      </w:tr>
      <w:tr>
        <w:trPr>
          <w:trHeight w:val="253"/>
        </w:trPr>
        <w:tc>
          <w:tcPr>
            <w:tcW w:w="524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20"/>
                <w:szCs w:val="20"/>
                <w:color w:val="231F20"/>
              </w:rPr>
              <w:t xml:space="preserve">Other items, net </w:t>
            </w:r>
            <w:r>
              <w:rPr>
                <w:rFonts w:ascii="Times New Roman" w:cs="Times New Roman" w:eastAsia="Times New Roman" w:hAnsi="Times New Roman"/>
                <w:sz w:val="20"/>
                <w:szCs w:val="20"/>
                <w:color w:val="231F20"/>
              </w:rPr>
              <w:t>..........................................................................</w:t>
            </w:r>
          </w:p>
        </w:tc>
        <w:tc>
          <w:tcPr>
            <w:tcW w:w="52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right w:val="single" w:sz="8" w:color="231F20"/>
            </w:tcBorders>
          </w:tcPr>
          <w:p>
            <w:pPr>
              <w:jc w:val="right"/>
              <w:ind w:right="62"/>
              <w:spacing w:after="0"/>
              <w:rPr>
                <w:sz w:val="20"/>
                <w:szCs w:val="20"/>
                <w:color w:val="auto"/>
              </w:rPr>
            </w:pPr>
            <w:r>
              <w:rPr>
                <w:rFonts w:ascii="Arial" w:cs="Arial" w:eastAsia="Arial" w:hAnsi="Arial"/>
                <w:sz w:val="20"/>
                <w:szCs w:val="20"/>
                <w:color w:val="231F20"/>
              </w:rPr>
              <w:t>(0.3)</w:t>
            </w:r>
          </w:p>
        </w:tc>
        <w:tc>
          <w:tcPr>
            <w:tcW w:w="50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(0.8)</w:t>
            </w:r>
          </w:p>
        </w:tc>
        <w:tc>
          <w:tcPr>
            <w:tcW w:w="520" w:type="dxa"/>
            <w:vAlign w:val="bottom"/>
            <w:tcBorders>
              <w:bottom w:val="single" w:sz="8" w:color="231F20"/>
            </w:tcBorders>
          </w:tcPr>
          <w:p>
            <w:pPr>
              <w:spacing w:after="0"/>
              <w:rPr>
                <w:sz w:val="22"/>
                <w:szCs w:val="22"/>
                <w:color w:val="auto"/>
              </w:rPr>
            </w:pPr>
          </w:p>
        </w:tc>
        <w:tc>
          <w:tcPr>
            <w:tcW w:w="780" w:type="dxa"/>
            <w:vAlign w:val="bottom"/>
            <w:tcBorders>
              <w:bottom w:val="single" w:sz="8" w:color="231F20"/>
            </w:tcBorders>
          </w:tcPr>
          <w:p>
            <w:pPr>
              <w:jc w:val="right"/>
              <w:ind w:right="2"/>
              <w:spacing w:after="0"/>
              <w:rPr>
                <w:sz w:val="20"/>
                <w:szCs w:val="20"/>
                <w:color w:val="auto"/>
              </w:rPr>
            </w:pPr>
            <w:r>
              <w:rPr>
                <w:rFonts w:ascii="Arial" w:cs="Arial" w:eastAsia="Arial" w:hAnsi="Arial"/>
                <w:sz w:val="20"/>
                <w:szCs w:val="20"/>
                <w:color w:val="231F20"/>
              </w:rPr>
              <w:t>—</w:t>
            </w:r>
          </w:p>
        </w:tc>
      </w:tr>
      <w:tr>
        <w:trPr>
          <w:trHeight w:val="248"/>
        </w:trPr>
        <w:tc>
          <w:tcPr>
            <w:tcW w:w="5240" w:type="dxa"/>
            <w:vAlign w:val="bottom"/>
            <w:tcBorders>
              <w:bottom w:val="single" w:sz="8" w:color="231F20"/>
              <w:right w:val="single" w:sz="8" w:color="231F20"/>
            </w:tcBorders>
          </w:tcPr>
          <w:p>
            <w:pPr>
              <w:jc w:val="right"/>
              <w:spacing w:after="0" w:line="223" w:lineRule="exact"/>
              <w:rPr>
                <w:sz w:val="20"/>
                <w:szCs w:val="20"/>
                <w:color w:val="auto"/>
              </w:rPr>
            </w:pPr>
            <w:r>
              <w:rPr>
                <w:rFonts w:ascii="Arial" w:cs="Arial" w:eastAsia="Arial" w:hAnsi="Arial"/>
                <w:sz w:val="20"/>
                <w:szCs w:val="20"/>
                <w:color w:val="231F20"/>
              </w:rPr>
              <w:t>Total other (income) expense, net</w:t>
            </w:r>
            <w:r>
              <w:rPr>
                <w:rFonts w:ascii="Times New Roman" w:cs="Times New Roman" w:eastAsia="Times New Roman" w:hAnsi="Times New Roman"/>
                <w:sz w:val="20"/>
                <w:szCs w:val="20"/>
                <w:color w:val="231F20"/>
              </w:rPr>
              <w:t>......................................</w:t>
            </w:r>
          </w:p>
        </w:tc>
        <w:tc>
          <w:tcPr>
            <w:tcW w:w="520" w:type="dxa"/>
            <w:vAlign w:val="bottom"/>
            <w:tcBorders>
              <w:bottom w:val="single" w:sz="8" w:color="231F20"/>
            </w:tcBorders>
          </w:tcPr>
          <w:p>
            <w:pPr>
              <w:jc w:val="right"/>
              <w:ind w:right="199"/>
              <w:spacing w:after="0" w:line="223" w:lineRule="exact"/>
              <w:rPr>
                <w:sz w:val="20"/>
                <w:szCs w:val="20"/>
                <w:color w:val="auto"/>
              </w:rPr>
            </w:pPr>
            <w:r>
              <w:rPr>
                <w:rFonts w:ascii="Arial" w:cs="Arial" w:eastAsia="Arial" w:hAnsi="Arial"/>
                <w:sz w:val="20"/>
                <w:szCs w:val="20"/>
                <w:color w:val="231F20"/>
              </w:rPr>
              <w:t>$</w:t>
            </w:r>
          </w:p>
        </w:tc>
        <w:tc>
          <w:tcPr>
            <w:tcW w:w="980" w:type="dxa"/>
            <w:vAlign w:val="bottom"/>
            <w:tcBorders>
              <w:bottom w:val="single" w:sz="8" w:color="231F20"/>
              <w:right w:val="single" w:sz="8" w:color="231F20"/>
            </w:tcBorders>
          </w:tcPr>
          <w:p>
            <w:pPr>
              <w:jc w:val="right"/>
              <w:ind w:right="62"/>
              <w:spacing w:after="0" w:line="223" w:lineRule="exact"/>
              <w:rPr>
                <w:sz w:val="20"/>
                <w:szCs w:val="20"/>
                <w:color w:val="auto"/>
              </w:rPr>
            </w:pPr>
            <w:r>
              <w:rPr>
                <w:rFonts w:ascii="Arial" w:cs="Arial" w:eastAsia="Arial" w:hAnsi="Arial"/>
                <w:sz w:val="20"/>
                <w:szCs w:val="20"/>
                <w:color w:val="231F20"/>
              </w:rPr>
              <w:t>(19.5)</w:t>
            </w:r>
          </w:p>
        </w:tc>
        <w:tc>
          <w:tcPr>
            <w:tcW w:w="500" w:type="dxa"/>
            <w:vAlign w:val="bottom"/>
            <w:tcBorders>
              <w:bottom w:val="single" w:sz="8" w:color="231F20"/>
            </w:tcBorders>
          </w:tcPr>
          <w:p>
            <w:pPr>
              <w:jc w:val="right"/>
              <w:ind w:right="179"/>
              <w:spacing w:after="0" w:line="223" w:lineRule="exact"/>
              <w:rPr>
                <w:sz w:val="20"/>
                <w:szCs w:val="20"/>
                <w:color w:val="auto"/>
              </w:rPr>
            </w:pPr>
            <w:r>
              <w:rPr>
                <w:rFonts w:ascii="Arial" w:cs="Arial" w:eastAsia="Arial" w:hAnsi="Arial"/>
                <w:sz w:val="20"/>
                <w:szCs w:val="20"/>
                <w:color w:val="231F20"/>
              </w:rPr>
              <w:t>$</w:t>
            </w:r>
          </w:p>
        </w:tc>
        <w:tc>
          <w:tcPr>
            <w:tcW w:w="900" w:type="dxa"/>
            <w:vAlign w:val="bottom"/>
            <w:tcBorders>
              <w:bottom w:val="single" w:sz="8" w:color="231F20"/>
            </w:tcBorders>
          </w:tcPr>
          <w:p>
            <w:pPr>
              <w:jc w:val="right"/>
              <w:spacing w:after="0" w:line="223" w:lineRule="exact"/>
              <w:rPr>
                <w:sz w:val="20"/>
                <w:szCs w:val="20"/>
                <w:color w:val="auto"/>
              </w:rPr>
            </w:pPr>
            <w:r>
              <w:rPr>
                <w:rFonts w:ascii="Arial" w:cs="Arial" w:eastAsia="Arial" w:hAnsi="Arial"/>
                <w:sz w:val="20"/>
                <w:szCs w:val="20"/>
                <w:color w:val="231F20"/>
              </w:rPr>
              <w:t>(12.0)</w:t>
            </w:r>
          </w:p>
        </w:tc>
        <w:tc>
          <w:tcPr>
            <w:tcW w:w="520" w:type="dxa"/>
            <w:vAlign w:val="bottom"/>
            <w:tcBorders>
              <w:bottom w:val="single" w:sz="8" w:color="231F20"/>
            </w:tcBorders>
          </w:tcPr>
          <w:p>
            <w:pPr>
              <w:jc w:val="right"/>
              <w:ind w:right="239"/>
              <w:spacing w:after="0" w:line="223" w:lineRule="exact"/>
              <w:rPr>
                <w:sz w:val="20"/>
                <w:szCs w:val="20"/>
                <w:color w:val="auto"/>
              </w:rPr>
            </w:pPr>
            <w:r>
              <w:rPr>
                <w:rFonts w:ascii="Arial" w:cs="Arial" w:eastAsia="Arial" w:hAnsi="Arial"/>
                <w:sz w:val="20"/>
                <w:szCs w:val="20"/>
                <w:color w:val="231F20"/>
              </w:rPr>
              <w:t>$</w:t>
            </w:r>
          </w:p>
        </w:tc>
        <w:tc>
          <w:tcPr>
            <w:tcW w:w="780" w:type="dxa"/>
            <w:vAlign w:val="bottom"/>
            <w:tcBorders>
              <w:bottom w:val="single" w:sz="8" w:color="231F20"/>
            </w:tcBorders>
          </w:tcPr>
          <w:p>
            <w:pPr>
              <w:jc w:val="right"/>
              <w:ind w:right="2"/>
              <w:spacing w:after="0" w:line="223" w:lineRule="exact"/>
              <w:rPr>
                <w:sz w:val="20"/>
                <w:szCs w:val="20"/>
                <w:color w:val="auto"/>
              </w:rPr>
            </w:pPr>
            <w:r>
              <w:rPr>
                <w:rFonts w:ascii="Arial" w:cs="Arial" w:eastAsia="Arial" w:hAnsi="Arial"/>
                <w:sz w:val="20"/>
                <w:szCs w:val="20"/>
                <w:color w:val="231F20"/>
              </w:rPr>
              <w:t>0.4</w:t>
            </w:r>
          </w:p>
        </w:tc>
      </w:tr>
    </w:tbl>
    <w:p>
      <w:pPr>
        <w:spacing w:after="0" w:line="256" w:lineRule="exact"/>
        <w:rPr>
          <w:sz w:val="20"/>
          <w:szCs w:val="20"/>
          <w:color w:val="auto"/>
        </w:rPr>
      </w:pPr>
    </w:p>
    <w:p>
      <w:pPr>
        <w:ind w:right="7560" w:firstLine="6"/>
        <w:spacing w:after="0" w:line="434" w:lineRule="auto"/>
        <w:tabs>
          <w:tab w:leader="none" w:pos="506" w:val="left"/>
        </w:tabs>
        <w:numPr>
          <w:ilvl w:val="0"/>
          <w:numId w:val="56"/>
        </w:numPr>
        <w:rPr>
          <w:rFonts w:ascii="Arial" w:cs="Arial" w:eastAsia="Arial" w:hAnsi="Arial"/>
          <w:sz w:val="20"/>
          <w:szCs w:val="20"/>
          <w:b w:val="1"/>
          <w:bCs w:val="1"/>
          <w:color w:val="231F20"/>
        </w:rPr>
      </w:pPr>
      <w:r>
        <w:rPr>
          <w:rFonts w:ascii="Arial" w:cs="Arial" w:eastAsia="Arial" w:hAnsi="Arial"/>
          <w:sz w:val="20"/>
          <w:szCs w:val="20"/>
          <w:b w:val="1"/>
          <w:bCs w:val="1"/>
          <w:color w:val="231F20"/>
        </w:rPr>
        <w:t>Contingencies Litigation</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20"/>
          <w:szCs w:val="20"/>
          <w:color w:val="231F20"/>
        </w:rPr>
        <w:t>The Company is a defendant in lawsuits that are ordinary, routine litigation matters incidental to its businesses. It is not possible to predict the outcome of the pending actions, and, as with any litigation, it is possible that these actions could be decided unfavorably to the Company. The Company believes that there are meritorious defenses to these actions and that these actions will not have a material adverse effect upon the Company’s results of operations, cash flows or financial condition, and, where appropriate, these actions are being vigorously contested. Accordingly, the Company believes the likelihood of material loss is remote.</w:t>
      </w:r>
    </w:p>
    <w:p>
      <w:pPr>
        <w:sectPr>
          <w:pgSz w:w="12240" w:h="15840" w:orient="portrait"/>
          <w:cols w:equalWidth="0" w:num="1">
            <w:col w:w="9460"/>
          </w:cols>
          <w:pgMar w:left="1380" w:top="1342"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88</w:t>
      </w:r>
    </w:p>
    <w:p>
      <w:pPr>
        <w:sectPr>
          <w:pgSz w:w="12240" w:h="15840" w:orient="portrait"/>
          <w:cols w:equalWidth="0" w:num="1">
            <w:col w:w="9460"/>
          </w:cols>
          <w:pgMar w:left="1380" w:top="1342" w:right="1400" w:bottom="95"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b w:val="1"/>
          <w:bCs w:val="1"/>
          <w:color w:val="231F20"/>
        </w:rPr>
        <w:t>Environmental</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231F20"/>
        </w:rPr>
        <w:t>We are involved in remediation activities to clean up hazardous wastes as required by federal and state laws. Liabilities for remediation costs of each site are based on our best estimate of undiscounted future costs, excluding possible insurance recoveries or recoveries from other third parties. Uncertainties about the status of laws, regulations, technology and information related to individual sites make it difficult to develop estimates of future environmental remediation exposures. Some of the potential liabilities relate to sites we own, and some relate to sites we no longer own or never owned. Several of our subsidiaries have been designated as potentially responsible parties (“PRP”) under Superfund or similar state laws. In most instances where our subsidiaries are named as a PRP, we enter into cost-sharing arrangements with other PRPs. We give notice to insurance carriers of potential PRP liability, but very rarely, if ever, receive reimbursement from insurance for PRP costs. We believe compliance with current environmental protection laws (before taking into account estimated recoveries from third parties) will not have a material adverse effect upon our results of operations, cash flows or financial condition.</w:t>
      </w:r>
    </w:p>
    <w:p>
      <w:pPr>
        <w:spacing w:after="0" w:line="141" w:lineRule="exact"/>
        <w:rPr>
          <w:sz w:val="20"/>
          <w:szCs w:val="20"/>
          <w:color w:val="auto"/>
        </w:rPr>
      </w:pPr>
    </w:p>
    <w:p>
      <w:pPr>
        <w:ind w:left="520" w:hanging="514"/>
        <w:spacing w:after="0"/>
        <w:tabs>
          <w:tab w:leader="none" w:pos="520" w:val="left"/>
        </w:tabs>
        <w:numPr>
          <w:ilvl w:val="0"/>
          <w:numId w:val="57"/>
        </w:numPr>
        <w:rPr>
          <w:rFonts w:ascii="Arial" w:cs="Arial" w:eastAsia="Arial" w:hAnsi="Arial"/>
          <w:sz w:val="20"/>
          <w:szCs w:val="20"/>
          <w:b w:val="1"/>
          <w:bCs w:val="1"/>
          <w:color w:val="231F20"/>
        </w:rPr>
      </w:pPr>
      <w:r>
        <w:rPr>
          <w:rFonts w:ascii="Arial" w:cs="Arial" w:eastAsia="Arial" w:hAnsi="Arial"/>
          <w:sz w:val="20"/>
          <w:szCs w:val="20"/>
          <w:b w:val="1"/>
          <w:bCs w:val="1"/>
          <w:color w:val="231F20"/>
        </w:rPr>
        <w:t>Subsequent Events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231F20"/>
        </w:rPr>
        <w:t>On January 29, 2024, the Company's Board of Directors authorized the repurchase of up to $650 million of shares of the Company’s outstanding common stock over the next two years on the open market or in privately negotiated transactions or otherwise (including pursuant to a Rule 10b5-1 trading plan, block trades and accelerated share repurchase transactions), in accordance with applicable securities laws The $650 million share repurchase authorization is in addition to the approximately $435 million remaining as of January 30, 2024 from an existing authorization that expires on March 1, 2024.</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231F20"/>
        </w:rPr>
        <w:t>The new purchases, if made, will occur from time to time depending on market conditions. The newly announced share repurchase authorization does not obligate the Company to repurchase any dollar amount or number of shares of common stock. This authorization is in effect until January 29, 2026, and may be suspended or discontinued at any time.</w:t>
      </w:r>
    </w:p>
    <w:p>
      <w:pPr>
        <w:sectPr>
          <w:pgSz w:w="12240" w:h="15840" w:orient="portrait"/>
          <w:cols w:equalWidth="0" w:num="1">
            <w:col w:w="9480"/>
          </w:cols>
          <w:pgMar w:left="1380" w:top="1342"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89</w:t>
      </w:r>
    </w:p>
    <w:p>
      <w:pPr>
        <w:sectPr>
          <w:pgSz w:w="12240" w:h="15840" w:orient="portrait"/>
          <w:cols w:equalWidth="0" w:num="1">
            <w:col w:w="9480"/>
          </w:cols>
          <w:pgMar w:left="1380" w:top="1342" w:right="1380" w:bottom="95" w:gutter="0" w:footer="0" w:header="0"/>
          <w:type w:val="continuous"/>
        </w:sectPr>
      </w:pPr>
    </w:p>
    <w:bookmarkStart w:id="97" w:name="page98"/>
    <w:bookmarkEnd w:id="97"/>
    <w:p>
      <w:pPr>
        <w:spacing w:after="0"/>
        <w:rPr>
          <w:sz w:val="20"/>
          <w:szCs w:val="20"/>
          <w:color w:val="auto"/>
        </w:rPr>
      </w:pPr>
      <w:r>
        <w:rPr>
          <w:rFonts w:ascii="Arial" w:cs="Arial" w:eastAsia="Arial" w:hAnsi="Arial"/>
          <w:sz w:val="20"/>
          <w:szCs w:val="20"/>
          <w:b w:val="1"/>
          <w:bCs w:val="1"/>
          <w:color w:val="231F20"/>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231F20"/>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9A.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231F20"/>
        </w:rPr>
        <w:t>(a) Evaluation of Disclosure Controls and Procedures.</w:t>
      </w:r>
    </w:p>
    <w:p>
      <w:pPr>
        <w:spacing w:after="0" w:line="173"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color w:val="231F20"/>
        </w:rPr>
        <w:t>The Company’s management has evaluated, with the participation of the Company’s Chief Executive Officer and Chief Financial Officer, the effectiveness of the Company’s disclosure controls and procedures (as defined in Rules 13a-15(e) and 15d-15(e) under the Exchange Act) as of the end of the period covered by this report. Based on that evaluation, the Chief Executive Officer and the Chief Financial Officer have concluded that the Company’s disclosure controls and procedures were effective as of December 30, 2023</w:t>
      </w:r>
      <w:r>
        <w:rPr>
          <w:rFonts w:ascii="Arial" w:cs="Arial" w:eastAsia="Arial" w:hAnsi="Arial"/>
          <w:sz w:val="20"/>
          <w:szCs w:val="20"/>
          <w:b w:val="1"/>
          <w:bCs w:val="1"/>
          <w:color w:val="231F20"/>
        </w:rPr>
        <w: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231F20"/>
        </w:rPr>
        <w:t>(b) Management’s Report on Internal Control Over Financial Reporting.</w:t>
      </w:r>
    </w:p>
    <w:p>
      <w:pPr>
        <w:spacing w:after="0" w:line="173"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231F20"/>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20"/>
          <w:szCs w:val="20"/>
          <w:i w:val="1"/>
          <w:iCs w:val="1"/>
          <w:color w:val="231F20"/>
        </w:rPr>
        <w:t>Internal Control — Integrated Framework</w:t>
      </w:r>
      <w:r>
        <w:rPr>
          <w:rFonts w:ascii="Arial" w:cs="Arial" w:eastAsia="Arial" w:hAnsi="Arial"/>
          <w:sz w:val="20"/>
          <w:szCs w:val="20"/>
          <w:color w:val="231F20"/>
        </w:rPr>
        <w:t xml:space="preserve"> (2013) issued by the Committee of Sponsoring Organization of the Treadway Commission (“COSO”). Based on our evaluation under the framework in </w:t>
      </w:r>
      <w:r>
        <w:rPr>
          <w:rFonts w:ascii="Arial" w:cs="Arial" w:eastAsia="Arial" w:hAnsi="Arial"/>
          <w:sz w:val="20"/>
          <w:szCs w:val="20"/>
          <w:i w:val="1"/>
          <w:iCs w:val="1"/>
          <w:color w:val="231F20"/>
        </w:rPr>
        <w:t>Internal Control — Integrated Framework</w:t>
      </w:r>
      <w:r>
        <w:rPr>
          <w:rFonts w:ascii="Arial" w:cs="Arial" w:eastAsia="Arial" w:hAnsi="Arial"/>
          <w:sz w:val="20"/>
          <w:szCs w:val="20"/>
          <w:color w:val="231F20"/>
        </w:rPr>
        <w:t xml:space="preserve"> (2013) issued by the COSO, our management concluded that our internal control over financial reporting was effective as of December 30, 2023.</w:t>
      </w:r>
    </w:p>
    <w:p>
      <w:pPr>
        <w:spacing w:after="0" w:line="175" w:lineRule="exact"/>
        <w:rPr>
          <w:sz w:val="20"/>
          <w:szCs w:val="20"/>
          <w:color w:val="auto"/>
        </w:rPr>
      </w:pPr>
    </w:p>
    <w:p>
      <w:pPr>
        <w:ind w:right="80"/>
        <w:spacing w:after="0" w:line="235" w:lineRule="auto"/>
        <w:rPr>
          <w:sz w:val="20"/>
          <w:szCs w:val="20"/>
          <w:color w:val="auto"/>
        </w:rPr>
      </w:pPr>
      <w:r>
        <w:rPr>
          <w:rFonts w:ascii="Arial" w:cs="Arial" w:eastAsia="Arial" w:hAnsi="Arial"/>
          <w:sz w:val="20"/>
          <w:szCs w:val="20"/>
          <w:color w:val="231F20"/>
        </w:rPr>
        <w:t>The Company acquired the Emtek and Schaub premium and luxury door and cabinet hardware business and the U.S. and Canadian Yale and August residential smart locks business (collectively, the "ASSA Businesses") from ASSA ABLOY, Inc. and its affiliates in June 2023 and therefore, as permitted by the Securities and Exchange Commission staff guidance, we excluded the ASSA Businesses from the scope of our management’s assessment of the effectiveness of our internal controls over financial reporting as of December 30, 2023. The total assets and total sales of the ASSA Businesses represent 2.9% and</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color w:val="231F20"/>
        </w:rPr>
        <w:t>4.7%, respectively, of the related consolidated financial statements amounts as of and for the year ended December 30, 2023.</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231F20"/>
        </w:rPr>
        <w:t>PricewaterhouseCoopers LLP, the Company’s independent registered public accounting firm, has audited the effectiveness of the Company’s internal control over financial reporting as of December 30, 2023, as stated in their report, which appears herein.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231F20"/>
        </w:rPr>
        <w:t>(c) Changes in Internal Control Over Financial Reporting.</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20"/>
          <w:szCs w:val="20"/>
          <w:color w:val="231F20"/>
        </w:rPr>
        <w:t>There have not been any changes in the Company’s internal control over financial reporting during the Company’s fiscal quarter ended December 30, 2023 that have materially affected, or are reasonably likely to materially affect, the Company’s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9B.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231F20"/>
        </w:rPr>
        <w:t>Amendment to Annual Executive Incentive Compensation Plan</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231F20"/>
        </w:rPr>
        <w:t>On February 27, 2024, our Board of Directors approved an amendment and restatement of the Fortune Brands Home &amp; Security, Inc. Annual Executive Incentive Compensation Plan (the “AEIP,” and such amended and restated plan, the “Amended AEIP”), effective for performance periods commencing on or after January 1, 2024. The Amended AEIP largely mirrors the terms of the prior AEIP, but includes certain administrative changes, including: (i) modifications to reflect the change in the Company’s name; (ii) the removal of legacy language that was previously included to comply with the performance-based compensation exception under Section 162(m) of the Internal Revenue Code of 1986, as amended, including the removal of the annual per person limit on compensation that could be paid to a participant; and (iii) the clarification that awards under the Amended AEIP will be subject to the Company’s clawback policies.</w:t>
      </w:r>
    </w:p>
    <w:p>
      <w:pPr>
        <w:sectPr>
          <w:pgSz w:w="12240" w:h="15840" w:orient="portrait"/>
          <w:cols w:equalWidth="0" w:num="1">
            <w:col w:w="9460"/>
          </w:cols>
          <w:pgMar w:left="1380" w:top="1332"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90</w:t>
      </w:r>
    </w:p>
    <w:p>
      <w:pPr>
        <w:sectPr>
          <w:pgSz w:w="12240" w:h="15840" w:orient="portrait"/>
          <w:cols w:equalWidth="0" w:num="1">
            <w:col w:w="9460"/>
          </w:cols>
          <w:pgMar w:left="1380" w:top="1332" w:right="1400" w:bottom="95" w:gutter="0" w:footer="0" w:header="0"/>
          <w:type w:val="continuous"/>
        </w:sectPr>
      </w:pPr>
    </w:p>
    <w:bookmarkStart w:id="98" w:name="page99"/>
    <w:bookmarkEnd w:id="98"/>
    <w:p>
      <w:pPr>
        <w:spacing w:after="0"/>
        <w:rPr>
          <w:sz w:val="20"/>
          <w:szCs w:val="20"/>
          <w:color w:val="auto"/>
        </w:rPr>
      </w:pPr>
      <w:r>
        <w:rPr>
          <w:rFonts w:ascii="Arial" w:cs="Arial" w:eastAsia="Arial" w:hAnsi="Arial"/>
          <w:sz w:val="20"/>
          <w:szCs w:val="20"/>
          <w:b w:val="1"/>
          <w:bCs w:val="1"/>
          <w:i w:val="1"/>
          <w:iCs w:val="1"/>
          <w:u w:val="single" w:color="auto"/>
          <w:color w:val="231F20"/>
        </w:rPr>
        <w:t>Securities Trading Plans of Directors and Officers</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20"/>
          <w:szCs w:val="20"/>
          <w:color w:val="231F20"/>
        </w:rPr>
        <w:t>A significant portion of the compensation of our officers is delivered in the form of equity awards, including performance share awards, restricted stock units and stock options. The Company’s compensation programs and practices are designed to pay for performance and to align management’s interests with those of the Company’s stockholders while attracting, motivating and retaining superior talent to lead our Company. In addition, members of the Board of Directors receive a portion of their compensation in Company common stock. Our executive officers and directors may engage from time to time in the open-market sale or other transactions involving those securities and may also purchase our securities.</w:t>
      </w:r>
    </w:p>
    <w:p>
      <w:pPr>
        <w:spacing w:after="0" w:line="184"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231F20"/>
        </w:rPr>
        <w:t>Transactions in our securities by our directors and officers are required to be made in accordance with our Insider Trading Policy, which, among other things, requires that the transactions be in accordance with applicable U.S. federal securities laws that prohibit trading while in possession of material nonpublic information. Rule 10b5-1 under the Exchange Act provides an affirmative defense that enables prearranged transactions in securities in a manner that avoids concerns about initiating transactions at a future date while possibly in possession of material nonpublic information. Our directors and officers are permitted to enter into trading plans designed to comply with Rule 10b5-1.</w:t>
      </w:r>
    </w:p>
    <w:p>
      <w:pPr>
        <w:spacing w:after="0" w:line="184" w:lineRule="exact"/>
        <w:rPr>
          <w:sz w:val="20"/>
          <w:szCs w:val="20"/>
          <w:color w:val="auto"/>
        </w:rPr>
      </w:pPr>
    </w:p>
    <w:p>
      <w:pPr>
        <w:jc w:val="both"/>
        <w:ind w:right="160"/>
        <w:spacing w:after="0" w:line="265" w:lineRule="auto"/>
        <w:rPr>
          <w:sz w:val="20"/>
          <w:szCs w:val="20"/>
          <w:color w:val="auto"/>
        </w:rPr>
      </w:pPr>
      <w:r>
        <w:rPr>
          <w:rFonts w:ascii="Arial" w:cs="Arial" w:eastAsia="Arial" w:hAnsi="Arial"/>
          <w:sz w:val="20"/>
          <w:szCs w:val="20"/>
          <w:color w:val="231F20"/>
        </w:rPr>
        <w:t>During the fourth quarter of 2023, none of our directors or officers adopted or terminated a Rule 10b5-1 trading plan or adopted or terminated a non-Rule 10b5-1 trading arrangement (as defined in Item 408(c) of Regulation S-K).</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9C. Disclosure Regarding Foreign Jurisdictions that Prevent Inspections.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231F20"/>
        </w:rPr>
        <w:t>Not applicable.</w:t>
      </w:r>
    </w:p>
    <w:p>
      <w:pPr>
        <w:sectPr>
          <w:pgSz w:w="12240" w:h="15840" w:orient="portrait"/>
          <w:cols w:equalWidth="0" w:num="1">
            <w:col w:w="9460"/>
          </w:cols>
          <w:pgMar w:left="1380" w:top="1350"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91</w:t>
      </w:r>
    </w:p>
    <w:p>
      <w:pPr>
        <w:sectPr>
          <w:pgSz w:w="12240" w:h="15840" w:orient="portrait"/>
          <w:cols w:equalWidth="0" w:num="1">
            <w:col w:w="9460"/>
          </w:cols>
          <w:pgMar w:left="1380" w:top="1350" w:right="1400" w:bottom="95"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b w:val="1"/>
          <w:bCs w:val="1"/>
          <w:color w:val="231F20"/>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231F20"/>
        </w:rPr>
        <w:t>Item 10.</w:t>
        <w:tab/>
        <w:t>Directors, Executive Officers and Corporate Governance.</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231F20"/>
        </w:rPr>
        <w:t>See the information under the captions “Proposal 1 – Election of Directors,” “Corporate Governance - Board Committees - Audit Committee” and, if applicable, “Delinquent Section 16(a) Reports” contained in the 2024 Proxy Statement, which information is incorporated herein by reference. See the information under the caption "Information about our Executive Officers" contained in Part I of this Annual Report on Form 10-K.</w:t>
      </w:r>
    </w:p>
    <w:p>
      <w:pPr>
        <w:spacing w:after="0" w:line="128"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231F20"/>
        </w:rPr>
        <w:t xml:space="preserve">The Company’s Board of Directors has adopted a Code of Business Conduct &amp; Ethics that sets forth various policies and procedures intended to promote the ethical behavior of all of the Company’s employees. The Company’s Board of Directors has also adopted a Code of Ethics for Senior Financial Officers that applies to the Company’s principal executive officer, principal financial officer and principal accounting officer. The Code of Business Conduct &amp; Ethics and the Code of Ethics for Senior Financial Officers are available, free of charge, on the Company’s website, </w:t>
      </w:r>
      <w:r>
        <w:rPr>
          <w:rFonts w:ascii="Arial" w:cs="Arial" w:eastAsia="Arial" w:hAnsi="Arial"/>
          <w:sz w:val="20"/>
          <w:szCs w:val="20"/>
          <w:u w:val="single" w:color="auto"/>
          <w:color w:val="231F20"/>
        </w:rPr>
        <w:t>http://ir.fbin.com/governing-high-standards</w:t>
      </w:r>
      <w:r>
        <w:rPr>
          <w:rFonts w:ascii="Arial" w:cs="Arial" w:eastAsia="Arial" w:hAnsi="Arial"/>
          <w:sz w:val="20"/>
          <w:szCs w:val="20"/>
          <w:color w:val="231F20"/>
        </w:rPr>
        <w:t>. A copy of these documents is also available and will be sent to stockholders free of charge upon written request to the Company’s Secretary. Any amendment to, or waiver from, the provisions of the Code of Business Conduct &amp; Ethics or the Code of Ethics for Senior Financial Officers that applies to any of those officers will be posted to the same location on the Company’s website.</w:t>
      </w:r>
    </w:p>
    <w:p>
      <w:pPr>
        <w:spacing w:after="0" w:line="137"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231F20"/>
        </w:rPr>
        <w:t>Item 11.</w:t>
        <w:tab/>
        <w:t>Executive Compensation.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20"/>
          <w:szCs w:val="20"/>
          <w:color w:val="231F20"/>
        </w:rPr>
        <w:t>See the information under the captions “Director Compensation,” “Corporate Governance - Board Committees - Compensation Committee,” “Compensation Committee Interlocks and Insider Participation,” “Compensation Discussion and Analysis,” “2023 Executive Compensation,” “CEO Pay Ratio” and “Compensation Committee Report” contained in the 2024 Proxy Statement, which information is incorporated herein by reference</w:t>
      </w:r>
      <w:r>
        <w:rPr>
          <w:rFonts w:ascii="Arial" w:cs="Arial" w:eastAsia="Arial" w:hAnsi="Arial"/>
          <w:sz w:val="20"/>
          <w:szCs w:val="20"/>
          <w:b w:val="1"/>
          <w:bCs w:val="1"/>
          <w:color w:val="231F20"/>
        </w:rPr>
        <w:t>.</w:t>
      </w:r>
    </w:p>
    <w:p>
      <w:pPr>
        <w:spacing w:after="0" w:line="110" w:lineRule="exact"/>
        <w:rPr>
          <w:sz w:val="20"/>
          <w:szCs w:val="20"/>
          <w:color w:val="auto"/>
        </w:rPr>
      </w:pPr>
    </w:p>
    <w:p>
      <w:pPr>
        <w:ind w:right="860"/>
        <w:spacing w:after="0" w:line="304" w:lineRule="auto"/>
        <w:rPr>
          <w:sz w:val="20"/>
          <w:szCs w:val="20"/>
          <w:color w:val="auto"/>
        </w:rPr>
      </w:pPr>
      <w:r>
        <w:rPr>
          <w:rFonts w:ascii="Arial" w:cs="Arial" w:eastAsia="Arial" w:hAnsi="Arial"/>
          <w:sz w:val="20"/>
          <w:szCs w:val="20"/>
          <w:b w:val="1"/>
          <w:bCs w:val="1"/>
          <w:color w:val="231F20"/>
        </w:rPr>
        <w:t>Item 12. Security Ownership of Certain Beneficial Owners and Management and Related Stockholder Matters.</w:t>
      </w:r>
    </w:p>
    <w:p>
      <w:pPr>
        <w:spacing w:after="0" w:line="69"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color w:val="231F20"/>
        </w:rPr>
        <w:t>See the information under the caption “Certain Information Regarding Security Holdings” contained in the 2024 Proxy Statement, which information is incorporated herein by reference. See also the “Equity Compensation Plan Information” table contained in the 2024 Proxy Statement, which information is incorporated herein by reference.</w:t>
      </w:r>
    </w:p>
    <w:p>
      <w:pPr>
        <w:spacing w:after="0" w:line="123"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231F20"/>
        </w:rPr>
        <w:t>Item 13.</w:t>
        <w:tab/>
        <w:t>Certain Relationships and Related Transactions, and Director Independence.</w:t>
      </w:r>
    </w:p>
    <w:p>
      <w:pPr>
        <w:spacing w:after="0" w:line="189" w:lineRule="exact"/>
        <w:rPr>
          <w:sz w:val="20"/>
          <w:szCs w:val="20"/>
          <w:color w:val="auto"/>
        </w:rPr>
      </w:pPr>
    </w:p>
    <w:p>
      <w:pPr>
        <w:ind w:right="380"/>
        <w:spacing w:after="0" w:line="265" w:lineRule="auto"/>
        <w:rPr>
          <w:sz w:val="20"/>
          <w:szCs w:val="20"/>
          <w:color w:val="auto"/>
        </w:rPr>
      </w:pPr>
      <w:r>
        <w:rPr>
          <w:rFonts w:ascii="Arial" w:cs="Arial" w:eastAsia="Arial" w:hAnsi="Arial"/>
          <w:sz w:val="20"/>
          <w:szCs w:val="20"/>
          <w:color w:val="231F20"/>
        </w:rPr>
        <w:t>See the information under the captions “Director Independence,” “Board Committees,” “Policies with Respect to Transactions with Related Persons” and “Certain Relationships and Related Transactions” contained in the 2024 Proxy Statement, which information is incorporated herein by reference.</w:t>
      </w:r>
    </w:p>
    <w:p>
      <w:pPr>
        <w:spacing w:after="0" w:line="11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231F20"/>
        </w:rPr>
        <w:t>Item 14.</w:t>
        <w:tab/>
        <w:t>Principal Accountant Fees and Services.</w:t>
      </w:r>
    </w:p>
    <w:p>
      <w:pPr>
        <w:spacing w:after="0" w:line="189" w:lineRule="exact"/>
        <w:rPr>
          <w:sz w:val="20"/>
          <w:szCs w:val="20"/>
          <w:color w:val="auto"/>
        </w:rPr>
      </w:pPr>
    </w:p>
    <w:p>
      <w:pPr>
        <w:ind w:right="380"/>
        <w:spacing w:after="0" w:line="265" w:lineRule="auto"/>
        <w:rPr>
          <w:sz w:val="20"/>
          <w:szCs w:val="20"/>
          <w:color w:val="auto"/>
        </w:rPr>
      </w:pPr>
      <w:r>
        <w:rPr>
          <w:rFonts w:ascii="Arial" w:cs="Arial" w:eastAsia="Arial" w:hAnsi="Arial"/>
          <w:sz w:val="20"/>
          <w:szCs w:val="20"/>
          <w:color w:val="231F20"/>
        </w:rPr>
        <w:t>See the information under the captions “Fees of Independent Registered Public Accounting Firm” and “Approval of Audit and Non-Audit Services” in the 2024 Proxy Statement, which information is incorporated herein by reference.</w:t>
      </w:r>
    </w:p>
    <w:p>
      <w:pPr>
        <w:sectPr>
          <w:pgSz w:w="12240" w:h="15840" w:orient="portrait"/>
          <w:cols w:equalWidth="0" w:num="1">
            <w:col w:w="9460"/>
          </w:cols>
          <w:pgMar w:left="1380" w:top="1342"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92</w:t>
      </w:r>
    </w:p>
    <w:p>
      <w:pPr>
        <w:sectPr>
          <w:pgSz w:w="12240" w:h="15840" w:orient="portrait"/>
          <w:cols w:equalWidth="0" w:num="1">
            <w:col w:w="9460"/>
          </w:cols>
          <w:pgMar w:left="1380" w:top="1342" w:right="1400" w:bottom="95" w:gutter="0" w:footer="0" w:header="0"/>
          <w:type w:val="continuous"/>
        </w:sectPr>
      </w:pPr>
    </w:p>
    <w:bookmarkStart w:id="100" w:name="page101"/>
    <w:bookmarkEnd w:id="100"/>
    <w:p>
      <w:pPr>
        <w:spacing w:after="0"/>
        <w:rPr>
          <w:sz w:val="20"/>
          <w:szCs w:val="20"/>
          <w:color w:val="auto"/>
        </w:rPr>
      </w:pPr>
      <w:r>
        <w:rPr>
          <w:rFonts w:ascii="Arial" w:cs="Arial" w:eastAsia="Arial" w:hAnsi="Arial"/>
          <w:sz w:val="20"/>
          <w:szCs w:val="20"/>
          <w:b w:val="1"/>
          <w:bCs w:val="1"/>
          <w:color w:val="231F20"/>
        </w:rPr>
        <w:t>PART IV</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231F20"/>
        </w:rPr>
        <w:t>Item 15.</w:t>
        <w:tab/>
        <w:t>Exhibits and Financial Statement Schedules</w:t>
      </w:r>
    </w:p>
    <w:p>
      <w:pPr>
        <w:spacing w:after="0" w:line="179" w:lineRule="exact"/>
        <w:rPr>
          <w:sz w:val="20"/>
          <w:szCs w:val="20"/>
          <w:color w:val="auto"/>
        </w:rPr>
      </w:pPr>
    </w:p>
    <w:p>
      <w:pPr>
        <w:ind w:left="740" w:hanging="734"/>
        <w:spacing w:after="0"/>
        <w:tabs>
          <w:tab w:leader="none" w:pos="740" w:val="left"/>
        </w:tabs>
        <w:numPr>
          <w:ilvl w:val="0"/>
          <w:numId w:val="58"/>
        </w:numPr>
        <w:rPr>
          <w:rFonts w:ascii="Arial" w:cs="Arial" w:eastAsia="Arial" w:hAnsi="Arial"/>
          <w:sz w:val="20"/>
          <w:szCs w:val="20"/>
          <w:color w:val="231F20"/>
        </w:rPr>
      </w:pPr>
      <w:r>
        <w:rPr>
          <w:rFonts w:ascii="Arial" w:cs="Arial" w:eastAsia="Arial" w:hAnsi="Arial"/>
          <w:sz w:val="20"/>
          <w:szCs w:val="20"/>
          <w:color w:val="231F20"/>
        </w:rPr>
        <w:t>Financial Statements, Financial Statement Schedules and Exhibits.</w:t>
      </w:r>
    </w:p>
    <w:p>
      <w:pPr>
        <w:spacing w:after="0" w:line="84" w:lineRule="exact"/>
        <w:rPr>
          <w:sz w:val="20"/>
          <w:szCs w:val="20"/>
          <w:color w:val="auto"/>
        </w:rPr>
      </w:pPr>
    </w:p>
    <w:p>
      <w:pPr>
        <w:ind w:left="740" w:right="1080" w:hanging="734"/>
        <w:spacing w:after="0" w:line="277" w:lineRule="auto"/>
        <w:tabs>
          <w:tab w:leader="none" w:pos="740" w:val="left"/>
        </w:tabs>
        <w:numPr>
          <w:ilvl w:val="0"/>
          <w:numId w:val="59"/>
        </w:numPr>
        <w:rPr>
          <w:rFonts w:ascii="Arial" w:cs="Arial" w:eastAsia="Arial" w:hAnsi="Arial"/>
          <w:sz w:val="20"/>
          <w:szCs w:val="20"/>
          <w:color w:val="231F20"/>
        </w:rPr>
      </w:pPr>
      <w:r>
        <w:rPr>
          <w:rFonts w:ascii="Arial" w:cs="Arial" w:eastAsia="Arial" w:hAnsi="Arial"/>
          <w:sz w:val="20"/>
          <w:szCs w:val="20"/>
          <w:color w:val="231F20"/>
        </w:rPr>
        <w:t>Financial Statements (all financial statements listed below are of the Company and its consolidated subsidiaries):</w:t>
      </w:r>
    </w:p>
    <w:p>
      <w:pPr>
        <w:spacing w:after="0" w:line="6" w:lineRule="exact"/>
        <w:rPr>
          <w:rFonts w:ascii="Arial" w:cs="Arial" w:eastAsia="Arial" w:hAnsi="Arial"/>
          <w:sz w:val="20"/>
          <w:szCs w:val="20"/>
          <w:color w:val="231F20"/>
        </w:rPr>
      </w:pPr>
    </w:p>
    <w:p>
      <w:pPr>
        <w:ind w:left="740"/>
        <w:spacing w:after="0" w:line="277" w:lineRule="auto"/>
        <w:rPr>
          <w:rFonts w:ascii="Arial" w:cs="Arial" w:eastAsia="Arial" w:hAnsi="Arial"/>
          <w:sz w:val="20"/>
          <w:szCs w:val="20"/>
          <w:color w:val="231F20"/>
        </w:rPr>
      </w:pPr>
      <w:r>
        <w:rPr>
          <w:rFonts w:ascii="Arial" w:cs="Arial" w:eastAsia="Arial" w:hAnsi="Arial"/>
          <w:sz w:val="20"/>
          <w:szCs w:val="20"/>
          <w:color w:val="231F20"/>
        </w:rPr>
        <w:t>Consolidated Statements of Income for the years ended December 30, 2023, December 31, 2022 and December 31, 2021 contained in Item 8 hereof.</w:t>
      </w:r>
    </w:p>
    <w:p>
      <w:pPr>
        <w:spacing w:after="0" w:line="6" w:lineRule="exact"/>
        <w:rPr>
          <w:rFonts w:ascii="Arial" w:cs="Arial" w:eastAsia="Arial" w:hAnsi="Arial"/>
          <w:sz w:val="20"/>
          <w:szCs w:val="20"/>
          <w:color w:val="231F20"/>
        </w:rPr>
      </w:pPr>
    </w:p>
    <w:p>
      <w:pPr>
        <w:ind w:left="740" w:right="360"/>
        <w:spacing w:after="0" w:line="277" w:lineRule="auto"/>
        <w:rPr>
          <w:rFonts w:ascii="Arial" w:cs="Arial" w:eastAsia="Arial" w:hAnsi="Arial"/>
          <w:sz w:val="20"/>
          <w:szCs w:val="20"/>
          <w:color w:val="231F20"/>
        </w:rPr>
      </w:pPr>
      <w:r>
        <w:rPr>
          <w:rFonts w:ascii="Arial" w:cs="Arial" w:eastAsia="Arial" w:hAnsi="Arial"/>
          <w:sz w:val="20"/>
          <w:szCs w:val="20"/>
          <w:color w:val="231F20"/>
        </w:rPr>
        <w:t>Consolidated Statements of Comprehensive Income for the years ended December 30, 2023, December 31, 2022 and December 31, 2021 contained in Item 8 hereof.</w:t>
      </w:r>
    </w:p>
    <w:p>
      <w:pPr>
        <w:spacing w:after="0" w:line="6" w:lineRule="exact"/>
        <w:rPr>
          <w:rFonts w:ascii="Arial" w:cs="Arial" w:eastAsia="Arial" w:hAnsi="Arial"/>
          <w:sz w:val="20"/>
          <w:szCs w:val="20"/>
          <w:color w:val="231F20"/>
        </w:rPr>
      </w:pPr>
    </w:p>
    <w:p>
      <w:pPr>
        <w:ind w:left="740" w:right="380"/>
        <w:spacing w:after="0" w:line="277" w:lineRule="auto"/>
        <w:rPr>
          <w:rFonts w:ascii="Arial" w:cs="Arial" w:eastAsia="Arial" w:hAnsi="Arial"/>
          <w:sz w:val="20"/>
          <w:szCs w:val="20"/>
          <w:color w:val="231F20"/>
        </w:rPr>
      </w:pPr>
      <w:r>
        <w:rPr>
          <w:rFonts w:ascii="Arial" w:cs="Arial" w:eastAsia="Arial" w:hAnsi="Arial"/>
          <w:sz w:val="20"/>
          <w:szCs w:val="20"/>
          <w:color w:val="231F20"/>
        </w:rPr>
        <w:t>Consolidated Balance Sheets as of December 30, 2023 and December 31, 2022 contained in Item 8 hereof.</w:t>
      </w:r>
    </w:p>
    <w:p>
      <w:pPr>
        <w:spacing w:after="0" w:line="6" w:lineRule="exact"/>
        <w:rPr>
          <w:rFonts w:ascii="Arial" w:cs="Arial" w:eastAsia="Arial" w:hAnsi="Arial"/>
          <w:sz w:val="20"/>
          <w:szCs w:val="20"/>
          <w:color w:val="231F20"/>
        </w:rPr>
      </w:pPr>
    </w:p>
    <w:p>
      <w:pPr>
        <w:ind w:left="740" w:right="120"/>
        <w:spacing w:after="0" w:line="277" w:lineRule="auto"/>
        <w:rPr>
          <w:rFonts w:ascii="Arial" w:cs="Arial" w:eastAsia="Arial" w:hAnsi="Arial"/>
          <w:sz w:val="20"/>
          <w:szCs w:val="20"/>
          <w:color w:val="231F20"/>
        </w:rPr>
      </w:pPr>
      <w:r>
        <w:rPr>
          <w:rFonts w:ascii="Arial" w:cs="Arial" w:eastAsia="Arial" w:hAnsi="Arial"/>
          <w:sz w:val="20"/>
          <w:szCs w:val="20"/>
          <w:color w:val="231F20"/>
        </w:rPr>
        <w:t>Consolidated Statements of Cash Flows for the years ended December 30, 2023, December 31, 2022 and December 31, 2021 contained in Item 8 hereof.</w:t>
      </w:r>
    </w:p>
    <w:p>
      <w:pPr>
        <w:spacing w:after="0" w:line="6" w:lineRule="exact"/>
        <w:rPr>
          <w:rFonts w:ascii="Arial" w:cs="Arial" w:eastAsia="Arial" w:hAnsi="Arial"/>
          <w:sz w:val="20"/>
          <w:szCs w:val="20"/>
          <w:color w:val="231F20"/>
        </w:rPr>
      </w:pPr>
    </w:p>
    <w:p>
      <w:pPr>
        <w:ind w:left="740" w:right="100"/>
        <w:spacing w:after="0" w:line="277" w:lineRule="auto"/>
        <w:rPr>
          <w:rFonts w:ascii="Arial" w:cs="Arial" w:eastAsia="Arial" w:hAnsi="Arial"/>
          <w:sz w:val="20"/>
          <w:szCs w:val="20"/>
          <w:color w:val="231F20"/>
        </w:rPr>
      </w:pPr>
      <w:r>
        <w:rPr>
          <w:rFonts w:ascii="Arial" w:cs="Arial" w:eastAsia="Arial" w:hAnsi="Arial"/>
          <w:sz w:val="20"/>
          <w:szCs w:val="20"/>
          <w:color w:val="231F20"/>
        </w:rPr>
        <w:t>Consolidated Statements of Equity for the years ended December 30, 2023, December 31, 2022 and December 31, 2021 contained in Item 8 hereof.</w:t>
      </w:r>
    </w:p>
    <w:p>
      <w:pPr>
        <w:spacing w:after="0" w:line="6" w:lineRule="exact"/>
        <w:rPr>
          <w:rFonts w:ascii="Arial" w:cs="Arial" w:eastAsia="Arial" w:hAnsi="Arial"/>
          <w:sz w:val="20"/>
          <w:szCs w:val="20"/>
          <w:color w:val="231F20"/>
        </w:rPr>
      </w:pPr>
    </w:p>
    <w:p>
      <w:pPr>
        <w:ind w:left="740"/>
        <w:spacing w:after="0"/>
        <w:rPr>
          <w:rFonts w:ascii="Arial" w:cs="Arial" w:eastAsia="Arial" w:hAnsi="Arial"/>
          <w:sz w:val="20"/>
          <w:szCs w:val="20"/>
          <w:color w:val="231F20"/>
        </w:rPr>
      </w:pPr>
      <w:r>
        <w:rPr>
          <w:rFonts w:ascii="Arial" w:cs="Arial" w:eastAsia="Arial" w:hAnsi="Arial"/>
          <w:sz w:val="20"/>
          <w:szCs w:val="20"/>
          <w:color w:val="231F20"/>
        </w:rPr>
        <w:t>Notes to Consolidated Financial Statements contained in Item 8 hereof.</w:t>
      </w:r>
    </w:p>
    <w:p>
      <w:pPr>
        <w:spacing w:after="0" w:line="83" w:lineRule="exact"/>
        <w:rPr>
          <w:rFonts w:ascii="Arial" w:cs="Arial" w:eastAsia="Arial" w:hAnsi="Arial"/>
          <w:sz w:val="20"/>
          <w:szCs w:val="20"/>
          <w:color w:val="231F20"/>
        </w:rPr>
      </w:pPr>
    </w:p>
    <w:p>
      <w:pPr>
        <w:ind w:left="740" w:right="20"/>
        <w:spacing w:after="0" w:line="277" w:lineRule="auto"/>
        <w:rPr>
          <w:rFonts w:ascii="Arial" w:cs="Arial" w:eastAsia="Arial" w:hAnsi="Arial"/>
          <w:sz w:val="20"/>
          <w:szCs w:val="20"/>
          <w:color w:val="231F20"/>
        </w:rPr>
      </w:pPr>
      <w:r>
        <w:rPr>
          <w:rFonts w:ascii="Arial" w:cs="Arial" w:eastAsia="Arial" w:hAnsi="Arial"/>
          <w:sz w:val="20"/>
          <w:szCs w:val="20"/>
          <w:color w:val="231F20"/>
        </w:rPr>
        <w:t>Report of Independent Registered Public Accounting Firm contained in Item 8 hereof. (PCAOB ID Number: 238)</w:t>
      </w:r>
    </w:p>
    <w:p>
      <w:pPr>
        <w:spacing w:after="0" w:line="6" w:lineRule="exact"/>
        <w:rPr>
          <w:rFonts w:ascii="Arial" w:cs="Arial" w:eastAsia="Arial" w:hAnsi="Arial"/>
          <w:sz w:val="20"/>
          <w:szCs w:val="20"/>
          <w:color w:val="231F20"/>
        </w:rPr>
      </w:pPr>
    </w:p>
    <w:p>
      <w:pPr>
        <w:ind w:left="740" w:hanging="734"/>
        <w:spacing w:after="0"/>
        <w:tabs>
          <w:tab w:leader="none" w:pos="740" w:val="left"/>
        </w:tabs>
        <w:numPr>
          <w:ilvl w:val="0"/>
          <w:numId w:val="59"/>
        </w:numPr>
        <w:rPr>
          <w:rFonts w:ascii="Arial" w:cs="Arial" w:eastAsia="Arial" w:hAnsi="Arial"/>
          <w:sz w:val="20"/>
          <w:szCs w:val="20"/>
          <w:color w:val="231F20"/>
        </w:rPr>
      </w:pPr>
      <w:r>
        <w:rPr>
          <w:rFonts w:ascii="Arial" w:cs="Arial" w:eastAsia="Arial" w:hAnsi="Arial"/>
          <w:sz w:val="20"/>
          <w:szCs w:val="20"/>
          <w:color w:val="231F20"/>
        </w:rPr>
        <w:t>Financial Statement Schedules</w:t>
      </w:r>
    </w:p>
    <w:p>
      <w:pPr>
        <w:spacing w:after="0" w:line="83" w:lineRule="exact"/>
        <w:rPr>
          <w:rFonts w:ascii="Arial" w:cs="Arial" w:eastAsia="Arial" w:hAnsi="Arial"/>
          <w:sz w:val="20"/>
          <w:szCs w:val="20"/>
          <w:color w:val="231F20"/>
        </w:rPr>
      </w:pPr>
    </w:p>
    <w:p>
      <w:pPr>
        <w:ind w:left="740"/>
        <w:spacing w:after="0"/>
        <w:rPr>
          <w:rFonts w:ascii="Arial" w:cs="Arial" w:eastAsia="Arial" w:hAnsi="Arial"/>
          <w:sz w:val="20"/>
          <w:szCs w:val="20"/>
          <w:color w:val="231F20"/>
        </w:rPr>
      </w:pPr>
      <w:r>
        <w:rPr>
          <w:rFonts w:ascii="Arial" w:cs="Arial" w:eastAsia="Arial" w:hAnsi="Arial"/>
          <w:sz w:val="20"/>
          <w:szCs w:val="20"/>
          <w:color w:val="231F20"/>
        </w:rPr>
        <w:t>See Financial Statement Schedule of the Company and subsidiaries at page 98.</w:t>
      </w:r>
    </w:p>
    <w:p>
      <w:pPr>
        <w:spacing w:after="0" w:line="84" w:lineRule="exact"/>
        <w:rPr>
          <w:rFonts w:ascii="Arial" w:cs="Arial" w:eastAsia="Arial" w:hAnsi="Arial"/>
          <w:sz w:val="20"/>
          <w:szCs w:val="20"/>
          <w:color w:val="231F20"/>
        </w:rPr>
      </w:pPr>
    </w:p>
    <w:p>
      <w:pPr>
        <w:ind w:left="740" w:hanging="734"/>
        <w:spacing w:after="0"/>
        <w:tabs>
          <w:tab w:leader="none" w:pos="740" w:val="left"/>
        </w:tabs>
        <w:numPr>
          <w:ilvl w:val="0"/>
          <w:numId w:val="59"/>
        </w:numPr>
        <w:rPr>
          <w:rFonts w:ascii="Arial" w:cs="Arial" w:eastAsia="Arial" w:hAnsi="Arial"/>
          <w:sz w:val="20"/>
          <w:szCs w:val="20"/>
          <w:color w:val="231F20"/>
        </w:rPr>
      </w:pPr>
      <w:r>
        <w:rPr>
          <w:rFonts w:ascii="Arial" w:cs="Arial" w:eastAsia="Arial" w:hAnsi="Arial"/>
          <w:sz w:val="20"/>
          <w:szCs w:val="20"/>
          <w:color w:val="231F20"/>
        </w:rPr>
        <w:t>Exhibits</w:t>
      </w:r>
    </w:p>
    <w:p>
      <w:pPr>
        <w:spacing w:after="0" w:line="216" w:lineRule="exact"/>
        <w:rPr>
          <w:sz w:val="20"/>
          <w:szCs w:val="20"/>
          <w:color w:val="auto"/>
        </w:rPr>
      </w:pPr>
    </w:p>
    <w:p>
      <w:pPr>
        <w:ind w:left="840" w:right="200" w:hanging="842"/>
        <w:spacing w:after="0" w:line="247" w:lineRule="auto"/>
        <w:tabs>
          <w:tab w:leader="none" w:pos="820" w:val="left"/>
        </w:tabs>
        <w:rPr>
          <w:sz w:val="20"/>
          <w:szCs w:val="20"/>
          <w:color w:val="auto"/>
        </w:rPr>
      </w:pPr>
      <w:r>
        <w:rPr>
          <w:rFonts w:ascii="Arial" w:cs="Arial" w:eastAsia="Arial" w:hAnsi="Arial"/>
          <w:sz w:val="20"/>
          <w:szCs w:val="20"/>
          <w:color w:val="231F20"/>
        </w:rPr>
        <w:t>2.1.</w:t>
      </w:r>
      <w:r>
        <w:rPr>
          <w:sz w:val="20"/>
          <w:szCs w:val="20"/>
          <w:color w:val="auto"/>
        </w:rPr>
        <w:tab/>
      </w:r>
      <w:r>
        <w:rPr>
          <w:rFonts w:ascii="Arial" w:cs="Arial" w:eastAsia="Arial" w:hAnsi="Arial"/>
          <w:sz w:val="20"/>
          <w:szCs w:val="20"/>
          <w:color w:val="231F20"/>
        </w:rPr>
        <w:t>Equity Purchase Agreement dated November 16, 2020 between Fortune Brands Doors, Inc., Fortune Brands Home &amp; Security, Inc. and the owners of Larson Manufacturing Company of South Dakota and its affiliated companies, is incorporated herein by reference to Exhibit 2.1 to the Company's Annual Report on Form 10-K filed on February 24, 2021</w:t>
      </w:r>
      <w:r>
        <w:rPr>
          <w:rFonts w:ascii="Arial" w:cs="Arial" w:eastAsia="Arial" w:hAnsi="Arial"/>
          <w:sz w:val="20"/>
          <w:szCs w:val="20"/>
          <w:u w:val="single" w:color="auto"/>
          <w:color w:val="383738"/>
        </w:rPr>
        <w:t>.</w:t>
      </w:r>
    </w:p>
    <w:p>
      <w:pPr>
        <w:spacing w:after="0" w:line="26" w:lineRule="exact"/>
        <w:rPr>
          <w:sz w:val="20"/>
          <w:szCs w:val="20"/>
          <w:color w:val="auto"/>
        </w:rPr>
      </w:pPr>
    </w:p>
    <w:p>
      <w:pPr>
        <w:ind w:left="840" w:right="140" w:hanging="842"/>
        <w:spacing w:after="0" w:line="255" w:lineRule="auto"/>
        <w:tabs>
          <w:tab w:leader="none" w:pos="820" w:val="left"/>
        </w:tabs>
        <w:rPr>
          <w:sz w:val="20"/>
          <w:szCs w:val="20"/>
          <w:color w:val="auto"/>
        </w:rPr>
      </w:pPr>
      <w:r>
        <w:rPr>
          <w:rFonts w:ascii="Arial" w:cs="Arial" w:eastAsia="Arial" w:hAnsi="Arial"/>
          <w:sz w:val="20"/>
          <w:szCs w:val="20"/>
          <w:color w:val="231F20"/>
        </w:rPr>
        <w:t>2.2.</w:t>
      </w:r>
      <w:r>
        <w:rPr>
          <w:sz w:val="20"/>
          <w:szCs w:val="20"/>
          <w:color w:val="auto"/>
        </w:rPr>
        <w:tab/>
      </w:r>
      <w:r>
        <w:rPr>
          <w:rFonts w:ascii="Arial" w:cs="Arial" w:eastAsia="Arial" w:hAnsi="Arial"/>
          <w:sz w:val="20"/>
          <w:szCs w:val="20"/>
          <w:color w:val="231F20"/>
        </w:rPr>
        <w:t>Separation and Distribution Agreement dated December 14, 2022, between Fortune Brands Home &amp; Security, Inc. and MasterBrand, Inc., is incorporated herein by reference to Exhibit 2.1 to the Company's Current Report on Form 8-K filed on December 16, 2022.</w:t>
      </w:r>
    </w:p>
    <w:p>
      <w:pPr>
        <w:spacing w:after="0" w:line="17" w:lineRule="exact"/>
        <w:rPr>
          <w:sz w:val="20"/>
          <w:szCs w:val="20"/>
          <w:color w:val="auto"/>
        </w:rPr>
      </w:pPr>
    </w:p>
    <w:p>
      <w:pPr>
        <w:ind w:left="840" w:right="260" w:hanging="842"/>
        <w:spacing w:after="0" w:line="247" w:lineRule="auto"/>
        <w:tabs>
          <w:tab w:leader="none" w:pos="820" w:val="left"/>
        </w:tabs>
        <w:rPr>
          <w:sz w:val="20"/>
          <w:szCs w:val="20"/>
          <w:color w:val="auto"/>
        </w:rPr>
      </w:pPr>
      <w:r>
        <w:rPr>
          <w:rFonts w:ascii="Arial" w:cs="Arial" w:eastAsia="Arial" w:hAnsi="Arial"/>
          <w:sz w:val="20"/>
          <w:szCs w:val="20"/>
          <w:color w:val="231F20"/>
        </w:rPr>
        <w:t>2.3.</w:t>
      </w:r>
      <w:r>
        <w:rPr>
          <w:sz w:val="20"/>
          <w:szCs w:val="20"/>
          <w:color w:val="auto"/>
        </w:rPr>
        <w:tab/>
      </w:r>
      <w:r>
        <w:rPr>
          <w:rFonts w:ascii="Arial" w:cs="Arial" w:eastAsia="Arial" w:hAnsi="Arial"/>
          <w:sz w:val="20"/>
          <w:szCs w:val="20"/>
          <w:color w:val="231F20"/>
        </w:rPr>
        <w:t>Stock Purchase Agreement, dated December 1, 2022, by and among ASSA ABLOY Inc., Fortune Brands Home &amp; Security, Inc., and ASSA ABLOY AB, solely for purposes of Section 13.20 thereunder, is incorporated herein by reference to Exhibit 2.1 to the Company's Current Report on Form 8-K filed on December 2, 2022.</w:t>
      </w:r>
    </w:p>
    <w:p>
      <w:pPr>
        <w:spacing w:after="0" w:line="26" w:lineRule="exact"/>
        <w:rPr>
          <w:sz w:val="20"/>
          <w:szCs w:val="20"/>
          <w:color w:val="auto"/>
        </w:rPr>
      </w:pPr>
    </w:p>
    <w:p>
      <w:pPr>
        <w:ind w:left="840" w:right="60" w:hanging="842"/>
        <w:spacing w:after="0" w:line="255" w:lineRule="auto"/>
        <w:tabs>
          <w:tab w:leader="none" w:pos="820" w:val="left"/>
        </w:tabs>
        <w:rPr>
          <w:sz w:val="20"/>
          <w:szCs w:val="20"/>
          <w:color w:val="auto"/>
        </w:rPr>
      </w:pPr>
      <w:r>
        <w:rPr>
          <w:rFonts w:ascii="Arial" w:cs="Arial" w:eastAsia="Arial" w:hAnsi="Arial"/>
          <w:sz w:val="20"/>
          <w:szCs w:val="20"/>
          <w:color w:val="231F20"/>
        </w:rPr>
        <w:t>3.1.</w:t>
      </w:r>
      <w:r>
        <w:rPr>
          <w:sz w:val="20"/>
          <w:szCs w:val="20"/>
          <w:color w:val="auto"/>
        </w:rPr>
        <w:tab/>
      </w:r>
      <w:r>
        <w:rPr>
          <w:rFonts w:ascii="Arial" w:cs="Arial" w:eastAsia="Arial" w:hAnsi="Arial"/>
          <w:sz w:val="20"/>
          <w:szCs w:val="20"/>
          <w:color w:val="231F20"/>
        </w:rPr>
        <w:t>Amended and Restated Certificate of Incorporation of Fortune Brands Innovations, Inc., dated as of May 16, 2023, is incorporated herein by reference to Exhibit 3.1 to the Company’s Current Report on Form 8-K filed on May 19, 2023.</w:t>
      </w:r>
    </w:p>
    <w:p>
      <w:pPr>
        <w:spacing w:after="0" w:line="17" w:lineRule="exact"/>
        <w:rPr>
          <w:sz w:val="20"/>
          <w:szCs w:val="20"/>
          <w:color w:val="auto"/>
        </w:rPr>
      </w:pPr>
    </w:p>
    <w:p>
      <w:pPr>
        <w:ind w:left="840" w:right="260" w:hanging="842"/>
        <w:spacing w:after="0" w:line="255" w:lineRule="auto"/>
        <w:tabs>
          <w:tab w:leader="none" w:pos="820" w:val="left"/>
        </w:tabs>
        <w:rPr>
          <w:sz w:val="20"/>
          <w:szCs w:val="20"/>
          <w:color w:val="auto"/>
        </w:rPr>
      </w:pPr>
      <w:r>
        <w:rPr>
          <w:rFonts w:ascii="Arial" w:cs="Arial" w:eastAsia="Arial" w:hAnsi="Arial"/>
          <w:sz w:val="20"/>
          <w:szCs w:val="20"/>
          <w:color w:val="231F20"/>
        </w:rPr>
        <w:t>3.2.</w:t>
      </w:r>
      <w:r>
        <w:rPr>
          <w:sz w:val="20"/>
          <w:szCs w:val="20"/>
          <w:color w:val="auto"/>
        </w:rPr>
        <w:tab/>
      </w:r>
      <w:r>
        <w:rPr>
          <w:rFonts w:ascii="Arial" w:cs="Arial" w:eastAsia="Arial" w:hAnsi="Arial"/>
          <w:sz w:val="20"/>
          <w:szCs w:val="20"/>
          <w:color w:val="231F20"/>
        </w:rPr>
        <w:t>Amended and Restated Bylaws of Fortune Brands Innovations, Inc., effective December 13, 2022, are incorporated herein by reference to Exhibit 3.2 to the Company's Current Report on Form 8-K filed on December 16, 2022.</w:t>
      </w:r>
    </w:p>
    <w:p>
      <w:pPr>
        <w:spacing w:after="0" w:line="17" w:lineRule="exact"/>
        <w:rPr>
          <w:sz w:val="20"/>
          <w:szCs w:val="20"/>
          <w:color w:val="auto"/>
        </w:rPr>
      </w:pPr>
    </w:p>
    <w:p>
      <w:pPr>
        <w:ind w:left="840" w:right="340" w:hanging="842"/>
        <w:spacing w:after="0" w:line="274" w:lineRule="auto"/>
        <w:tabs>
          <w:tab w:leader="none" w:pos="820" w:val="left"/>
        </w:tabs>
        <w:rPr>
          <w:sz w:val="20"/>
          <w:szCs w:val="20"/>
          <w:color w:val="auto"/>
        </w:rPr>
      </w:pPr>
      <w:r>
        <w:rPr>
          <w:rFonts w:ascii="Arial" w:cs="Arial" w:eastAsia="Arial" w:hAnsi="Arial"/>
          <w:sz w:val="20"/>
          <w:szCs w:val="20"/>
          <w:color w:val="231F20"/>
        </w:rPr>
        <w:t>4.1.</w:t>
      </w:r>
      <w:r>
        <w:rPr>
          <w:sz w:val="20"/>
          <w:szCs w:val="20"/>
          <w:color w:val="auto"/>
        </w:rPr>
        <w:tab/>
      </w:r>
      <w:r>
        <w:rPr>
          <w:rFonts w:ascii="Arial" w:cs="Arial" w:eastAsia="Arial" w:hAnsi="Arial"/>
          <w:sz w:val="20"/>
          <w:szCs w:val="20"/>
          <w:color w:val="231F20"/>
        </w:rPr>
        <w:t>Description of Securities is incorporated by reference to Exhibit 4.1 to the Company's Annual Report on Form 10-K filed on February 28, 2023.</w:t>
      </w:r>
    </w:p>
    <w:p>
      <w:pPr>
        <w:spacing w:after="0" w:line="2" w:lineRule="exact"/>
        <w:rPr>
          <w:sz w:val="20"/>
          <w:szCs w:val="20"/>
          <w:color w:val="auto"/>
        </w:rPr>
      </w:pPr>
    </w:p>
    <w:p>
      <w:pPr>
        <w:ind w:left="840" w:right="260" w:hanging="842"/>
        <w:spacing w:after="0" w:line="247" w:lineRule="auto"/>
        <w:tabs>
          <w:tab w:leader="none" w:pos="820" w:val="left"/>
        </w:tabs>
        <w:rPr>
          <w:sz w:val="20"/>
          <w:szCs w:val="20"/>
          <w:color w:val="auto"/>
        </w:rPr>
      </w:pPr>
      <w:r>
        <w:rPr>
          <w:rFonts w:ascii="Arial" w:cs="Arial" w:eastAsia="Arial" w:hAnsi="Arial"/>
          <w:sz w:val="20"/>
          <w:szCs w:val="20"/>
          <w:color w:val="231F20"/>
        </w:rPr>
        <w:t>4.2.</w:t>
      </w:r>
      <w:r>
        <w:rPr>
          <w:sz w:val="20"/>
          <w:szCs w:val="20"/>
          <w:color w:val="auto"/>
        </w:rPr>
        <w:tab/>
      </w:r>
      <w:r>
        <w:rPr>
          <w:rFonts w:ascii="Arial" w:cs="Arial" w:eastAsia="Arial" w:hAnsi="Arial"/>
          <w:sz w:val="20"/>
          <w:szCs w:val="20"/>
          <w:color w:val="231F20"/>
        </w:rPr>
        <w:t>Indenture, dated as of June 15, 2015, by and among Fortune Brands Home &amp; Security, Inc., Wilmington Trust, National Association, as Trustee, and Citibank, N.A., as Securities Agent is incorporated herein by reference to Exhibit 4.1 to the Company’s Current Report on Form 8-K filed on June 16, 2015.</w:t>
      </w:r>
    </w:p>
    <w:p>
      <w:pPr>
        <w:spacing w:after="0" w:line="26"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231F20"/>
        </w:rPr>
        <w:t>4.3.</w:t>
      </w:r>
      <w:r>
        <w:rPr>
          <w:sz w:val="20"/>
          <w:szCs w:val="20"/>
          <w:color w:val="auto"/>
        </w:rPr>
        <w:tab/>
      </w:r>
      <w:r>
        <w:rPr>
          <w:rFonts w:ascii="Arial" w:cs="Arial" w:eastAsia="Arial" w:hAnsi="Arial"/>
          <w:sz w:val="20"/>
          <w:szCs w:val="20"/>
          <w:color w:val="231F20"/>
        </w:rPr>
        <w:t>First Supplemental Indenture, dated as of June 15, 2015, by and among Fortune Brands Home</w:t>
      </w:r>
    </w:p>
    <w:p>
      <w:pPr>
        <w:spacing w:after="0" w:line="19" w:lineRule="exact"/>
        <w:rPr>
          <w:sz w:val="20"/>
          <w:szCs w:val="20"/>
          <w:color w:val="auto"/>
        </w:rPr>
      </w:pPr>
    </w:p>
    <w:p>
      <w:pPr>
        <w:ind w:left="840" w:right="380" w:firstLine="9"/>
        <w:spacing w:after="0" w:line="241" w:lineRule="auto"/>
        <w:tabs>
          <w:tab w:leader="none" w:pos="1031" w:val="left"/>
        </w:tabs>
        <w:numPr>
          <w:ilvl w:val="0"/>
          <w:numId w:val="60"/>
        </w:numPr>
        <w:rPr>
          <w:rFonts w:ascii="Arial" w:cs="Arial" w:eastAsia="Arial" w:hAnsi="Arial"/>
          <w:sz w:val="20"/>
          <w:szCs w:val="20"/>
          <w:color w:val="231F20"/>
        </w:rPr>
      </w:pPr>
      <w:r>
        <w:rPr>
          <w:rFonts w:ascii="Arial" w:cs="Arial" w:eastAsia="Arial" w:hAnsi="Arial"/>
          <w:sz w:val="20"/>
          <w:szCs w:val="20"/>
          <w:color w:val="231F20"/>
        </w:rPr>
        <w:t>Security, Inc., Wilmington Trust, National Association, as Trustee, and Citibank, N.A., as Securities Agent is incorporated herein by reference to Exhibit 4.2 to the Company’s Current Report on Form 8-K filed on June 16, 2015.</w:t>
      </w:r>
    </w:p>
    <w:p>
      <w:pPr>
        <w:sectPr>
          <w:pgSz w:w="12240" w:h="15840" w:orient="portrait"/>
          <w:cols w:equalWidth="0" w:num="1">
            <w:col w:w="9460"/>
          </w:cols>
          <w:pgMar w:left="1380" w:top="1334"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93</w:t>
      </w:r>
    </w:p>
    <w:p>
      <w:pPr>
        <w:sectPr>
          <w:pgSz w:w="12240" w:h="15840" w:orient="portrait"/>
          <w:cols w:equalWidth="0" w:num="1">
            <w:col w:w="9460"/>
          </w:cols>
          <w:pgMar w:left="1380" w:top="1334" w:right="1400" w:bottom="95" w:gutter="0" w:footer="0" w:header="0"/>
          <w:type w:val="continuous"/>
        </w:sectPr>
      </w:pPr>
    </w:p>
    <w:bookmarkStart w:id="101" w:name="page102"/>
    <w:bookmarkEnd w:id="101"/>
    <w:p>
      <w:pPr>
        <w:ind w:left="780" w:right="100" w:hanging="842"/>
        <w:spacing w:after="0" w:line="257" w:lineRule="auto"/>
        <w:tabs>
          <w:tab w:leader="none" w:pos="760" w:val="left"/>
        </w:tabs>
        <w:rPr>
          <w:sz w:val="20"/>
          <w:szCs w:val="20"/>
          <w:color w:val="auto"/>
        </w:rPr>
      </w:pPr>
      <w:r>
        <w:rPr>
          <w:rFonts w:ascii="Arial" w:cs="Arial" w:eastAsia="Arial" w:hAnsi="Arial"/>
          <w:sz w:val="20"/>
          <w:szCs w:val="20"/>
          <w:color w:val="231F20"/>
        </w:rPr>
        <w:t>4.4.</w:t>
      </w:r>
      <w:r>
        <w:rPr>
          <w:sz w:val="20"/>
          <w:szCs w:val="20"/>
          <w:color w:val="auto"/>
        </w:rPr>
        <w:tab/>
      </w:r>
      <w:r>
        <w:rPr>
          <w:rFonts w:ascii="Arial" w:cs="Arial" w:eastAsia="Arial" w:hAnsi="Arial"/>
          <w:sz w:val="20"/>
          <w:szCs w:val="20"/>
          <w:color w:val="231F20"/>
        </w:rPr>
        <w:t>Third Supplemental Indenture, dated as of September 13, 2019, by and among Fortune Brands Home &amp; Security, Inc., Wilmington Trust, National Association, as Trustee, and Citibank, N.A., as Securities Agent is incorporated by reference to Exhibit 4.1 to the Company’s current report on Form 8-K filed on September 13, 2019.</w:t>
      </w:r>
    </w:p>
    <w:p>
      <w:pPr>
        <w:spacing w:after="0" w:line="26" w:lineRule="exact"/>
        <w:rPr>
          <w:sz w:val="20"/>
          <w:szCs w:val="20"/>
          <w:color w:val="auto"/>
        </w:rPr>
      </w:pPr>
    </w:p>
    <w:p>
      <w:pPr>
        <w:ind w:left="780" w:right="60" w:hanging="842"/>
        <w:spacing w:after="0" w:line="257" w:lineRule="auto"/>
        <w:tabs>
          <w:tab w:leader="none" w:pos="760" w:val="left"/>
        </w:tabs>
        <w:rPr>
          <w:sz w:val="20"/>
          <w:szCs w:val="20"/>
          <w:color w:val="auto"/>
        </w:rPr>
      </w:pPr>
      <w:r>
        <w:rPr>
          <w:rFonts w:ascii="Arial" w:cs="Arial" w:eastAsia="Arial" w:hAnsi="Arial"/>
          <w:sz w:val="20"/>
          <w:szCs w:val="20"/>
          <w:color w:val="231F20"/>
        </w:rPr>
        <w:t>4.5.</w:t>
      </w:r>
      <w:r>
        <w:rPr>
          <w:sz w:val="20"/>
          <w:szCs w:val="20"/>
          <w:color w:val="auto"/>
        </w:rPr>
        <w:tab/>
      </w:r>
      <w:r>
        <w:rPr>
          <w:rFonts w:ascii="Arial" w:cs="Arial" w:eastAsia="Arial" w:hAnsi="Arial"/>
          <w:sz w:val="20"/>
          <w:szCs w:val="20"/>
          <w:color w:val="231F20"/>
        </w:rPr>
        <w:t>Fourth Supplemental Indenture, dated as of March 25, 2022, by and among Fortune Brands Home &amp; Security, Inc., Wilmington Trust, National Association, as Trustee, and Citibank, N.A., as Securities Agent, is incorporated herein by reference to Exhibit 4.9 to the Company's Current Report on Form 8-K filed on March 25, 2022.</w:t>
      </w:r>
    </w:p>
    <w:p>
      <w:pPr>
        <w:spacing w:after="0" w:line="26" w:lineRule="exact"/>
        <w:rPr>
          <w:sz w:val="20"/>
          <w:szCs w:val="20"/>
          <w:color w:val="auto"/>
        </w:rPr>
      </w:pPr>
    </w:p>
    <w:p>
      <w:pPr>
        <w:ind w:left="780" w:right="200" w:hanging="842"/>
        <w:spacing w:after="0" w:line="257" w:lineRule="auto"/>
        <w:tabs>
          <w:tab w:leader="none" w:pos="760" w:val="left"/>
        </w:tabs>
        <w:rPr>
          <w:sz w:val="20"/>
          <w:szCs w:val="20"/>
          <w:color w:val="auto"/>
        </w:rPr>
      </w:pPr>
      <w:r>
        <w:rPr>
          <w:rFonts w:ascii="Arial" w:cs="Arial" w:eastAsia="Arial" w:hAnsi="Arial"/>
          <w:sz w:val="20"/>
          <w:szCs w:val="20"/>
          <w:color w:val="231F20"/>
        </w:rPr>
        <w:t>4.6.</w:t>
      </w:r>
      <w:r>
        <w:rPr>
          <w:sz w:val="20"/>
          <w:szCs w:val="20"/>
          <w:color w:val="auto"/>
        </w:rPr>
        <w:tab/>
      </w:r>
      <w:r>
        <w:rPr>
          <w:rFonts w:ascii="Arial" w:cs="Arial" w:eastAsia="Arial" w:hAnsi="Arial"/>
          <w:sz w:val="20"/>
          <w:szCs w:val="20"/>
          <w:color w:val="231F20"/>
        </w:rPr>
        <w:t>Fifth Supplemental Indenture, dated as of June 14, 2023, by and among Fortune Brands Innovations, Inc., Wilmington Trust, National Association, as Trustee, and Citibank, N.A., as Securities Agent, is incorporated herein by reference to Exhibit 4.12 to the Company's Current Report on Form 8-K filed on June 16, 2023.</w:t>
      </w:r>
    </w:p>
    <w:p>
      <w:pPr>
        <w:spacing w:after="0" w:line="26" w:lineRule="exact"/>
        <w:rPr>
          <w:sz w:val="20"/>
          <w:szCs w:val="20"/>
          <w:color w:val="auto"/>
        </w:rPr>
      </w:pPr>
    </w:p>
    <w:p>
      <w:pPr>
        <w:ind w:left="780" w:right="320" w:hanging="842"/>
        <w:spacing w:after="0" w:line="265" w:lineRule="auto"/>
        <w:tabs>
          <w:tab w:leader="none" w:pos="760" w:val="left"/>
        </w:tabs>
        <w:rPr>
          <w:sz w:val="20"/>
          <w:szCs w:val="20"/>
          <w:color w:val="auto"/>
        </w:rPr>
      </w:pPr>
      <w:r>
        <w:rPr>
          <w:rFonts w:ascii="Arial" w:cs="Arial" w:eastAsia="Arial" w:hAnsi="Arial"/>
          <w:sz w:val="20"/>
          <w:szCs w:val="20"/>
          <w:color w:val="231F20"/>
        </w:rPr>
        <w:t>4.7.</w:t>
      </w:r>
      <w:r>
        <w:rPr>
          <w:sz w:val="20"/>
          <w:szCs w:val="20"/>
          <w:color w:val="auto"/>
        </w:rPr>
        <w:tab/>
      </w:r>
      <w:r>
        <w:rPr>
          <w:rFonts w:ascii="Arial" w:cs="Arial" w:eastAsia="Arial" w:hAnsi="Arial"/>
          <w:sz w:val="20"/>
          <w:szCs w:val="20"/>
          <w:color w:val="231F20"/>
        </w:rPr>
        <w:t>Form of global certificate for the Company’s 4.000% Senior Notes due 2025 is incorporated herein by reference to Exhibit 4.4 to the Company’s Current Report on Form 8-K on June 16, 2015.</w:t>
      </w:r>
    </w:p>
    <w:p>
      <w:pPr>
        <w:spacing w:after="0" w:line="17" w:lineRule="exact"/>
        <w:rPr>
          <w:sz w:val="20"/>
          <w:szCs w:val="20"/>
          <w:color w:val="auto"/>
        </w:rPr>
      </w:pPr>
    </w:p>
    <w:p>
      <w:pPr>
        <w:ind w:left="780" w:right="460" w:hanging="842"/>
        <w:spacing w:after="0" w:line="265" w:lineRule="auto"/>
        <w:tabs>
          <w:tab w:leader="none" w:pos="760" w:val="left"/>
        </w:tabs>
        <w:rPr>
          <w:sz w:val="20"/>
          <w:szCs w:val="20"/>
          <w:color w:val="auto"/>
        </w:rPr>
      </w:pPr>
      <w:r>
        <w:rPr>
          <w:rFonts w:ascii="Arial" w:cs="Arial" w:eastAsia="Arial" w:hAnsi="Arial"/>
          <w:sz w:val="20"/>
          <w:szCs w:val="20"/>
          <w:color w:val="231F20"/>
        </w:rPr>
        <w:t>4.8.</w:t>
      </w:r>
      <w:r>
        <w:rPr>
          <w:sz w:val="20"/>
          <w:szCs w:val="20"/>
          <w:color w:val="auto"/>
        </w:rPr>
        <w:tab/>
      </w:r>
      <w:r>
        <w:rPr>
          <w:rFonts w:ascii="Arial" w:cs="Arial" w:eastAsia="Arial" w:hAnsi="Arial"/>
          <w:sz w:val="20"/>
          <w:szCs w:val="20"/>
          <w:color w:val="231F20"/>
        </w:rPr>
        <w:t>Form of global certificate for the Company’s 3.250% Senior Notes due 2029 is incorporated herein by reference to Exhibit 4.2 to the Company’s Current Report on Form 8-K filed on September 13, 2019.</w:t>
      </w:r>
    </w:p>
    <w:p>
      <w:pPr>
        <w:spacing w:after="0" w:line="17" w:lineRule="exact"/>
        <w:rPr>
          <w:sz w:val="20"/>
          <w:szCs w:val="20"/>
          <w:color w:val="auto"/>
        </w:rPr>
      </w:pPr>
    </w:p>
    <w:p>
      <w:pPr>
        <w:ind w:left="780" w:hanging="842"/>
        <w:spacing w:after="0" w:line="284" w:lineRule="auto"/>
        <w:tabs>
          <w:tab w:leader="none" w:pos="760" w:val="left"/>
        </w:tabs>
        <w:rPr>
          <w:sz w:val="20"/>
          <w:szCs w:val="20"/>
          <w:color w:val="auto"/>
        </w:rPr>
      </w:pPr>
      <w:r>
        <w:rPr>
          <w:rFonts w:ascii="Arial" w:cs="Arial" w:eastAsia="Arial" w:hAnsi="Arial"/>
          <w:sz w:val="20"/>
          <w:szCs w:val="20"/>
          <w:color w:val="231F20"/>
        </w:rPr>
        <w:t>4.9.</w:t>
      </w:r>
      <w:r>
        <w:rPr>
          <w:sz w:val="20"/>
          <w:szCs w:val="20"/>
          <w:color w:val="auto"/>
        </w:rPr>
        <w:tab/>
      </w:r>
      <w:r>
        <w:rPr>
          <w:rFonts w:ascii="Arial" w:cs="Arial" w:eastAsia="Arial" w:hAnsi="Arial"/>
          <w:sz w:val="20"/>
          <w:szCs w:val="20"/>
          <w:color w:val="231F20"/>
        </w:rPr>
        <w:t>Form of global certificate for the 4.000% Senior Notes due 2032 is incorporated herein by reference to Exhibit 4.10 to the Company's Current Report on Form 8-K filed on March 25, 2022.</w:t>
      </w:r>
    </w:p>
    <w:p>
      <w:pPr>
        <w:spacing w:after="0" w:line="2" w:lineRule="exact"/>
        <w:rPr>
          <w:sz w:val="20"/>
          <w:szCs w:val="20"/>
          <w:color w:val="auto"/>
        </w:rPr>
      </w:pPr>
    </w:p>
    <w:p>
      <w:pPr>
        <w:ind w:left="780" w:hanging="842"/>
        <w:spacing w:after="0" w:line="284" w:lineRule="auto"/>
        <w:tabs>
          <w:tab w:leader="none" w:pos="760" w:val="left"/>
        </w:tabs>
        <w:rPr>
          <w:sz w:val="20"/>
          <w:szCs w:val="20"/>
          <w:color w:val="auto"/>
        </w:rPr>
      </w:pPr>
      <w:r>
        <w:rPr>
          <w:rFonts w:ascii="Arial" w:cs="Arial" w:eastAsia="Arial" w:hAnsi="Arial"/>
          <w:sz w:val="20"/>
          <w:szCs w:val="20"/>
          <w:color w:val="231F20"/>
        </w:rPr>
        <w:t>4.10.</w:t>
      </w:r>
      <w:r>
        <w:rPr>
          <w:sz w:val="20"/>
          <w:szCs w:val="20"/>
          <w:color w:val="auto"/>
        </w:rPr>
        <w:tab/>
      </w:r>
      <w:r>
        <w:rPr>
          <w:rFonts w:ascii="Arial" w:cs="Arial" w:eastAsia="Arial" w:hAnsi="Arial"/>
          <w:sz w:val="20"/>
          <w:szCs w:val="20"/>
          <w:color w:val="231F20"/>
        </w:rPr>
        <w:t>Form of global certificate for the 4.500% Senior Notes due 2052 is incorporated herein by reference to Exhibit 4.11 to the Company's Current Report on Form 8-K filed on March 25, 2022.</w:t>
      </w:r>
    </w:p>
    <w:p>
      <w:pPr>
        <w:spacing w:after="0" w:line="2" w:lineRule="exact"/>
        <w:rPr>
          <w:sz w:val="20"/>
          <w:szCs w:val="20"/>
          <w:color w:val="auto"/>
        </w:rPr>
      </w:pPr>
    </w:p>
    <w:p>
      <w:pPr>
        <w:ind w:left="780" w:right="180" w:hanging="842"/>
        <w:spacing w:after="0" w:line="257" w:lineRule="auto"/>
        <w:tabs>
          <w:tab w:leader="none" w:pos="760" w:val="left"/>
        </w:tabs>
        <w:rPr>
          <w:sz w:val="20"/>
          <w:szCs w:val="20"/>
          <w:color w:val="auto"/>
        </w:rPr>
      </w:pPr>
      <w:r>
        <w:rPr>
          <w:rFonts w:ascii="Arial" w:cs="Arial" w:eastAsia="Arial" w:hAnsi="Arial"/>
          <w:sz w:val="20"/>
          <w:szCs w:val="20"/>
          <w:color w:val="231F20"/>
        </w:rPr>
        <w:t>4.11.</w:t>
      </w:r>
      <w:r>
        <w:rPr>
          <w:sz w:val="20"/>
          <w:szCs w:val="20"/>
          <w:color w:val="auto"/>
        </w:rPr>
        <w:tab/>
      </w:r>
      <w:r>
        <w:rPr>
          <w:rFonts w:ascii="Arial" w:cs="Arial" w:eastAsia="Arial" w:hAnsi="Arial"/>
          <w:sz w:val="20"/>
          <w:szCs w:val="20"/>
          <w:color w:val="231F20"/>
        </w:rPr>
        <w:t>Form of global certificate for the 5.875% Senior Notes due 2033 is incorporated herein by reference to Exhibit 4.13 to the Company's Current Report on Form 8-K filed on June 16, 2023 (contained in Exhibit 4.12 to the Company's Current Report on Form 8-K filed on June 16, 2023).</w:t>
      </w:r>
    </w:p>
    <w:p>
      <w:pPr>
        <w:spacing w:after="0" w:line="26" w:lineRule="exact"/>
        <w:rPr>
          <w:sz w:val="20"/>
          <w:szCs w:val="20"/>
          <w:color w:val="auto"/>
        </w:rPr>
      </w:pPr>
    </w:p>
    <w:p>
      <w:pPr>
        <w:jc w:val="both"/>
        <w:ind w:left="780" w:right="260" w:hanging="842"/>
        <w:spacing w:after="0" w:line="265" w:lineRule="auto"/>
        <w:tabs>
          <w:tab w:leader="none" w:pos="760" w:val="left"/>
        </w:tabs>
        <w:rPr>
          <w:sz w:val="20"/>
          <w:szCs w:val="20"/>
          <w:color w:val="auto"/>
        </w:rPr>
      </w:pPr>
      <w:r>
        <w:rPr>
          <w:rFonts w:ascii="Arial" w:cs="Arial" w:eastAsia="Arial" w:hAnsi="Arial"/>
          <w:sz w:val="20"/>
          <w:szCs w:val="20"/>
          <w:color w:val="231F20"/>
        </w:rPr>
        <w:t>10.1.</w:t>
      </w:r>
      <w:r>
        <w:rPr>
          <w:sz w:val="20"/>
          <w:szCs w:val="20"/>
          <w:color w:val="auto"/>
        </w:rPr>
        <w:tab/>
      </w:r>
      <w:r>
        <w:rPr>
          <w:rFonts w:ascii="Arial" w:cs="Arial" w:eastAsia="Arial" w:hAnsi="Arial"/>
          <w:sz w:val="20"/>
          <w:szCs w:val="20"/>
          <w:color w:val="231F20"/>
        </w:rPr>
        <w:t>Transition Services Agreement, dated December 14, 2022, between Fortune Brands Home &amp; Security, Inc. and MasterBrand, Inc., is incorporated herein by reference to Exhibit 10.1 to the Company’s Current Report on Form 8-K filed on December 16, 2022.</w:t>
      </w:r>
    </w:p>
    <w:p>
      <w:pPr>
        <w:spacing w:after="0" w:line="17" w:lineRule="exact"/>
        <w:rPr>
          <w:sz w:val="20"/>
          <w:szCs w:val="20"/>
          <w:color w:val="auto"/>
        </w:rPr>
      </w:pPr>
    </w:p>
    <w:p>
      <w:pPr>
        <w:ind w:left="780" w:right="60" w:hanging="842"/>
        <w:spacing w:after="0" w:line="265" w:lineRule="auto"/>
        <w:tabs>
          <w:tab w:leader="none" w:pos="760" w:val="left"/>
        </w:tabs>
        <w:rPr>
          <w:sz w:val="20"/>
          <w:szCs w:val="20"/>
          <w:color w:val="auto"/>
        </w:rPr>
      </w:pPr>
      <w:r>
        <w:rPr>
          <w:rFonts w:ascii="Arial" w:cs="Arial" w:eastAsia="Arial" w:hAnsi="Arial"/>
          <w:sz w:val="20"/>
          <w:szCs w:val="20"/>
          <w:color w:val="231F20"/>
        </w:rPr>
        <w:t>10.2.</w:t>
      </w:r>
      <w:r>
        <w:rPr>
          <w:sz w:val="20"/>
          <w:szCs w:val="20"/>
          <w:color w:val="auto"/>
        </w:rPr>
        <w:tab/>
      </w:r>
      <w:r>
        <w:rPr>
          <w:rFonts w:ascii="Arial" w:cs="Arial" w:eastAsia="Arial" w:hAnsi="Arial"/>
          <w:sz w:val="20"/>
          <w:szCs w:val="20"/>
          <w:color w:val="231F20"/>
        </w:rPr>
        <w:t>Tax Allocation Agreement, dated December 14, 2022, by and between Fortune Brands Home &amp; Security, Inc. and MasterBrand, Inc. is incorporated herein by reference to Exhibit 10.2 to the Company’s Current Report on Form 8-K filed on December 16, 2022.</w:t>
      </w:r>
    </w:p>
    <w:p>
      <w:pPr>
        <w:spacing w:after="0" w:line="17" w:lineRule="exact"/>
        <w:rPr>
          <w:sz w:val="20"/>
          <w:szCs w:val="20"/>
          <w:color w:val="auto"/>
        </w:rPr>
      </w:pPr>
    </w:p>
    <w:p>
      <w:pPr>
        <w:ind w:left="780" w:right="260" w:hanging="842"/>
        <w:spacing w:after="0" w:line="265" w:lineRule="auto"/>
        <w:tabs>
          <w:tab w:leader="none" w:pos="760" w:val="left"/>
        </w:tabs>
        <w:rPr>
          <w:sz w:val="20"/>
          <w:szCs w:val="20"/>
          <w:color w:val="auto"/>
        </w:rPr>
      </w:pPr>
      <w:r>
        <w:rPr>
          <w:rFonts w:ascii="Arial" w:cs="Arial" w:eastAsia="Arial" w:hAnsi="Arial"/>
          <w:sz w:val="20"/>
          <w:szCs w:val="20"/>
          <w:color w:val="231F20"/>
        </w:rPr>
        <w:t>10.3.</w:t>
      </w:r>
      <w:r>
        <w:rPr>
          <w:sz w:val="20"/>
          <w:szCs w:val="20"/>
          <w:color w:val="auto"/>
        </w:rPr>
        <w:tab/>
      </w:r>
      <w:r>
        <w:rPr>
          <w:rFonts w:ascii="Arial" w:cs="Arial" w:eastAsia="Arial" w:hAnsi="Arial"/>
          <w:sz w:val="20"/>
          <w:szCs w:val="20"/>
          <w:color w:val="231F20"/>
        </w:rPr>
        <w:t>Employee Matters Agreement, dated December 14, 2022, between Fortune Brands Home &amp; Security, Inc. and MasterBrand, Inc., is incorporated herein by reference to Exhibit 10.3 to the Company’s Current Report on Form 8-K filed on December 16, 2022.</w:t>
      </w:r>
    </w:p>
    <w:p>
      <w:pPr>
        <w:spacing w:after="0" w:line="17" w:lineRule="exact"/>
        <w:rPr>
          <w:sz w:val="20"/>
          <w:szCs w:val="20"/>
          <w:color w:val="auto"/>
        </w:rPr>
      </w:pPr>
    </w:p>
    <w:p>
      <w:pPr>
        <w:ind w:left="780" w:right="220" w:hanging="842"/>
        <w:spacing w:after="0" w:line="257" w:lineRule="auto"/>
        <w:tabs>
          <w:tab w:leader="none" w:pos="760" w:val="left"/>
        </w:tabs>
        <w:rPr>
          <w:sz w:val="20"/>
          <w:szCs w:val="20"/>
          <w:color w:val="auto"/>
        </w:rPr>
      </w:pPr>
      <w:r>
        <w:rPr>
          <w:rFonts w:ascii="Arial" w:cs="Arial" w:eastAsia="Arial" w:hAnsi="Arial"/>
          <w:sz w:val="20"/>
          <w:szCs w:val="20"/>
          <w:color w:val="231F20"/>
        </w:rPr>
        <w:t>10.4.</w:t>
      </w:r>
      <w:r>
        <w:rPr>
          <w:sz w:val="20"/>
          <w:szCs w:val="20"/>
          <w:color w:val="auto"/>
        </w:rPr>
        <w:tab/>
      </w:r>
      <w:r>
        <w:rPr>
          <w:rFonts w:ascii="Arial" w:cs="Arial" w:eastAsia="Arial" w:hAnsi="Arial"/>
          <w:sz w:val="20"/>
          <w:szCs w:val="20"/>
          <w:color w:val="231F20"/>
        </w:rPr>
        <w:t>Indemnification Agreement, dated as of September 14, 2011, by and between Fortune Brands Home &amp; Security, Inc. and Fortune Brands, Inc. (N/K/A Beam Suntory Inc.) is incorporated herein by reference to Exhibit 10.1 to the Company’s Current Report on Form 8-K filed on September 15, 2011.</w:t>
      </w:r>
    </w:p>
    <w:p>
      <w:pPr>
        <w:spacing w:after="0" w:line="26" w:lineRule="exact"/>
        <w:rPr>
          <w:sz w:val="20"/>
          <w:szCs w:val="20"/>
          <w:color w:val="auto"/>
        </w:rPr>
      </w:pPr>
    </w:p>
    <w:p>
      <w:pPr>
        <w:ind w:left="780" w:right="300" w:hanging="842"/>
        <w:spacing w:after="0" w:line="257" w:lineRule="auto"/>
        <w:tabs>
          <w:tab w:leader="none" w:pos="760" w:val="left"/>
        </w:tabs>
        <w:rPr>
          <w:sz w:val="20"/>
          <w:szCs w:val="20"/>
          <w:color w:val="auto"/>
        </w:rPr>
      </w:pPr>
      <w:r>
        <w:rPr>
          <w:rFonts w:ascii="Arial" w:cs="Arial" w:eastAsia="Arial" w:hAnsi="Arial"/>
          <w:sz w:val="20"/>
          <w:szCs w:val="20"/>
          <w:color w:val="231F20"/>
        </w:rPr>
        <w:t>10.5.</w:t>
      </w:r>
      <w:r>
        <w:rPr>
          <w:sz w:val="20"/>
          <w:szCs w:val="20"/>
          <w:color w:val="auto"/>
        </w:rPr>
        <w:tab/>
      </w:r>
      <w:r>
        <w:rPr>
          <w:rFonts w:ascii="Arial" w:cs="Arial" w:eastAsia="Arial" w:hAnsi="Arial"/>
          <w:sz w:val="20"/>
          <w:szCs w:val="20"/>
          <w:color w:val="231F20"/>
        </w:rPr>
        <w:t>Tax Allocation Agreement, dated as of September 28, 2011, by and between Fortune Brands Home &amp; Security, Inc. and Fortune Brands, Inc. (N/K/A Beam Suntory Inc.) is incorporated herein by reference to Exhibit 10.1 to the Company’s Current Report on Form 8-K filed on September 30, 2011.</w:t>
      </w:r>
    </w:p>
    <w:p>
      <w:pPr>
        <w:spacing w:after="0" w:line="26" w:lineRule="exact"/>
        <w:rPr>
          <w:sz w:val="20"/>
          <w:szCs w:val="20"/>
          <w:color w:val="auto"/>
        </w:rPr>
      </w:pPr>
    </w:p>
    <w:p>
      <w:pPr>
        <w:ind w:left="780" w:hanging="842"/>
        <w:spacing w:after="0" w:line="254" w:lineRule="auto"/>
        <w:tabs>
          <w:tab w:leader="none" w:pos="760" w:val="left"/>
        </w:tabs>
        <w:rPr>
          <w:sz w:val="20"/>
          <w:szCs w:val="20"/>
          <w:color w:val="auto"/>
        </w:rPr>
      </w:pPr>
      <w:r>
        <w:rPr>
          <w:rFonts w:ascii="Arial" w:cs="Arial" w:eastAsia="Arial" w:hAnsi="Arial"/>
          <w:sz w:val="20"/>
          <w:szCs w:val="20"/>
          <w:color w:val="231F20"/>
        </w:rPr>
        <w:t>10.6.</w:t>
      </w:r>
      <w:r>
        <w:rPr>
          <w:sz w:val="20"/>
          <w:szCs w:val="20"/>
          <w:color w:val="auto"/>
        </w:rPr>
        <w:tab/>
      </w:r>
      <w:r>
        <w:rPr>
          <w:rFonts w:ascii="Arial" w:cs="Arial" w:eastAsia="Arial" w:hAnsi="Arial"/>
          <w:sz w:val="20"/>
          <w:szCs w:val="20"/>
          <w:color w:val="231F20"/>
        </w:rPr>
        <w:t>$1,250,000,000 Third Amended and Restated Credit Agreement, dated as of August 2, 2022, among Fortune Brands Home &amp; Security, Inc., the lenders party thereto, Bank of America N.A., as Syndication Agent and JPMorgan Chase Bank, N.A., as Administrative Agent, is incorporated herein by reference to Exhibit 10.1 to the Company’s Current Report on Form 8-K filed on August 4, 2022.</w:t>
      </w:r>
    </w:p>
    <w:p>
      <w:pPr>
        <w:spacing w:after="0" w:line="27" w:lineRule="exact"/>
        <w:rPr>
          <w:sz w:val="20"/>
          <w:szCs w:val="20"/>
          <w:color w:val="auto"/>
        </w:rPr>
      </w:pPr>
    </w:p>
    <w:p>
      <w:pPr>
        <w:jc w:val="both"/>
        <w:ind w:left="780" w:right="140" w:hanging="842"/>
        <w:spacing w:after="0" w:line="265" w:lineRule="auto"/>
        <w:tabs>
          <w:tab w:leader="none" w:pos="760" w:val="left"/>
        </w:tabs>
        <w:rPr>
          <w:sz w:val="20"/>
          <w:szCs w:val="20"/>
          <w:color w:val="auto"/>
        </w:rPr>
      </w:pPr>
      <w:r>
        <w:rPr>
          <w:rFonts w:ascii="Arial" w:cs="Arial" w:eastAsia="Arial" w:hAnsi="Arial"/>
          <w:sz w:val="20"/>
          <w:szCs w:val="20"/>
          <w:color w:val="231F20"/>
        </w:rPr>
        <w:t>10.7.</w:t>
      </w:r>
      <w:r>
        <w:rPr>
          <w:sz w:val="20"/>
          <w:szCs w:val="20"/>
          <w:color w:val="auto"/>
        </w:rPr>
        <w:tab/>
      </w:r>
      <w:r>
        <w:rPr>
          <w:rFonts w:ascii="Arial" w:cs="Arial" w:eastAsia="Arial" w:hAnsi="Arial"/>
          <w:sz w:val="20"/>
          <w:szCs w:val="20"/>
          <w:color w:val="231F20"/>
        </w:rPr>
        <w:t>Form of Commercial Paper Dealer Agreement between Fortune Brands Home &amp; Security, Inc., as issuer, and the Dealer parties thereto, is incorporated herein by reference to Exhibit 10.2 to the Company's Current Report on Form 8-K filed on December 2, 2021.</w:t>
      </w:r>
    </w:p>
    <w:p>
      <w:pPr>
        <w:sectPr>
          <w:pgSz w:w="12240" w:h="15840" w:orient="portrait"/>
          <w:cols w:equalWidth="0" w:num="1">
            <w:col w:w="9400"/>
          </w:cols>
          <w:pgMar w:left="1440" w:top="1346" w:right="1400" w:bottom="95"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231F20"/>
        </w:rPr>
        <w:t>94</w:t>
      </w:r>
    </w:p>
    <w:p>
      <w:pPr>
        <w:sectPr>
          <w:pgSz w:w="12240" w:h="15840" w:orient="portrait"/>
          <w:cols w:equalWidth="0" w:num="1">
            <w:col w:w="9400"/>
          </w:cols>
          <w:pgMar w:left="1440" w:top="1346" w:right="1400" w:bottom="95" w:gutter="0" w:footer="0" w:header="0"/>
          <w:type w:val="continuous"/>
        </w:sectPr>
      </w:pPr>
    </w:p>
    <w:bookmarkStart w:id="102" w:name="page103"/>
    <w:bookmarkEnd w:id="102"/>
    <w:p>
      <w:pPr>
        <w:ind w:left="780" w:right="320" w:hanging="842"/>
        <w:spacing w:after="0" w:line="265" w:lineRule="auto"/>
        <w:tabs>
          <w:tab w:leader="none" w:pos="760" w:val="left"/>
        </w:tabs>
        <w:rPr>
          <w:sz w:val="20"/>
          <w:szCs w:val="20"/>
          <w:color w:val="auto"/>
        </w:rPr>
      </w:pPr>
      <w:r>
        <w:rPr>
          <w:rFonts w:ascii="Arial" w:cs="Arial" w:eastAsia="Arial" w:hAnsi="Arial"/>
          <w:sz w:val="20"/>
          <w:szCs w:val="20"/>
          <w:color w:val="231F20"/>
        </w:rPr>
        <w:t>10.8.</w:t>
      </w:r>
      <w:r>
        <w:rPr>
          <w:sz w:val="20"/>
          <w:szCs w:val="20"/>
          <w:color w:val="auto"/>
        </w:rPr>
        <w:tab/>
      </w:r>
      <w:r>
        <w:rPr>
          <w:rFonts w:ascii="Arial" w:cs="Arial" w:eastAsia="Arial" w:hAnsi="Arial"/>
          <w:sz w:val="20"/>
          <w:szCs w:val="20"/>
          <w:color w:val="231F20"/>
        </w:rPr>
        <w:t>Fortune Brands Home &amp; Security, Inc. Annual Executive Incentive Compensation Plan is incorporated herein by reference to Appendix B to the Company’s Definitive Proxy Statement filed on March 5, 2013.*</w:t>
      </w:r>
    </w:p>
    <w:p>
      <w:pPr>
        <w:spacing w:after="0" w:line="17" w:lineRule="exact"/>
        <w:rPr>
          <w:sz w:val="20"/>
          <w:szCs w:val="20"/>
          <w:color w:val="auto"/>
        </w:rPr>
      </w:pPr>
    </w:p>
    <w:p>
      <w:pPr>
        <w:ind w:left="780" w:right="180" w:hanging="842"/>
        <w:spacing w:after="0" w:line="284" w:lineRule="auto"/>
        <w:tabs>
          <w:tab w:leader="none" w:pos="760" w:val="left"/>
        </w:tabs>
        <w:rPr>
          <w:sz w:val="20"/>
          <w:szCs w:val="20"/>
          <w:color w:val="auto"/>
        </w:rPr>
      </w:pPr>
      <w:r>
        <w:rPr>
          <w:rFonts w:ascii="Arial" w:cs="Arial" w:eastAsia="Arial" w:hAnsi="Arial"/>
          <w:sz w:val="20"/>
          <w:szCs w:val="20"/>
          <w:color w:val="231F20"/>
        </w:rPr>
        <w:t>10.9.</w:t>
      </w:r>
      <w:r>
        <w:rPr>
          <w:sz w:val="20"/>
          <w:szCs w:val="20"/>
          <w:color w:val="auto"/>
        </w:rPr>
        <w:tab/>
      </w:r>
      <w:r>
        <w:rPr>
          <w:rFonts w:ascii="Arial" w:cs="Arial" w:eastAsia="Arial" w:hAnsi="Arial"/>
          <w:sz w:val="20"/>
          <w:szCs w:val="20"/>
          <w:color w:val="231F20"/>
        </w:rPr>
        <w:t>Fortune Brands Innovations, Inc. Annual Executive Incentive Compensation Plan, as amended and restated February 27, 2024.***</w:t>
      </w:r>
    </w:p>
    <w:p>
      <w:pPr>
        <w:spacing w:after="0" w:line="2" w:lineRule="exact"/>
        <w:rPr>
          <w:sz w:val="20"/>
          <w:szCs w:val="20"/>
          <w:color w:val="auto"/>
        </w:rPr>
      </w:pPr>
    </w:p>
    <w:p>
      <w:pPr>
        <w:ind w:left="780" w:right="80" w:hanging="842"/>
        <w:spacing w:after="0" w:line="284" w:lineRule="auto"/>
        <w:tabs>
          <w:tab w:leader="none" w:pos="760" w:val="left"/>
        </w:tabs>
        <w:rPr>
          <w:sz w:val="20"/>
          <w:szCs w:val="20"/>
          <w:color w:val="auto"/>
        </w:rPr>
      </w:pPr>
      <w:r>
        <w:rPr>
          <w:rFonts w:ascii="Arial" w:cs="Arial" w:eastAsia="Arial" w:hAnsi="Arial"/>
          <w:sz w:val="20"/>
          <w:szCs w:val="20"/>
          <w:color w:val="231F20"/>
        </w:rPr>
        <w:t>10.10.</w:t>
        <w:tab/>
        <w:t>Fortune Brands Home &amp; Security, Inc. 2013 Long-Term Incentive Plan is incorporated herein by reference to Appendix A to the Company’s Definitive Proxy Statement filed on March 5, 2013.*</w:t>
      </w:r>
    </w:p>
    <w:p>
      <w:pPr>
        <w:spacing w:after="0" w:line="2" w:lineRule="exact"/>
        <w:rPr>
          <w:sz w:val="20"/>
          <w:szCs w:val="20"/>
          <w:color w:val="auto"/>
        </w:rPr>
      </w:pPr>
    </w:p>
    <w:p>
      <w:pPr>
        <w:ind w:left="780" w:right="40" w:hanging="842"/>
        <w:spacing w:after="0" w:line="265" w:lineRule="auto"/>
        <w:tabs>
          <w:tab w:leader="none" w:pos="760" w:val="left"/>
        </w:tabs>
        <w:rPr>
          <w:sz w:val="20"/>
          <w:szCs w:val="20"/>
          <w:color w:val="auto"/>
        </w:rPr>
      </w:pPr>
      <w:r>
        <w:rPr>
          <w:rFonts w:ascii="Arial" w:cs="Arial" w:eastAsia="Arial" w:hAnsi="Arial"/>
          <w:sz w:val="20"/>
          <w:szCs w:val="20"/>
          <w:color w:val="231F20"/>
        </w:rPr>
        <w:t>10.11.</w:t>
        <w:tab/>
        <w:t>Amendment Number One to the Fortune Brands Home &amp; Security, Inc. 2013 Long-Term Incentive Plan, dated as of August 2, 2016, is incorporated herein by reference to Exhibit 10.1 to the Company’s Quarterly Report on Form 10-Q filed on November 2, 2016.*</w:t>
      </w:r>
    </w:p>
    <w:p>
      <w:pPr>
        <w:spacing w:after="0" w:line="17" w:lineRule="exact"/>
        <w:rPr>
          <w:sz w:val="20"/>
          <w:szCs w:val="20"/>
          <w:color w:val="auto"/>
        </w:rPr>
      </w:pPr>
    </w:p>
    <w:p>
      <w:pPr>
        <w:ind w:left="780" w:right="320" w:hanging="842"/>
        <w:spacing w:after="0" w:line="265" w:lineRule="auto"/>
        <w:tabs>
          <w:tab w:leader="none" w:pos="760" w:val="left"/>
        </w:tabs>
        <w:rPr>
          <w:sz w:val="20"/>
          <w:szCs w:val="20"/>
          <w:color w:val="auto"/>
        </w:rPr>
      </w:pPr>
      <w:r>
        <w:rPr>
          <w:rFonts w:ascii="Arial" w:cs="Arial" w:eastAsia="Arial" w:hAnsi="Arial"/>
          <w:sz w:val="20"/>
          <w:szCs w:val="20"/>
          <w:color w:val="231F20"/>
        </w:rPr>
        <w:t>10.12.</w:t>
        <w:tab/>
        <w:t>Fortune Brands Home &amp; Security, Inc. 2022 Long-Term Incentive Plan, effective as of May 3, 2022, is incorporated herein by reference to Appendix B to the Company’s Definitive Proxy Statement filed on March 21, 2022.*</w:t>
      </w:r>
    </w:p>
    <w:p>
      <w:pPr>
        <w:spacing w:after="0" w:line="17" w:lineRule="exact"/>
        <w:rPr>
          <w:sz w:val="20"/>
          <w:szCs w:val="20"/>
          <w:color w:val="auto"/>
        </w:rPr>
      </w:pPr>
    </w:p>
    <w:p>
      <w:pPr>
        <w:ind w:left="780" w:right="160" w:hanging="842"/>
        <w:spacing w:after="0" w:line="265" w:lineRule="auto"/>
        <w:tabs>
          <w:tab w:leader="none" w:pos="760" w:val="left"/>
        </w:tabs>
        <w:rPr>
          <w:sz w:val="20"/>
          <w:szCs w:val="20"/>
          <w:color w:val="auto"/>
        </w:rPr>
      </w:pPr>
      <w:r>
        <w:rPr>
          <w:rFonts w:ascii="Arial" w:cs="Arial" w:eastAsia="Arial" w:hAnsi="Arial"/>
          <w:sz w:val="20"/>
          <w:szCs w:val="20"/>
          <w:color w:val="231F20"/>
        </w:rPr>
        <w:t>10.13.</w:t>
        <w:tab/>
        <w:t>Form of 2014 Stock Option Award Notice and Agreement for awards under the Fortune Brands Home &amp; Security, Inc. 2013 Long-Term Incentive Plan is incorporated herein by reference to Exhibit 10.18 to the Company’s Annual Report on Form 10-K filed on February 26, 2014.*</w:t>
      </w:r>
    </w:p>
    <w:p>
      <w:pPr>
        <w:spacing w:after="0" w:line="17" w:lineRule="exact"/>
        <w:rPr>
          <w:sz w:val="20"/>
          <w:szCs w:val="20"/>
          <w:color w:val="auto"/>
        </w:rPr>
      </w:pPr>
    </w:p>
    <w:p>
      <w:pPr>
        <w:ind w:left="780" w:right="160" w:hanging="842"/>
        <w:spacing w:after="0" w:line="265" w:lineRule="auto"/>
        <w:tabs>
          <w:tab w:leader="none" w:pos="760" w:val="left"/>
        </w:tabs>
        <w:rPr>
          <w:sz w:val="20"/>
          <w:szCs w:val="20"/>
          <w:color w:val="auto"/>
        </w:rPr>
      </w:pPr>
      <w:r>
        <w:rPr>
          <w:rFonts w:ascii="Arial" w:cs="Arial" w:eastAsia="Arial" w:hAnsi="Arial"/>
          <w:sz w:val="20"/>
          <w:szCs w:val="20"/>
          <w:color w:val="231F20"/>
        </w:rPr>
        <w:t>10.14.</w:t>
        <w:tab/>
        <w:t>Form of 2016 Stock Option Award Notice and Agreement for awards under the Fortune Brands Home &amp; Security, Inc. 2013 Long-Term Incentive Plan is incorporated herein by reference to Exhibit 10.1 to the Company’s Quarterly Report on Form 10-Q filed on April 28, 2016.*</w:t>
      </w:r>
    </w:p>
    <w:p>
      <w:pPr>
        <w:spacing w:after="0" w:line="17" w:lineRule="exact"/>
        <w:rPr>
          <w:sz w:val="20"/>
          <w:szCs w:val="20"/>
          <w:color w:val="auto"/>
        </w:rPr>
      </w:pPr>
    </w:p>
    <w:p>
      <w:pPr>
        <w:ind w:left="780" w:right="300" w:hanging="842"/>
        <w:spacing w:after="0" w:line="265" w:lineRule="auto"/>
        <w:tabs>
          <w:tab w:leader="none" w:pos="760" w:val="left"/>
        </w:tabs>
        <w:rPr>
          <w:sz w:val="20"/>
          <w:szCs w:val="20"/>
          <w:color w:val="auto"/>
        </w:rPr>
      </w:pPr>
      <w:r>
        <w:rPr>
          <w:rFonts w:ascii="Arial" w:cs="Arial" w:eastAsia="Arial" w:hAnsi="Arial"/>
          <w:sz w:val="20"/>
          <w:szCs w:val="20"/>
          <w:color w:val="231F20"/>
        </w:rPr>
        <w:t>10.15.</w:t>
        <w:tab/>
        <w:t>Form of Stock Option Agreement for awards under the Fortune Brands Home &amp; Security, Inc. 2013 Long-Term Incentive Plan, is incorporated herein by reference to Exhibit 10.13 to the Company’s Annual Report on Form 10-K filed on February 26, 2020.*</w:t>
      </w:r>
    </w:p>
    <w:p>
      <w:pPr>
        <w:spacing w:after="0" w:line="17" w:lineRule="exact"/>
        <w:rPr>
          <w:sz w:val="20"/>
          <w:szCs w:val="20"/>
          <w:color w:val="auto"/>
        </w:rPr>
      </w:pPr>
    </w:p>
    <w:p>
      <w:pPr>
        <w:ind w:left="780" w:right="60" w:hanging="842"/>
        <w:spacing w:after="0" w:line="265" w:lineRule="auto"/>
        <w:tabs>
          <w:tab w:leader="none" w:pos="760" w:val="left"/>
        </w:tabs>
        <w:rPr>
          <w:sz w:val="20"/>
          <w:szCs w:val="20"/>
          <w:color w:val="auto"/>
        </w:rPr>
      </w:pPr>
      <w:r>
        <w:rPr>
          <w:rFonts w:ascii="Arial" w:cs="Arial" w:eastAsia="Arial" w:hAnsi="Arial"/>
          <w:sz w:val="20"/>
          <w:szCs w:val="20"/>
          <w:color w:val="231F20"/>
        </w:rPr>
        <w:t>10.16.</w:t>
        <w:tab/>
        <w:t>Form of Stock Option Award Agreement for awards under the Fortune Brands Home &amp; Security, Inc. 2022 Long-Term Incentive Plan, is incorporated herein by reference to Exhibit 10.2 to the Company’s Quarterly Report on Form 10-Q filed on July 28, 2022.*</w:t>
      </w:r>
    </w:p>
    <w:p>
      <w:pPr>
        <w:spacing w:after="0" w:line="17" w:lineRule="exact"/>
        <w:rPr>
          <w:sz w:val="20"/>
          <w:szCs w:val="20"/>
          <w:color w:val="auto"/>
        </w:rPr>
      </w:pPr>
    </w:p>
    <w:p>
      <w:pPr>
        <w:ind w:left="780" w:right="300" w:hanging="842"/>
        <w:spacing w:after="0" w:line="265" w:lineRule="auto"/>
        <w:tabs>
          <w:tab w:leader="none" w:pos="760" w:val="left"/>
        </w:tabs>
        <w:rPr>
          <w:sz w:val="20"/>
          <w:szCs w:val="20"/>
          <w:color w:val="auto"/>
        </w:rPr>
      </w:pPr>
      <w:r>
        <w:rPr>
          <w:rFonts w:ascii="Arial" w:cs="Arial" w:eastAsia="Arial" w:hAnsi="Arial"/>
          <w:sz w:val="20"/>
          <w:szCs w:val="20"/>
          <w:color w:val="231F20"/>
        </w:rPr>
        <w:t>10.17.</w:t>
        <w:tab/>
        <w:t>Form of Performance Share Award Agreement for awards under the Fortune Brands Home &amp; Security, Inc. 2013 Long-Term Incentive Plan, is incorporated herein by reference to Exhibit 10.14 to the Company’s Annual Report on Form 10-K filed on February 26, 2020.*</w:t>
      </w:r>
    </w:p>
    <w:p>
      <w:pPr>
        <w:spacing w:after="0" w:line="17" w:lineRule="exact"/>
        <w:rPr>
          <w:sz w:val="20"/>
          <w:szCs w:val="20"/>
          <w:color w:val="auto"/>
        </w:rPr>
      </w:pPr>
    </w:p>
    <w:p>
      <w:pPr>
        <w:ind w:left="780" w:hanging="842"/>
        <w:spacing w:after="0" w:line="265" w:lineRule="auto"/>
        <w:tabs>
          <w:tab w:leader="none" w:pos="760" w:val="left"/>
        </w:tabs>
        <w:rPr>
          <w:sz w:val="20"/>
          <w:szCs w:val="20"/>
          <w:color w:val="auto"/>
        </w:rPr>
      </w:pPr>
      <w:r>
        <w:rPr>
          <w:rFonts w:ascii="Arial" w:cs="Arial" w:eastAsia="Arial" w:hAnsi="Arial"/>
          <w:sz w:val="20"/>
          <w:szCs w:val="20"/>
          <w:color w:val="231F20"/>
        </w:rPr>
        <w:t>10.18.</w:t>
        <w:tab/>
        <w:t>Form of Performance Share Award Agreement for awards under the Fortune Brands Home &amp; Security, Inc. 2022 Long-Term Incentive Plan, is incorporated herein by reference to Exhibit 10.3 to the Company’s Quarterly Report on Form 10-Q filed on July 28, 2022.*</w:t>
      </w:r>
    </w:p>
    <w:p>
      <w:pPr>
        <w:spacing w:after="0" w:line="17" w:lineRule="exact"/>
        <w:rPr>
          <w:sz w:val="20"/>
          <w:szCs w:val="20"/>
          <w:color w:val="auto"/>
        </w:rPr>
      </w:pPr>
    </w:p>
    <w:p>
      <w:pPr>
        <w:ind w:left="780" w:right="160" w:hanging="842"/>
        <w:spacing w:after="0" w:line="265" w:lineRule="auto"/>
        <w:tabs>
          <w:tab w:leader="none" w:pos="760" w:val="left"/>
        </w:tabs>
        <w:rPr>
          <w:sz w:val="20"/>
          <w:szCs w:val="20"/>
          <w:color w:val="auto"/>
        </w:rPr>
      </w:pPr>
      <w:r>
        <w:rPr>
          <w:rFonts w:ascii="Arial" w:cs="Arial" w:eastAsia="Arial" w:hAnsi="Arial"/>
          <w:sz w:val="20"/>
          <w:szCs w:val="20"/>
          <w:color w:val="231F20"/>
        </w:rPr>
        <w:t>10.19.</w:t>
        <w:tab/>
        <w:t>Form of Restricted Stock Unit Award Agreement for awards under the Fortune Brands Home &amp; Security, Inc. 2013 Long-Term Incentive Plan, is incorporated herein by reference to Exhibit 10.15 to the Company’s Annual Report on Form 10-K filed on February 26, 2020.*</w:t>
      </w:r>
    </w:p>
    <w:p>
      <w:pPr>
        <w:spacing w:after="0" w:line="17" w:lineRule="exact"/>
        <w:rPr>
          <w:sz w:val="20"/>
          <w:szCs w:val="20"/>
          <w:color w:val="auto"/>
        </w:rPr>
      </w:pPr>
    </w:p>
    <w:p>
      <w:pPr>
        <w:ind w:left="780" w:hanging="842"/>
        <w:spacing w:after="0" w:line="265" w:lineRule="auto"/>
        <w:tabs>
          <w:tab w:leader="none" w:pos="760" w:val="left"/>
        </w:tabs>
        <w:rPr>
          <w:sz w:val="20"/>
          <w:szCs w:val="20"/>
          <w:color w:val="auto"/>
        </w:rPr>
      </w:pPr>
      <w:r>
        <w:rPr>
          <w:rFonts w:ascii="Arial" w:cs="Arial" w:eastAsia="Arial" w:hAnsi="Arial"/>
          <w:sz w:val="20"/>
          <w:szCs w:val="20"/>
          <w:color w:val="231F20"/>
        </w:rPr>
        <w:t>10.20.</w:t>
        <w:tab/>
        <w:t>Form of Restricted Stock Unit Agreement for awards under the Fortune Brands Home &amp; Security Inc. 2022 Long-Term Incentive Plan, is incorporated herein by reference to Exhibit 10.4 to the Company’s Quarterly Report on Form 10-Q filed on July 28, 2022.*</w:t>
      </w:r>
    </w:p>
    <w:p>
      <w:pPr>
        <w:spacing w:after="0" w:line="17" w:lineRule="exact"/>
        <w:rPr>
          <w:sz w:val="20"/>
          <w:szCs w:val="20"/>
          <w:color w:val="auto"/>
        </w:rPr>
      </w:pPr>
    </w:p>
    <w:p>
      <w:pPr>
        <w:ind w:left="780" w:right="960" w:hanging="842"/>
        <w:spacing w:after="0" w:line="284" w:lineRule="auto"/>
        <w:tabs>
          <w:tab w:leader="none" w:pos="760" w:val="left"/>
        </w:tabs>
        <w:rPr>
          <w:sz w:val="20"/>
          <w:szCs w:val="20"/>
          <w:color w:val="auto"/>
        </w:rPr>
      </w:pPr>
      <w:r>
        <w:rPr>
          <w:rFonts w:ascii="Arial" w:cs="Arial" w:eastAsia="Arial" w:hAnsi="Arial"/>
          <w:sz w:val="20"/>
          <w:szCs w:val="20"/>
          <w:color w:val="231F20"/>
        </w:rPr>
        <w:t>10.21.</w:t>
        <w:tab/>
        <w:t>Form of Restricted Stock Unit Award Agreement for awards under the Fortune Brands Innovations, Inc. 2022 Long-Term Incentive Plan.***</w:t>
      </w:r>
    </w:p>
    <w:p>
      <w:pPr>
        <w:spacing w:after="0" w:line="2" w:lineRule="exact"/>
        <w:rPr>
          <w:sz w:val="20"/>
          <w:szCs w:val="20"/>
          <w:color w:val="auto"/>
        </w:rPr>
      </w:pPr>
    </w:p>
    <w:p>
      <w:pPr>
        <w:ind w:left="780" w:right="1080" w:hanging="842"/>
        <w:spacing w:after="0" w:line="284" w:lineRule="auto"/>
        <w:tabs>
          <w:tab w:leader="none" w:pos="760" w:val="left"/>
        </w:tabs>
        <w:rPr>
          <w:sz w:val="20"/>
          <w:szCs w:val="20"/>
          <w:color w:val="auto"/>
        </w:rPr>
      </w:pPr>
      <w:r>
        <w:rPr>
          <w:rFonts w:ascii="Arial" w:cs="Arial" w:eastAsia="Arial" w:hAnsi="Arial"/>
          <w:sz w:val="20"/>
          <w:szCs w:val="20"/>
          <w:color w:val="231F20"/>
        </w:rPr>
        <w:t>10.22.</w:t>
        <w:tab/>
        <w:t>Form of Performance Share Award Agreement for awards under the Fortune Brands Innovations, Inc. 2022 Long-Term Incentive Plan.***</w:t>
      </w:r>
    </w:p>
    <w:p>
      <w:pPr>
        <w:spacing w:after="0" w:line="2" w:lineRule="exact"/>
        <w:rPr>
          <w:sz w:val="20"/>
          <w:szCs w:val="20"/>
          <w:color w:val="auto"/>
        </w:rPr>
      </w:pPr>
    </w:p>
    <w:p>
      <w:pPr>
        <w:ind w:left="780" w:right="280" w:hanging="842"/>
        <w:spacing w:after="0" w:line="284" w:lineRule="auto"/>
        <w:tabs>
          <w:tab w:leader="none" w:pos="760" w:val="left"/>
        </w:tabs>
        <w:rPr>
          <w:sz w:val="20"/>
          <w:szCs w:val="20"/>
          <w:color w:val="auto"/>
        </w:rPr>
      </w:pPr>
      <w:r>
        <w:rPr>
          <w:rFonts w:ascii="Arial" w:cs="Arial" w:eastAsia="Arial" w:hAnsi="Arial"/>
          <w:sz w:val="20"/>
          <w:szCs w:val="20"/>
          <w:color w:val="231F20"/>
        </w:rPr>
        <w:t>10.23.</w:t>
        <w:tab/>
        <w:t>Form of Stock Option Agreement for awards under the Fortune Brands Innovations, Inc. 2022 Long-Term Incentive Plan.***</w:t>
      </w:r>
    </w:p>
    <w:p>
      <w:pPr>
        <w:spacing w:after="0" w:line="2" w:lineRule="exact"/>
        <w:rPr>
          <w:sz w:val="20"/>
          <w:szCs w:val="20"/>
          <w:color w:val="auto"/>
        </w:rPr>
      </w:pPr>
    </w:p>
    <w:p>
      <w:pPr>
        <w:ind w:left="780" w:right="120" w:hanging="842"/>
        <w:spacing w:after="0" w:line="254" w:lineRule="auto"/>
        <w:tabs>
          <w:tab w:leader="none" w:pos="760" w:val="left"/>
        </w:tabs>
        <w:rPr>
          <w:sz w:val="20"/>
          <w:szCs w:val="20"/>
          <w:color w:val="auto"/>
        </w:rPr>
      </w:pPr>
      <w:r>
        <w:rPr>
          <w:rFonts w:ascii="Arial" w:cs="Arial" w:eastAsia="Arial" w:hAnsi="Arial"/>
          <w:sz w:val="20"/>
          <w:szCs w:val="20"/>
          <w:color w:val="231F20"/>
        </w:rPr>
        <w:t>10.24.</w:t>
        <w:tab/>
        <w:t>Form of Agreement for the Payment of Benefits Following Termination of Employment between the Company and each of Nicholas I. Fink, David V. Barry, Hiranda S. Donoghue, Sheri R. Grissom, John D. Lee, Kristin E. Papesh, Cheri M. Phyfer, Ron Wilson and May Russell, is incorporated herein by reference to Exhibit 10.23 to the Company’s Annual Report on Form 10-K filed on February 28, 2018.*</w:t>
      </w:r>
    </w:p>
    <w:p>
      <w:pPr>
        <w:sectPr>
          <w:pgSz w:w="12240" w:h="15840" w:orient="portrait"/>
          <w:cols w:equalWidth="0" w:num="1">
            <w:col w:w="9420"/>
          </w:cols>
          <w:pgMar w:left="1440" w:top="1346"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231F20"/>
        </w:rPr>
        <w:t>95</w:t>
      </w:r>
    </w:p>
    <w:p>
      <w:pPr>
        <w:sectPr>
          <w:pgSz w:w="12240" w:h="15840" w:orient="portrait"/>
          <w:cols w:equalWidth="0" w:num="1">
            <w:col w:w="9420"/>
          </w:cols>
          <w:pgMar w:left="1440" w:top="1346" w:right="1380" w:bottom="95" w:gutter="0" w:footer="0" w:header="0"/>
          <w:type w:val="continuous"/>
        </w:sectPr>
      </w:pPr>
    </w:p>
    <w:bookmarkStart w:id="103" w:name="page104"/>
    <w:bookmarkEnd w:id="103"/>
    <w:p>
      <w:pPr>
        <w:jc w:val="both"/>
        <w:ind w:left="840" w:right="160" w:hanging="842"/>
        <w:spacing w:after="0" w:line="265" w:lineRule="auto"/>
        <w:tabs>
          <w:tab w:leader="none" w:pos="820" w:val="left"/>
        </w:tabs>
        <w:rPr>
          <w:sz w:val="20"/>
          <w:szCs w:val="20"/>
          <w:color w:val="auto"/>
        </w:rPr>
      </w:pPr>
      <w:r>
        <w:rPr>
          <w:rFonts w:ascii="Arial" w:cs="Arial" w:eastAsia="Arial" w:hAnsi="Arial"/>
          <w:sz w:val="20"/>
          <w:szCs w:val="20"/>
          <w:color w:val="231F20"/>
        </w:rPr>
        <w:t>10.25</w:t>
        <w:tab/>
        <w:t>Form of Agreement for the Payment of Benefits Following Termination of Employment for Brett E. Finley is incorporated herein by reference to Exhibit 10.24 to the Company's Annual Report on Form 10-K filed on February 28, 2018.*</w:t>
      </w:r>
    </w:p>
    <w:p>
      <w:pPr>
        <w:spacing w:after="0" w:line="17" w:lineRule="exact"/>
        <w:rPr>
          <w:sz w:val="20"/>
          <w:szCs w:val="20"/>
          <w:color w:val="auto"/>
        </w:rPr>
      </w:pPr>
    </w:p>
    <w:p>
      <w:pPr>
        <w:ind w:left="840" w:right="100" w:hanging="842"/>
        <w:spacing w:after="0" w:line="265" w:lineRule="auto"/>
        <w:tabs>
          <w:tab w:leader="none" w:pos="820" w:val="left"/>
        </w:tabs>
        <w:rPr>
          <w:sz w:val="20"/>
          <w:szCs w:val="20"/>
          <w:color w:val="auto"/>
        </w:rPr>
      </w:pPr>
      <w:r>
        <w:rPr>
          <w:rFonts w:ascii="Arial" w:cs="Arial" w:eastAsia="Arial" w:hAnsi="Arial"/>
          <w:sz w:val="20"/>
          <w:szCs w:val="20"/>
          <w:color w:val="231F20"/>
        </w:rPr>
        <w:t>10.26.</w:t>
        <w:tab/>
        <w:t>Fortune Brands Home &amp; Security, Inc. Non-Employee Director Stock Election Program is incorporated herein by reference to Exhibit 10.17 to the Company’s Annual Report on Form 10-K filed on February 22, 2012.</w:t>
      </w:r>
      <w:r>
        <w:rPr>
          <w:rFonts w:ascii="Arial" w:cs="Arial" w:eastAsia="Arial" w:hAnsi="Arial"/>
          <w:sz w:val="20"/>
          <w:szCs w:val="20"/>
          <w:u w:val="single" w:color="auto"/>
          <w:color w:val="383738"/>
        </w:rPr>
        <w:t>*</w:t>
      </w:r>
    </w:p>
    <w:p>
      <w:pPr>
        <w:spacing w:after="0" w:line="17" w:lineRule="exact"/>
        <w:rPr>
          <w:sz w:val="20"/>
          <w:szCs w:val="20"/>
          <w:color w:val="auto"/>
        </w:rPr>
      </w:pPr>
    </w:p>
    <w:p>
      <w:pPr>
        <w:ind w:left="840" w:right="120" w:hanging="842"/>
        <w:spacing w:after="0" w:line="265" w:lineRule="auto"/>
        <w:tabs>
          <w:tab w:leader="none" w:pos="820" w:val="left"/>
        </w:tabs>
        <w:rPr>
          <w:sz w:val="20"/>
          <w:szCs w:val="20"/>
          <w:color w:val="auto"/>
        </w:rPr>
      </w:pPr>
      <w:r>
        <w:rPr>
          <w:rFonts w:ascii="Arial" w:cs="Arial" w:eastAsia="Arial" w:hAnsi="Arial"/>
          <w:sz w:val="20"/>
          <w:szCs w:val="20"/>
          <w:color w:val="231F20"/>
        </w:rPr>
        <w:t>10.27.</w:t>
        <w:tab/>
        <w:t>Fortune Brands Home &amp; Security, Inc. Deferred Compensation Plan, amended &amp; restated as of February 27, 2017, is incorporated herein by reference to Exhibit 10.30 to the Company’s Annual Report on Form 10-K filed on February 28, 2017.*</w:t>
      </w:r>
    </w:p>
    <w:p>
      <w:pPr>
        <w:spacing w:after="0" w:line="17" w:lineRule="exact"/>
        <w:rPr>
          <w:sz w:val="20"/>
          <w:szCs w:val="20"/>
          <w:color w:val="auto"/>
        </w:rPr>
      </w:pPr>
    </w:p>
    <w:p>
      <w:pPr>
        <w:ind w:left="840" w:right="360" w:hanging="842"/>
        <w:spacing w:after="0" w:line="265" w:lineRule="auto"/>
        <w:tabs>
          <w:tab w:leader="none" w:pos="820" w:val="left"/>
        </w:tabs>
        <w:rPr>
          <w:sz w:val="20"/>
          <w:szCs w:val="20"/>
          <w:color w:val="auto"/>
        </w:rPr>
      </w:pPr>
      <w:r>
        <w:rPr>
          <w:rFonts w:ascii="Arial" w:cs="Arial" w:eastAsia="Arial" w:hAnsi="Arial"/>
          <w:sz w:val="20"/>
          <w:szCs w:val="20"/>
          <w:color w:val="231F20"/>
        </w:rPr>
        <w:t>10.28.</w:t>
        <w:tab/>
        <w:t>Fortune Brands Innovations, Inc. Directors' Deferred Compensation Plan, as amended and restated as of September 18, 2023, is incorporated herein by reference to Exhibit 10.3 to the Company's Quarterly Report on Form 10-Q filed on October 27, 2023.*</w:t>
      </w:r>
    </w:p>
    <w:p>
      <w:pPr>
        <w:spacing w:after="0" w:line="17" w:lineRule="exact"/>
        <w:rPr>
          <w:sz w:val="20"/>
          <w:szCs w:val="20"/>
          <w:color w:val="auto"/>
        </w:rPr>
      </w:pPr>
    </w:p>
    <w:p>
      <w:pPr>
        <w:jc w:val="both"/>
        <w:ind w:left="840" w:right="520" w:hanging="842"/>
        <w:spacing w:after="0" w:line="265" w:lineRule="auto"/>
        <w:tabs>
          <w:tab w:leader="none" w:pos="820" w:val="left"/>
        </w:tabs>
        <w:rPr>
          <w:sz w:val="20"/>
          <w:szCs w:val="20"/>
          <w:color w:val="auto"/>
        </w:rPr>
      </w:pPr>
      <w:r>
        <w:rPr>
          <w:rFonts w:ascii="Arial" w:cs="Arial" w:eastAsia="Arial" w:hAnsi="Arial"/>
          <w:sz w:val="20"/>
          <w:szCs w:val="20"/>
          <w:color w:val="231F20"/>
        </w:rPr>
        <w:t>10.29.</w:t>
        <w:tab/>
        <w:t>Second Amendment to the Fortune Brands Innovations, Inc. Deferred Compensation Plan, dated as of September 29, 2023, is incorporated herein by reference to Exhibit 10.1 to the Company's Quarterly Report on Form 10-Q filed on October 27, 2023.*</w:t>
      </w:r>
    </w:p>
    <w:p>
      <w:pPr>
        <w:spacing w:after="0" w:line="17" w:lineRule="exact"/>
        <w:rPr>
          <w:sz w:val="20"/>
          <w:szCs w:val="20"/>
          <w:color w:val="auto"/>
        </w:rPr>
      </w:pPr>
    </w:p>
    <w:p>
      <w:pPr>
        <w:jc w:val="both"/>
        <w:ind w:left="840" w:hanging="842"/>
        <w:spacing w:after="0" w:line="265" w:lineRule="auto"/>
        <w:tabs>
          <w:tab w:leader="none" w:pos="820" w:val="left"/>
        </w:tabs>
        <w:rPr>
          <w:sz w:val="20"/>
          <w:szCs w:val="20"/>
          <w:color w:val="auto"/>
        </w:rPr>
      </w:pPr>
      <w:r>
        <w:rPr>
          <w:rFonts w:ascii="Arial" w:cs="Arial" w:eastAsia="Arial" w:hAnsi="Arial"/>
          <w:sz w:val="20"/>
          <w:szCs w:val="20"/>
          <w:color w:val="231F20"/>
        </w:rPr>
        <w:t>10.30.</w:t>
        <w:tab/>
        <w:t>Fortune Brands Innovations, Inc. Non-Employee Director Stock Election Program, effective as of January 1, 2024, is incorporated herein by reference to Exhibit 10.2 to the Company's Quarterly Report on Form 10-Q filed on October 27, 2023.*</w:t>
      </w:r>
    </w:p>
    <w:p>
      <w:pPr>
        <w:spacing w:after="0" w:line="17" w:lineRule="exact"/>
        <w:rPr>
          <w:sz w:val="20"/>
          <w:szCs w:val="20"/>
          <w:color w:val="auto"/>
        </w:rPr>
      </w:pPr>
    </w:p>
    <w:p>
      <w:pPr>
        <w:ind w:left="840" w:hanging="834"/>
        <w:spacing w:after="0"/>
        <w:tabs>
          <w:tab w:leader="none" w:pos="840" w:val="left"/>
        </w:tabs>
        <w:numPr>
          <w:ilvl w:val="0"/>
          <w:numId w:val="61"/>
        </w:numPr>
        <w:rPr>
          <w:rFonts w:ascii="Arial" w:cs="Arial" w:eastAsia="Arial" w:hAnsi="Arial"/>
          <w:sz w:val="20"/>
          <w:szCs w:val="20"/>
          <w:color w:val="231F20"/>
        </w:rPr>
      </w:pPr>
      <w:r>
        <w:rPr>
          <w:rFonts w:ascii="Arial" w:cs="Arial" w:eastAsia="Arial" w:hAnsi="Arial"/>
          <w:sz w:val="20"/>
          <w:szCs w:val="20"/>
          <w:color w:val="231F20"/>
        </w:rPr>
        <w:t>Subsidiaries of the Company.**</w:t>
      </w:r>
    </w:p>
    <w:p>
      <w:pPr>
        <w:spacing w:after="0" w:line="84" w:lineRule="exact"/>
        <w:rPr>
          <w:sz w:val="20"/>
          <w:szCs w:val="20"/>
          <w:color w:val="auto"/>
        </w:rPr>
      </w:pPr>
    </w:p>
    <w:p>
      <w:pPr>
        <w:ind w:left="840" w:hanging="834"/>
        <w:spacing w:after="0"/>
        <w:tabs>
          <w:tab w:leader="none" w:pos="840" w:val="left"/>
        </w:tabs>
        <w:numPr>
          <w:ilvl w:val="0"/>
          <w:numId w:val="62"/>
        </w:numPr>
        <w:rPr>
          <w:rFonts w:ascii="Arial" w:cs="Arial" w:eastAsia="Arial" w:hAnsi="Arial"/>
          <w:sz w:val="20"/>
          <w:szCs w:val="20"/>
          <w:color w:val="231F20"/>
        </w:rPr>
      </w:pPr>
      <w:r>
        <w:rPr>
          <w:rFonts w:ascii="Arial" w:cs="Arial" w:eastAsia="Arial" w:hAnsi="Arial"/>
          <w:sz w:val="20"/>
          <w:szCs w:val="20"/>
          <w:color w:val="231F20"/>
        </w:rPr>
        <w:t>Consent of Independent Registered Public Accounting Firm, PricewaterhouseCoopers LLP.**</w:t>
      </w:r>
    </w:p>
    <w:p>
      <w:pPr>
        <w:spacing w:after="0" w:line="83" w:lineRule="exact"/>
        <w:rPr>
          <w:rFonts w:ascii="Arial" w:cs="Arial" w:eastAsia="Arial" w:hAnsi="Arial"/>
          <w:sz w:val="20"/>
          <w:szCs w:val="20"/>
          <w:color w:val="231F20"/>
        </w:rPr>
      </w:pPr>
    </w:p>
    <w:p>
      <w:pPr>
        <w:ind w:left="840" w:hanging="834"/>
        <w:spacing w:after="0"/>
        <w:tabs>
          <w:tab w:leader="none" w:pos="840" w:val="left"/>
        </w:tabs>
        <w:numPr>
          <w:ilvl w:val="0"/>
          <w:numId w:val="62"/>
        </w:numPr>
        <w:rPr>
          <w:rFonts w:ascii="Arial" w:cs="Arial" w:eastAsia="Arial" w:hAnsi="Arial"/>
          <w:sz w:val="20"/>
          <w:szCs w:val="20"/>
          <w:color w:val="231F20"/>
        </w:rPr>
      </w:pPr>
      <w:r>
        <w:rPr>
          <w:rFonts w:ascii="Arial" w:cs="Arial" w:eastAsia="Arial" w:hAnsi="Arial"/>
          <w:sz w:val="20"/>
          <w:szCs w:val="20"/>
          <w:color w:val="231F20"/>
        </w:rPr>
        <w:t>Powers of Attorney relating to execution of this Annual Report on Form 10-K.**</w:t>
      </w:r>
    </w:p>
    <w:p>
      <w:pPr>
        <w:spacing w:after="0" w:line="84"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231F20"/>
        </w:rPr>
        <w:t>31.1.</w:t>
      </w:r>
      <w:r>
        <w:rPr>
          <w:sz w:val="20"/>
          <w:szCs w:val="20"/>
          <w:color w:val="auto"/>
        </w:rPr>
        <w:tab/>
      </w:r>
      <w:r>
        <w:rPr>
          <w:rFonts w:ascii="Arial" w:cs="Arial" w:eastAsia="Arial" w:hAnsi="Arial"/>
          <w:sz w:val="20"/>
          <w:szCs w:val="20"/>
          <w:color w:val="231F20"/>
        </w:rPr>
        <w:t>Certificate of Chief Executive Officer Required Under Section 302 of the Sarbanes-Oxley Act of</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20"/>
          <w:szCs w:val="20"/>
          <w:color w:val="231F20"/>
        </w:rPr>
        <w:t>2002.**</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231F20"/>
        </w:rPr>
        <w:t>31.2.</w:t>
      </w:r>
      <w:r>
        <w:rPr>
          <w:sz w:val="20"/>
          <w:szCs w:val="20"/>
          <w:color w:val="auto"/>
        </w:rPr>
        <w:tab/>
      </w:r>
      <w:r>
        <w:rPr>
          <w:rFonts w:ascii="Arial" w:cs="Arial" w:eastAsia="Arial" w:hAnsi="Arial"/>
          <w:sz w:val="20"/>
          <w:szCs w:val="20"/>
          <w:color w:val="231F20"/>
        </w:rPr>
        <w:t>Certificate of Chief Financial Officer Required Under Section 302 of the Sarbanes-Oxley Act of</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20"/>
          <w:szCs w:val="20"/>
          <w:color w:val="231F20"/>
        </w:rPr>
        <w:t>2002.**</w:t>
      </w:r>
    </w:p>
    <w:p>
      <w:pPr>
        <w:spacing w:after="0" w:line="58" w:lineRule="exact"/>
        <w:rPr>
          <w:sz w:val="20"/>
          <w:szCs w:val="20"/>
          <w:color w:val="auto"/>
        </w:rPr>
      </w:pPr>
    </w:p>
    <w:p>
      <w:pPr>
        <w:ind w:left="840" w:hanging="834"/>
        <w:spacing w:after="0"/>
        <w:tabs>
          <w:tab w:leader="none" w:pos="840" w:val="left"/>
        </w:tabs>
        <w:numPr>
          <w:ilvl w:val="0"/>
          <w:numId w:val="63"/>
        </w:numPr>
        <w:rPr>
          <w:rFonts w:ascii="Arial" w:cs="Arial" w:eastAsia="Arial" w:hAnsi="Arial"/>
          <w:sz w:val="20"/>
          <w:szCs w:val="20"/>
          <w:color w:val="231F20"/>
        </w:rPr>
      </w:pPr>
      <w:r>
        <w:rPr>
          <w:rFonts w:ascii="Arial" w:cs="Arial" w:eastAsia="Arial" w:hAnsi="Arial"/>
          <w:sz w:val="20"/>
          <w:szCs w:val="20"/>
          <w:color w:val="231F20"/>
        </w:rPr>
        <w:t>Joint CEO/CFO Certification Required Under Section 906 of the Sarbanes-Oxley Act of 2002.**</w:t>
      </w:r>
    </w:p>
    <w:p>
      <w:pPr>
        <w:spacing w:after="0" w:line="84" w:lineRule="exact"/>
        <w:rPr>
          <w:sz w:val="20"/>
          <w:szCs w:val="20"/>
          <w:color w:val="auto"/>
        </w:rPr>
      </w:pPr>
    </w:p>
    <w:p>
      <w:pPr>
        <w:ind w:left="840" w:hanging="834"/>
        <w:spacing w:after="0"/>
        <w:tabs>
          <w:tab w:leader="none" w:pos="840" w:val="left"/>
        </w:tabs>
        <w:numPr>
          <w:ilvl w:val="0"/>
          <w:numId w:val="64"/>
        </w:numPr>
        <w:rPr>
          <w:rFonts w:ascii="Arial" w:cs="Arial" w:eastAsia="Arial" w:hAnsi="Arial"/>
          <w:sz w:val="20"/>
          <w:szCs w:val="20"/>
          <w:color w:val="231F20"/>
        </w:rPr>
      </w:pPr>
      <w:r>
        <w:rPr>
          <w:rFonts w:ascii="Arial" w:cs="Arial" w:eastAsia="Arial" w:hAnsi="Arial"/>
          <w:sz w:val="20"/>
          <w:szCs w:val="20"/>
          <w:color w:val="231F20"/>
        </w:rPr>
        <w:t>Clawback Policy, effective as of November 30, 2023.**</w:t>
      </w:r>
    </w:p>
    <w:p>
      <w:pPr>
        <w:spacing w:after="0" w:line="84" w:lineRule="exact"/>
        <w:rPr>
          <w:sz w:val="20"/>
          <w:szCs w:val="20"/>
          <w:color w:val="auto"/>
        </w:rPr>
      </w:pPr>
    </w:p>
    <w:p>
      <w:pPr>
        <w:ind w:left="840" w:right="60" w:hanging="834"/>
        <w:spacing w:after="0" w:line="251" w:lineRule="auto"/>
        <w:tabs>
          <w:tab w:leader="none" w:pos="840" w:val="left"/>
        </w:tabs>
        <w:numPr>
          <w:ilvl w:val="0"/>
          <w:numId w:val="65"/>
        </w:numPr>
        <w:rPr>
          <w:rFonts w:ascii="Arial" w:cs="Arial" w:eastAsia="Arial" w:hAnsi="Arial"/>
          <w:sz w:val="20"/>
          <w:szCs w:val="20"/>
          <w:color w:val="231F20"/>
        </w:rPr>
      </w:pPr>
      <w:r>
        <w:rPr>
          <w:rFonts w:ascii="Arial" w:cs="Arial" w:eastAsia="Arial" w:hAnsi="Arial"/>
          <w:sz w:val="20"/>
          <w:szCs w:val="20"/>
          <w:color w:val="231F20"/>
        </w:rPr>
        <w:t>The following materials from the Fortune Brands Innovations, Inc. Annual Report on Form 10-K for the year ended December 30, 2023 formatted in Inline eXtensible Business Reporting Language (iXBRL): (i) the Consolidated Statements of Income, (ii) the Consolidated Statements of Comprehensive Income (iii) the Consolidated Balance Sheets, (iv) the Consolidated Statements of Cash Flows, (vi) the Consolidated Statements of Equity, and (vi) the Notes to the Consolidated Financial Statements.**</w:t>
      </w:r>
    </w:p>
    <w:p>
      <w:pPr>
        <w:spacing w:after="0" w:line="34" w:lineRule="exact"/>
        <w:rPr>
          <w:sz w:val="20"/>
          <w:szCs w:val="20"/>
          <w:color w:val="auto"/>
        </w:rPr>
      </w:pPr>
    </w:p>
    <w:p>
      <w:pPr>
        <w:ind w:left="840" w:right="1240" w:hanging="834"/>
        <w:spacing w:after="0" w:line="287" w:lineRule="auto"/>
        <w:tabs>
          <w:tab w:leader="none" w:pos="840" w:val="left"/>
        </w:tabs>
        <w:numPr>
          <w:ilvl w:val="0"/>
          <w:numId w:val="66"/>
        </w:numPr>
        <w:rPr>
          <w:rFonts w:ascii="Arial" w:cs="Arial" w:eastAsia="Arial" w:hAnsi="Arial"/>
          <w:sz w:val="20"/>
          <w:szCs w:val="20"/>
          <w:color w:val="231F20"/>
        </w:rPr>
      </w:pPr>
      <w:r>
        <w:rPr>
          <w:rFonts w:ascii="Arial" w:cs="Arial" w:eastAsia="Arial" w:hAnsi="Arial"/>
          <w:sz w:val="20"/>
          <w:szCs w:val="20"/>
          <w:color w:val="231F20"/>
        </w:rPr>
        <w:t xml:space="preserve">The cover page of the Company’s Annual Report on Form 10-K for the year ended December 30, 2023, formatted in Inline </w:t>
      </w:r>
      <w:r>
        <w:rPr>
          <w:rFonts w:ascii="Arial" w:cs="Arial" w:eastAsia="Arial" w:hAnsi="Arial"/>
          <w:sz w:val="20"/>
          <w:szCs w:val="20"/>
          <w:color w:val="4A4A4C"/>
        </w:rPr>
        <w:t>XBRL and contained in Exhibit 101.**</w:t>
      </w:r>
    </w:p>
    <w:p>
      <w:pPr>
        <w:spacing w:after="0" w:line="216" w:lineRule="exact"/>
        <w:rPr>
          <w:sz w:val="20"/>
          <w:szCs w:val="20"/>
          <w:color w:val="auto"/>
        </w:rPr>
      </w:pPr>
    </w:p>
    <w:p>
      <w:pPr>
        <w:ind w:left="140" w:hanging="134"/>
        <w:spacing w:after="0"/>
        <w:tabs>
          <w:tab w:leader="none" w:pos="140" w:val="left"/>
        </w:tabs>
        <w:numPr>
          <w:ilvl w:val="0"/>
          <w:numId w:val="67"/>
        </w:numPr>
        <w:rPr>
          <w:rFonts w:ascii="Arial" w:cs="Arial" w:eastAsia="Arial" w:hAnsi="Arial"/>
          <w:sz w:val="20"/>
          <w:szCs w:val="20"/>
          <w:color w:val="231F20"/>
        </w:rPr>
      </w:pPr>
      <w:r>
        <w:rPr>
          <w:rFonts w:ascii="Arial" w:cs="Arial" w:eastAsia="Arial" w:hAnsi="Arial"/>
          <w:sz w:val="20"/>
          <w:szCs w:val="20"/>
          <w:color w:val="231F20"/>
        </w:rPr>
        <w:t>Indicates the exhibit is a management contract or compensatory plan or arrangement.</w:t>
      </w:r>
    </w:p>
    <w:p>
      <w:pPr>
        <w:spacing w:after="0" w:line="21" w:lineRule="exact"/>
        <w:rPr>
          <w:rFonts w:ascii="Arial" w:cs="Arial" w:eastAsia="Arial" w:hAnsi="Arial"/>
          <w:sz w:val="20"/>
          <w:szCs w:val="20"/>
          <w:color w:val="231F20"/>
        </w:rPr>
      </w:pPr>
    </w:p>
    <w:p>
      <w:pPr>
        <w:ind w:left="220" w:hanging="214"/>
        <w:spacing w:after="0"/>
        <w:tabs>
          <w:tab w:leader="none" w:pos="220" w:val="left"/>
        </w:tabs>
        <w:numPr>
          <w:ilvl w:val="0"/>
          <w:numId w:val="68"/>
        </w:numPr>
        <w:rPr>
          <w:rFonts w:ascii="Arial" w:cs="Arial" w:eastAsia="Arial" w:hAnsi="Arial"/>
          <w:sz w:val="20"/>
          <w:szCs w:val="20"/>
          <w:color w:val="231F20"/>
        </w:rPr>
      </w:pPr>
      <w:r>
        <w:rPr>
          <w:rFonts w:ascii="Arial" w:cs="Arial" w:eastAsia="Arial" w:hAnsi="Arial"/>
          <w:sz w:val="20"/>
          <w:szCs w:val="20"/>
          <w:color w:val="231F20"/>
        </w:rPr>
        <w:t>Indicates the exhibit is being furnished or filed herewith, as applicable.</w:t>
      </w:r>
    </w:p>
    <w:p>
      <w:pPr>
        <w:spacing w:after="0" w:line="10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231F20"/>
        </w:rPr>
        <w:t>Item 16.</w:t>
        <w:tab/>
        <w:t>Form 10-K Summary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231F20"/>
        </w:rPr>
        <w:t>None.</w:t>
      </w:r>
    </w:p>
    <w:p>
      <w:pPr>
        <w:sectPr>
          <w:pgSz w:w="12240" w:h="15840" w:orient="portrait"/>
          <w:cols w:equalWidth="0" w:num="1">
            <w:col w:w="9460"/>
          </w:cols>
          <w:pgMar w:left="1380" w:top="1346"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96</w:t>
      </w:r>
    </w:p>
    <w:p>
      <w:pPr>
        <w:sectPr>
          <w:pgSz w:w="12240" w:h="15840" w:orient="portrait"/>
          <w:cols w:equalWidth="0" w:num="1">
            <w:col w:w="9460"/>
          </w:cols>
          <w:pgMar w:left="1380" w:top="1346" w:right="1400" w:bottom="95"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b w:val="1"/>
          <w:bCs w:val="1"/>
          <w:color w:val="231F20"/>
        </w:rPr>
        <w:t>Signatures</w:t>
      </w:r>
    </w:p>
    <w:p>
      <w:pPr>
        <w:spacing w:after="0" w:line="279" w:lineRule="exact"/>
        <w:rPr>
          <w:sz w:val="20"/>
          <w:szCs w:val="20"/>
          <w:color w:val="auto"/>
        </w:rPr>
      </w:pPr>
    </w:p>
    <w:p>
      <w:pPr>
        <w:ind w:right="600"/>
        <w:spacing w:after="0" w:line="265" w:lineRule="auto"/>
        <w:rPr>
          <w:sz w:val="20"/>
          <w:szCs w:val="20"/>
          <w:color w:val="auto"/>
        </w:rPr>
      </w:pPr>
      <w:r>
        <w:rPr>
          <w:rFonts w:ascii="Arial" w:cs="Arial" w:eastAsia="Arial" w:hAnsi="Arial"/>
          <w:sz w:val="20"/>
          <w:szCs w:val="20"/>
          <w:color w:val="231F20"/>
        </w:rPr>
        <w:t>Pursuant to the requirements of Section 13 or 15(d)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4280"/>
        <w:spacing w:after="0"/>
        <w:rPr>
          <w:sz w:val="20"/>
          <w:szCs w:val="20"/>
          <w:color w:val="auto"/>
        </w:rPr>
      </w:pPr>
      <w:r>
        <w:rPr>
          <w:rFonts w:ascii="Arial" w:cs="Arial" w:eastAsia="Arial" w:hAnsi="Arial"/>
          <w:sz w:val="20"/>
          <w:szCs w:val="20"/>
          <w:color w:val="231F20"/>
        </w:rPr>
        <w:t>FORTUNE BRANDS INNOVATIONS, INC.</w:t>
      </w:r>
    </w:p>
    <w:p>
      <w:pPr>
        <w:spacing w:after="0" w:line="29" w:lineRule="exact"/>
        <w:rPr>
          <w:sz w:val="20"/>
          <w:szCs w:val="20"/>
          <w:color w:val="auto"/>
        </w:rPr>
      </w:pPr>
    </w:p>
    <w:p>
      <w:pPr>
        <w:ind w:left="4280"/>
        <w:spacing w:after="0"/>
        <w:rPr>
          <w:sz w:val="20"/>
          <w:szCs w:val="20"/>
          <w:color w:val="auto"/>
        </w:rPr>
      </w:pPr>
      <w:r>
        <w:rPr>
          <w:rFonts w:ascii="Arial" w:cs="Arial" w:eastAsia="Arial" w:hAnsi="Arial"/>
          <w:sz w:val="20"/>
          <w:szCs w:val="20"/>
          <w:color w:val="231F20"/>
        </w:rPr>
        <w:t>(The Company)</w:t>
      </w:r>
    </w:p>
    <w:p>
      <w:pPr>
        <w:spacing w:after="0" w:line="209" w:lineRule="exact"/>
        <w:rPr>
          <w:sz w:val="20"/>
          <w:szCs w:val="20"/>
          <w:color w:val="auto"/>
        </w:rPr>
      </w:pPr>
    </w:p>
    <w:p>
      <w:pPr>
        <w:spacing w:after="0"/>
        <w:tabs>
          <w:tab w:leader="none" w:pos="4260" w:val="left"/>
        </w:tabs>
        <w:rPr>
          <w:sz w:val="20"/>
          <w:szCs w:val="20"/>
          <w:color w:val="auto"/>
        </w:rPr>
      </w:pPr>
      <w:r>
        <w:rPr>
          <w:rFonts w:ascii="Arial" w:cs="Arial" w:eastAsia="Arial" w:hAnsi="Arial"/>
          <w:sz w:val="20"/>
          <w:szCs w:val="20"/>
          <w:color w:val="231F20"/>
        </w:rPr>
        <w:t>Date: February 27, 2024</w:t>
      </w:r>
      <w:r>
        <w:rPr>
          <w:sz w:val="20"/>
          <w:szCs w:val="20"/>
          <w:color w:val="auto"/>
        </w:rPr>
        <w:tab/>
      </w:r>
      <w:r>
        <w:rPr>
          <w:rFonts w:ascii="Arial" w:cs="Arial" w:eastAsia="Arial" w:hAnsi="Arial"/>
          <w:sz w:val="20"/>
          <w:szCs w:val="20"/>
          <w:color w:val="231F20"/>
        </w:rPr>
        <w:t>By:</w:t>
      </w:r>
    </w:p>
    <w:p>
      <w:pPr>
        <w:spacing w:after="0" w:line="29" w:lineRule="exact"/>
        <w:rPr>
          <w:sz w:val="20"/>
          <w:szCs w:val="20"/>
          <w:color w:val="auto"/>
        </w:rPr>
      </w:pPr>
    </w:p>
    <w:p>
      <w:pPr>
        <w:ind w:left="462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NICHOLAS I</w:t>
      </w:r>
      <w:r>
        <w:rPr>
          <w:rFonts w:ascii="Arial" w:cs="Arial" w:eastAsia="Arial" w:hAnsi="Arial"/>
          <w:sz w:val="20"/>
          <w:szCs w:val="20"/>
          <w:color w:val="231F20"/>
        </w:rPr>
        <w:t xml:space="preserve">. </w:t>
      </w:r>
      <w:r>
        <w:rPr>
          <w:rFonts w:ascii="Arial" w:cs="Arial" w:eastAsia="Arial" w:hAnsi="Arial"/>
          <w:sz w:val="16"/>
          <w:szCs w:val="16"/>
          <w:color w:val="231F20"/>
        </w:rPr>
        <w:t>FINK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2929890</wp:posOffset>
                </wp:positionH>
                <wp:positionV relativeFrom="paragraph">
                  <wp:posOffset>635</wp:posOffset>
                </wp:positionV>
                <wp:extent cx="308546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546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7pt,0.05pt" to="473.65pt,0.05pt" o:allowincell="f" strokecolor="#231F20" strokeweight="0.506pt"/>
            </w:pict>
          </mc:Fallback>
        </mc:AlternateContent>
      </w:r>
    </w:p>
    <w:p>
      <w:pPr>
        <w:ind w:left="4620"/>
        <w:spacing w:after="0"/>
        <w:rPr>
          <w:sz w:val="20"/>
          <w:szCs w:val="20"/>
          <w:color w:val="auto"/>
        </w:rPr>
      </w:pPr>
      <w:r>
        <w:rPr>
          <w:rFonts w:ascii="Arial" w:cs="Arial" w:eastAsia="Arial" w:hAnsi="Arial"/>
          <w:sz w:val="20"/>
          <w:szCs w:val="20"/>
          <w:color w:val="231F20"/>
        </w:rPr>
        <w:t>Nicholas I. Fink</w:t>
      </w:r>
    </w:p>
    <w:p>
      <w:pPr>
        <w:spacing w:after="0" w:line="3" w:lineRule="exact"/>
        <w:rPr>
          <w:sz w:val="20"/>
          <w:szCs w:val="20"/>
          <w:color w:val="auto"/>
        </w:rPr>
      </w:pPr>
    </w:p>
    <w:p>
      <w:pPr>
        <w:ind w:left="4620"/>
        <w:spacing w:after="0"/>
        <w:rPr>
          <w:sz w:val="20"/>
          <w:szCs w:val="20"/>
          <w:color w:val="auto"/>
        </w:rPr>
      </w:pPr>
      <w:r>
        <w:rPr>
          <w:rFonts w:ascii="Arial" w:cs="Arial" w:eastAsia="Arial" w:hAnsi="Arial"/>
          <w:sz w:val="20"/>
          <w:szCs w:val="20"/>
          <w:color w:val="231F20"/>
        </w:rPr>
        <w:t>Chief Executive Officer (principal executive officer)</w:t>
      </w:r>
    </w:p>
    <w:p>
      <w:pPr>
        <w:spacing w:after="0" w:line="209" w:lineRule="exact"/>
        <w:rPr>
          <w:sz w:val="20"/>
          <w:szCs w:val="20"/>
          <w:color w:val="auto"/>
        </w:rPr>
      </w:pPr>
    </w:p>
    <w:p>
      <w:pPr>
        <w:ind w:left="462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DAVID V</w:t>
      </w:r>
      <w:r>
        <w:rPr>
          <w:rFonts w:ascii="Arial" w:cs="Arial" w:eastAsia="Arial" w:hAnsi="Arial"/>
          <w:sz w:val="20"/>
          <w:szCs w:val="20"/>
          <w:color w:val="231F20"/>
        </w:rPr>
        <w:t xml:space="preserve">. </w:t>
      </w:r>
      <w:r>
        <w:rPr>
          <w:rFonts w:ascii="Arial" w:cs="Arial" w:eastAsia="Arial" w:hAnsi="Arial"/>
          <w:sz w:val="16"/>
          <w:szCs w:val="16"/>
          <w:color w:val="231F20"/>
        </w:rPr>
        <w:t>BARRY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2929890</wp:posOffset>
                </wp:positionH>
                <wp:positionV relativeFrom="paragraph">
                  <wp:posOffset>17145</wp:posOffset>
                </wp:positionV>
                <wp:extent cx="308546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5465"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7pt,1.35pt" to="473.65pt,1.35pt" o:allowincell="f" strokecolor="#231F20" strokeweight="0.506pt"/>
            </w:pict>
          </mc:Fallback>
        </mc:AlternateContent>
      </w:r>
    </w:p>
    <w:p>
      <w:pPr>
        <w:spacing w:after="0" w:line="19" w:lineRule="exact"/>
        <w:rPr>
          <w:sz w:val="20"/>
          <w:szCs w:val="20"/>
          <w:color w:val="auto"/>
        </w:rPr>
      </w:pPr>
    </w:p>
    <w:p>
      <w:pPr>
        <w:ind w:left="4620"/>
        <w:spacing w:after="0"/>
        <w:rPr>
          <w:sz w:val="20"/>
          <w:szCs w:val="20"/>
          <w:color w:val="auto"/>
        </w:rPr>
      </w:pPr>
      <w:r>
        <w:rPr>
          <w:rFonts w:ascii="Arial" w:cs="Arial" w:eastAsia="Arial" w:hAnsi="Arial"/>
          <w:sz w:val="20"/>
          <w:szCs w:val="20"/>
          <w:color w:val="231F20"/>
        </w:rPr>
        <w:t>David V. Barry</w:t>
      </w:r>
    </w:p>
    <w:p>
      <w:pPr>
        <w:spacing w:after="0" w:line="3" w:lineRule="exact"/>
        <w:rPr>
          <w:sz w:val="20"/>
          <w:szCs w:val="20"/>
          <w:color w:val="auto"/>
        </w:rPr>
      </w:pPr>
    </w:p>
    <w:p>
      <w:pPr>
        <w:ind w:left="4620"/>
        <w:spacing w:after="0"/>
        <w:rPr>
          <w:sz w:val="20"/>
          <w:szCs w:val="20"/>
          <w:color w:val="auto"/>
        </w:rPr>
      </w:pPr>
      <w:r>
        <w:rPr>
          <w:rFonts w:ascii="Arial" w:cs="Arial" w:eastAsia="Arial" w:hAnsi="Arial"/>
          <w:sz w:val="20"/>
          <w:szCs w:val="20"/>
          <w:color w:val="231F20"/>
        </w:rPr>
        <w:t>Executive Vice President and Chief Financial Officer</w:t>
      </w:r>
    </w:p>
    <w:p>
      <w:pPr>
        <w:spacing w:after="0" w:line="3" w:lineRule="exact"/>
        <w:rPr>
          <w:sz w:val="20"/>
          <w:szCs w:val="20"/>
          <w:color w:val="auto"/>
        </w:rPr>
      </w:pPr>
    </w:p>
    <w:p>
      <w:pPr>
        <w:ind w:left="4620"/>
        <w:spacing w:after="0"/>
        <w:rPr>
          <w:sz w:val="20"/>
          <w:szCs w:val="20"/>
          <w:color w:val="auto"/>
        </w:rPr>
      </w:pPr>
      <w:r>
        <w:rPr>
          <w:rFonts w:ascii="Arial" w:cs="Arial" w:eastAsia="Arial" w:hAnsi="Arial"/>
          <w:sz w:val="20"/>
          <w:szCs w:val="20"/>
          <w:color w:val="231F20"/>
        </w:rPr>
        <w:t>(principal financial officer and principal accounting</w:t>
      </w:r>
    </w:p>
    <w:p>
      <w:pPr>
        <w:spacing w:after="0" w:line="3" w:lineRule="exact"/>
        <w:rPr>
          <w:sz w:val="20"/>
          <w:szCs w:val="20"/>
          <w:color w:val="auto"/>
        </w:rPr>
      </w:pPr>
    </w:p>
    <w:p>
      <w:pPr>
        <w:ind w:left="4620"/>
        <w:spacing w:after="0"/>
        <w:rPr>
          <w:sz w:val="20"/>
          <w:szCs w:val="20"/>
          <w:color w:val="auto"/>
        </w:rPr>
      </w:pPr>
      <w:r>
        <w:rPr>
          <w:rFonts w:ascii="Arial" w:cs="Arial" w:eastAsia="Arial" w:hAnsi="Arial"/>
          <w:sz w:val="20"/>
          <w:szCs w:val="20"/>
          <w:color w:val="231F20"/>
        </w:rPr>
        <w:t>officer)</w:t>
      </w:r>
    </w:p>
    <w:p>
      <w:pPr>
        <w:spacing w:after="0" w:line="260" w:lineRule="exact"/>
        <w:rPr>
          <w:sz w:val="20"/>
          <w:szCs w:val="20"/>
          <w:color w:val="auto"/>
        </w:rPr>
      </w:pPr>
    </w:p>
    <w:p>
      <w:pPr>
        <w:ind w:right="180"/>
        <w:spacing w:after="0" w:line="319" w:lineRule="auto"/>
        <w:rPr>
          <w:sz w:val="20"/>
          <w:szCs w:val="20"/>
          <w:color w:val="auto"/>
        </w:rPr>
      </w:pPr>
      <w:r>
        <w:rPr>
          <w:rFonts w:ascii="Arial" w:cs="Arial" w:eastAsia="Arial" w:hAnsi="Arial"/>
          <w:sz w:val="20"/>
          <w:szCs w:val="20"/>
          <w:color w:val="231F20"/>
        </w:rPr>
        <w:t>Pursuant to the requirements of the Securities Exchange Act of 1934, this report has been signed below by the following persons on behalf of the Registrant and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560" w:type="dxa"/>
            <w:vAlign w:val="bottom"/>
            <w:tcBorders>
              <w:bottom w:val="single" w:sz="8" w:color="231F20"/>
            </w:tcBorders>
          </w:tcPr>
          <w:p>
            <w:pPr>
              <w:ind w:left="12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NICHOLAS I</w:t>
            </w:r>
            <w:r>
              <w:rPr>
                <w:rFonts w:ascii="Arial" w:cs="Arial" w:eastAsia="Arial" w:hAnsi="Arial"/>
                <w:sz w:val="20"/>
                <w:szCs w:val="20"/>
                <w:color w:val="231F20"/>
              </w:rPr>
              <w:t xml:space="preserve">. </w:t>
            </w:r>
            <w:r>
              <w:rPr>
                <w:rFonts w:ascii="Arial" w:cs="Arial" w:eastAsia="Arial" w:hAnsi="Arial"/>
                <w:sz w:val="16"/>
                <w:szCs w:val="16"/>
                <w:color w:val="231F20"/>
              </w:rPr>
              <w:t>FINK</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60" w:type="dxa"/>
            <w:vAlign w:val="bottom"/>
            <w:tcBorders>
              <w:bottom w:val="single" w:sz="8" w:color="231F20"/>
            </w:tcBorders>
          </w:tcPr>
          <w:p>
            <w:pPr>
              <w:ind w:left="10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SUSAN S</w:t>
            </w:r>
            <w:r>
              <w:rPr>
                <w:rFonts w:ascii="Arial" w:cs="Arial" w:eastAsia="Arial" w:hAnsi="Arial"/>
                <w:sz w:val="20"/>
                <w:szCs w:val="20"/>
                <w:color w:val="231F20"/>
              </w:rPr>
              <w:t xml:space="preserve">. </w:t>
            </w:r>
            <w:r>
              <w:rPr>
                <w:rFonts w:ascii="Arial" w:cs="Arial" w:eastAsia="Arial" w:hAnsi="Arial"/>
                <w:sz w:val="16"/>
                <w:szCs w:val="16"/>
                <w:color w:val="231F20"/>
              </w:rPr>
              <w:t>KILSBY</w:t>
            </w:r>
            <w:r>
              <w:rPr>
                <w:rFonts w:ascii="Arial" w:cs="Arial" w:eastAsia="Arial" w:hAnsi="Arial"/>
                <w:sz w:val="20"/>
                <w:szCs w:val="20"/>
                <w:color w:val="231F20"/>
              </w:rPr>
              <w:t>*</w:t>
            </w:r>
          </w:p>
        </w:tc>
      </w:tr>
      <w:tr>
        <w:trPr>
          <w:trHeight w:val="203"/>
        </w:trPr>
        <w:tc>
          <w:tcPr>
            <w:tcW w:w="4560" w:type="dxa"/>
            <w:vAlign w:val="bottom"/>
          </w:tcPr>
          <w:p>
            <w:pPr>
              <w:ind w:left="120"/>
              <w:spacing w:after="0" w:line="204" w:lineRule="exact"/>
              <w:rPr>
                <w:sz w:val="20"/>
                <w:szCs w:val="20"/>
                <w:color w:val="auto"/>
              </w:rPr>
            </w:pPr>
            <w:r>
              <w:rPr>
                <w:rFonts w:ascii="Arial" w:cs="Arial" w:eastAsia="Arial" w:hAnsi="Arial"/>
                <w:sz w:val="20"/>
                <w:szCs w:val="20"/>
                <w:color w:val="231F20"/>
              </w:rPr>
              <w:t>Nicholas I. Fink, Chief Executive Officer and</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60" w:type="dxa"/>
            <w:vAlign w:val="bottom"/>
          </w:tcPr>
          <w:p>
            <w:pPr>
              <w:ind w:left="100"/>
              <w:spacing w:after="0" w:line="204" w:lineRule="exact"/>
              <w:rPr>
                <w:sz w:val="20"/>
                <w:szCs w:val="20"/>
                <w:color w:val="auto"/>
              </w:rPr>
            </w:pPr>
            <w:r>
              <w:rPr>
                <w:rFonts w:ascii="Arial" w:cs="Arial" w:eastAsia="Arial" w:hAnsi="Arial"/>
                <w:sz w:val="20"/>
                <w:szCs w:val="20"/>
                <w:color w:val="231F20"/>
              </w:rPr>
              <w:t>Susan S. Kilsby, Director</w:t>
            </w:r>
          </w:p>
        </w:tc>
      </w:tr>
      <w:tr>
        <w:trPr>
          <w:trHeight w:val="233"/>
        </w:trPr>
        <w:tc>
          <w:tcPr>
            <w:tcW w:w="4560" w:type="dxa"/>
            <w:vAlign w:val="bottom"/>
          </w:tcPr>
          <w:p>
            <w:pPr>
              <w:ind w:left="120"/>
              <w:spacing w:after="0"/>
              <w:rPr>
                <w:sz w:val="20"/>
                <w:szCs w:val="20"/>
                <w:color w:val="auto"/>
              </w:rPr>
            </w:pPr>
            <w:r>
              <w:rPr>
                <w:rFonts w:ascii="Arial" w:cs="Arial" w:eastAsia="Arial" w:hAnsi="Arial"/>
                <w:sz w:val="20"/>
                <w:szCs w:val="20"/>
                <w:color w:val="231F20"/>
              </w:rPr>
              <w:t>Director (principal executive officer)</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Arial" w:cs="Arial" w:eastAsia="Arial" w:hAnsi="Arial"/>
                <w:sz w:val="20"/>
                <w:szCs w:val="20"/>
                <w:color w:val="231F20"/>
              </w:rPr>
              <w:t>Date: February 27, 2024</w:t>
            </w:r>
          </w:p>
        </w:tc>
      </w:tr>
      <w:tr>
        <w:trPr>
          <w:trHeight w:val="273"/>
        </w:trPr>
        <w:tc>
          <w:tcPr>
            <w:tcW w:w="4560" w:type="dxa"/>
            <w:vAlign w:val="bottom"/>
          </w:tcPr>
          <w:p>
            <w:pPr>
              <w:ind w:left="120"/>
              <w:spacing w:after="0"/>
              <w:rPr>
                <w:sz w:val="20"/>
                <w:szCs w:val="20"/>
                <w:color w:val="auto"/>
              </w:rPr>
            </w:pPr>
            <w:r>
              <w:rPr>
                <w:rFonts w:ascii="Arial" w:cs="Arial" w:eastAsia="Arial" w:hAnsi="Arial"/>
                <w:sz w:val="20"/>
                <w:szCs w:val="20"/>
                <w:color w:val="231F20"/>
              </w:rPr>
              <w:t>Date: February 27, 2024</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60" w:type="dxa"/>
            <w:vAlign w:val="bottom"/>
          </w:tcPr>
          <w:p>
            <w:pPr>
              <w:spacing w:after="0"/>
              <w:rPr>
                <w:sz w:val="23"/>
                <w:szCs w:val="23"/>
                <w:color w:val="auto"/>
              </w:rPr>
            </w:pPr>
          </w:p>
        </w:tc>
      </w:tr>
      <w:tr>
        <w:trPr>
          <w:trHeight w:val="444"/>
        </w:trPr>
        <w:tc>
          <w:tcPr>
            <w:tcW w:w="4560" w:type="dxa"/>
            <w:vAlign w:val="bottom"/>
            <w:tcBorders>
              <w:bottom w:val="single" w:sz="8" w:color="231F20"/>
            </w:tcBorders>
          </w:tcPr>
          <w:p>
            <w:pPr>
              <w:ind w:left="12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DAVID V</w:t>
            </w:r>
            <w:r>
              <w:rPr>
                <w:rFonts w:ascii="Arial" w:cs="Arial" w:eastAsia="Arial" w:hAnsi="Arial"/>
                <w:sz w:val="20"/>
                <w:szCs w:val="20"/>
                <w:color w:val="231F20"/>
              </w:rPr>
              <w:t xml:space="preserve">. </w:t>
            </w:r>
            <w:r>
              <w:rPr>
                <w:rFonts w:ascii="Arial" w:cs="Arial" w:eastAsia="Arial" w:hAnsi="Arial"/>
                <w:sz w:val="16"/>
                <w:szCs w:val="16"/>
                <w:color w:val="231F20"/>
              </w:rPr>
              <w:t>BARRY</w:t>
            </w:r>
          </w:p>
        </w:tc>
        <w:tc>
          <w:tcPr>
            <w:tcW w:w="20" w:type="dxa"/>
            <w:vAlign w:val="bottom"/>
            <w:tcBorders>
              <w:bottom w:val="single" w:sz="8" w:color="231F20"/>
            </w:tcBorders>
          </w:tcPr>
          <w:p>
            <w:pPr>
              <w:spacing w:after="0"/>
              <w:rPr>
                <w:sz w:val="24"/>
                <w:szCs w:val="24"/>
                <w:color w:val="auto"/>
              </w:rPr>
            </w:pPr>
          </w:p>
        </w:tc>
        <w:tc>
          <w:tcPr>
            <w:tcW w:w="640" w:type="dxa"/>
            <w:vAlign w:val="bottom"/>
          </w:tcPr>
          <w:p>
            <w:pPr>
              <w:spacing w:after="0"/>
              <w:rPr>
                <w:sz w:val="24"/>
                <w:szCs w:val="24"/>
                <w:color w:val="auto"/>
              </w:rPr>
            </w:pPr>
          </w:p>
        </w:tc>
        <w:tc>
          <w:tcPr>
            <w:tcW w:w="4260" w:type="dxa"/>
            <w:vAlign w:val="bottom"/>
            <w:tcBorders>
              <w:bottom w:val="single" w:sz="8" w:color="231F20"/>
            </w:tcBorders>
          </w:tcPr>
          <w:p>
            <w:pPr>
              <w:ind w:left="10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A</w:t>
            </w:r>
            <w:r>
              <w:rPr>
                <w:rFonts w:ascii="Arial" w:cs="Arial" w:eastAsia="Arial" w:hAnsi="Arial"/>
                <w:sz w:val="20"/>
                <w:szCs w:val="20"/>
                <w:color w:val="231F20"/>
              </w:rPr>
              <w:t>.</w:t>
            </w:r>
            <w:r>
              <w:rPr>
                <w:rFonts w:ascii="Arial" w:cs="Arial" w:eastAsia="Arial" w:hAnsi="Arial"/>
                <w:sz w:val="16"/>
                <w:szCs w:val="16"/>
                <w:color w:val="231F20"/>
              </w:rPr>
              <w:t>D</w:t>
            </w:r>
            <w:r>
              <w:rPr>
                <w:rFonts w:ascii="Arial" w:cs="Arial" w:eastAsia="Arial" w:hAnsi="Arial"/>
                <w:sz w:val="20"/>
                <w:szCs w:val="20"/>
                <w:color w:val="231F20"/>
              </w:rPr>
              <w:t xml:space="preserve">. </w:t>
            </w:r>
            <w:r>
              <w:rPr>
                <w:rFonts w:ascii="Arial" w:cs="Arial" w:eastAsia="Arial" w:hAnsi="Arial"/>
                <w:sz w:val="16"/>
                <w:szCs w:val="16"/>
                <w:color w:val="231F20"/>
              </w:rPr>
              <w:t>DAVID MACKAY</w:t>
            </w:r>
            <w:r>
              <w:rPr>
                <w:rFonts w:ascii="Arial" w:cs="Arial" w:eastAsia="Arial" w:hAnsi="Arial"/>
                <w:sz w:val="20"/>
                <w:szCs w:val="20"/>
                <w:color w:val="231F20"/>
              </w:rPr>
              <w:t>*</w:t>
            </w:r>
          </w:p>
        </w:tc>
      </w:tr>
      <w:tr>
        <w:trPr>
          <w:trHeight w:val="203"/>
        </w:trPr>
        <w:tc>
          <w:tcPr>
            <w:tcW w:w="4560" w:type="dxa"/>
            <w:vAlign w:val="bottom"/>
          </w:tcPr>
          <w:p>
            <w:pPr>
              <w:ind w:left="120"/>
              <w:spacing w:after="0" w:line="204" w:lineRule="exact"/>
              <w:rPr>
                <w:sz w:val="20"/>
                <w:szCs w:val="20"/>
                <w:color w:val="auto"/>
              </w:rPr>
            </w:pPr>
            <w:r>
              <w:rPr>
                <w:rFonts w:ascii="Arial" w:cs="Arial" w:eastAsia="Arial" w:hAnsi="Arial"/>
                <w:sz w:val="20"/>
                <w:szCs w:val="20"/>
                <w:color w:val="231F20"/>
              </w:rPr>
              <w:t>David V. Barry, Executive Vice President and</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60" w:type="dxa"/>
            <w:vAlign w:val="bottom"/>
          </w:tcPr>
          <w:p>
            <w:pPr>
              <w:ind w:left="100"/>
              <w:spacing w:after="0" w:line="204" w:lineRule="exact"/>
              <w:rPr>
                <w:sz w:val="20"/>
                <w:szCs w:val="20"/>
                <w:color w:val="auto"/>
              </w:rPr>
            </w:pPr>
            <w:r>
              <w:rPr>
                <w:rFonts w:ascii="Arial" w:cs="Arial" w:eastAsia="Arial" w:hAnsi="Arial"/>
                <w:sz w:val="20"/>
                <w:szCs w:val="20"/>
                <w:color w:val="231F20"/>
              </w:rPr>
              <w:t>A.D. David Mackay, Director</w:t>
            </w:r>
          </w:p>
        </w:tc>
      </w:tr>
      <w:tr>
        <w:trPr>
          <w:trHeight w:val="233"/>
        </w:trPr>
        <w:tc>
          <w:tcPr>
            <w:tcW w:w="4560" w:type="dxa"/>
            <w:vAlign w:val="bottom"/>
          </w:tcPr>
          <w:p>
            <w:pPr>
              <w:ind w:left="120"/>
              <w:spacing w:after="0"/>
              <w:rPr>
                <w:sz w:val="20"/>
                <w:szCs w:val="20"/>
                <w:color w:val="auto"/>
              </w:rPr>
            </w:pPr>
            <w:r>
              <w:rPr>
                <w:rFonts w:ascii="Arial" w:cs="Arial" w:eastAsia="Arial" w:hAnsi="Arial"/>
                <w:sz w:val="20"/>
                <w:szCs w:val="20"/>
                <w:color w:val="231F20"/>
              </w:rPr>
              <w:t>Chief Financial Officer (principal financial officer</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60" w:type="dxa"/>
            <w:vAlign w:val="bottom"/>
          </w:tcPr>
          <w:p>
            <w:pPr>
              <w:ind w:left="100"/>
              <w:spacing w:after="0"/>
              <w:rPr>
                <w:sz w:val="20"/>
                <w:szCs w:val="20"/>
                <w:color w:val="auto"/>
              </w:rPr>
            </w:pPr>
            <w:r>
              <w:rPr>
                <w:rFonts w:ascii="Arial" w:cs="Arial" w:eastAsia="Arial" w:hAnsi="Arial"/>
                <w:sz w:val="20"/>
                <w:szCs w:val="20"/>
                <w:color w:val="231F20"/>
              </w:rPr>
              <w:t>Date: February 27, 2024</w:t>
            </w:r>
          </w:p>
        </w:tc>
      </w:tr>
      <w:tr>
        <w:trPr>
          <w:trHeight w:val="233"/>
        </w:trPr>
        <w:tc>
          <w:tcPr>
            <w:tcW w:w="4560" w:type="dxa"/>
            <w:vAlign w:val="bottom"/>
          </w:tcPr>
          <w:p>
            <w:pPr>
              <w:ind w:left="120"/>
              <w:spacing w:after="0"/>
              <w:rPr>
                <w:sz w:val="20"/>
                <w:szCs w:val="20"/>
                <w:color w:val="auto"/>
              </w:rPr>
            </w:pPr>
            <w:r>
              <w:rPr>
                <w:rFonts w:ascii="Arial" w:cs="Arial" w:eastAsia="Arial" w:hAnsi="Arial"/>
                <w:sz w:val="20"/>
                <w:szCs w:val="20"/>
                <w:color w:val="231F20"/>
              </w:rPr>
              <w:t>and principal accounting officer)</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273"/>
        </w:trPr>
        <w:tc>
          <w:tcPr>
            <w:tcW w:w="4560" w:type="dxa"/>
            <w:vAlign w:val="bottom"/>
          </w:tcPr>
          <w:p>
            <w:pPr>
              <w:ind w:left="120"/>
              <w:spacing w:after="0"/>
              <w:rPr>
                <w:sz w:val="20"/>
                <w:szCs w:val="20"/>
                <w:color w:val="auto"/>
              </w:rPr>
            </w:pPr>
            <w:r>
              <w:rPr>
                <w:rFonts w:ascii="Arial" w:cs="Arial" w:eastAsia="Arial" w:hAnsi="Arial"/>
                <w:sz w:val="20"/>
                <w:szCs w:val="20"/>
                <w:color w:val="231F20"/>
              </w:rPr>
              <w:t>Date: February 27, 2024</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60" w:type="dxa"/>
            <w:vAlign w:val="bottom"/>
          </w:tcPr>
          <w:p>
            <w:pPr>
              <w:spacing w:after="0"/>
              <w:rPr>
                <w:sz w:val="23"/>
                <w:szCs w:val="23"/>
                <w:color w:val="auto"/>
              </w:rPr>
            </w:pPr>
          </w:p>
        </w:tc>
      </w:tr>
      <w:tr>
        <w:trPr>
          <w:trHeight w:val="444"/>
        </w:trPr>
        <w:tc>
          <w:tcPr>
            <w:tcW w:w="4560" w:type="dxa"/>
            <w:vAlign w:val="bottom"/>
            <w:tcBorders>
              <w:bottom w:val="single" w:sz="8" w:color="231F20"/>
            </w:tcBorders>
          </w:tcPr>
          <w:p>
            <w:pPr>
              <w:ind w:left="12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AMIT BANATI</w:t>
            </w:r>
            <w:r>
              <w:rPr>
                <w:rFonts w:ascii="Arial" w:cs="Arial" w:eastAsia="Arial" w:hAnsi="Arial"/>
                <w:sz w:val="20"/>
                <w:szCs w:val="20"/>
                <w:color w:val="231F20"/>
              </w:rPr>
              <w:t>*</w:t>
            </w:r>
          </w:p>
        </w:tc>
        <w:tc>
          <w:tcPr>
            <w:tcW w:w="20" w:type="dxa"/>
            <w:vAlign w:val="bottom"/>
            <w:tcBorders>
              <w:bottom w:val="single" w:sz="8" w:color="231F20"/>
            </w:tcBorders>
          </w:tcPr>
          <w:p>
            <w:pPr>
              <w:spacing w:after="0"/>
              <w:rPr>
                <w:sz w:val="24"/>
                <w:szCs w:val="24"/>
                <w:color w:val="auto"/>
              </w:rPr>
            </w:pPr>
          </w:p>
        </w:tc>
        <w:tc>
          <w:tcPr>
            <w:tcW w:w="640" w:type="dxa"/>
            <w:vAlign w:val="bottom"/>
          </w:tcPr>
          <w:p>
            <w:pPr>
              <w:spacing w:after="0"/>
              <w:rPr>
                <w:sz w:val="24"/>
                <w:szCs w:val="24"/>
                <w:color w:val="auto"/>
              </w:rPr>
            </w:pPr>
          </w:p>
        </w:tc>
        <w:tc>
          <w:tcPr>
            <w:tcW w:w="4260" w:type="dxa"/>
            <w:vAlign w:val="bottom"/>
            <w:tcBorders>
              <w:bottom w:val="single" w:sz="8" w:color="231F20"/>
            </w:tcBorders>
          </w:tcPr>
          <w:p>
            <w:pPr>
              <w:ind w:left="10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JOHN G</w:t>
            </w:r>
            <w:r>
              <w:rPr>
                <w:rFonts w:ascii="Arial" w:cs="Arial" w:eastAsia="Arial" w:hAnsi="Arial"/>
                <w:sz w:val="20"/>
                <w:szCs w:val="20"/>
                <w:color w:val="231F20"/>
              </w:rPr>
              <w:t xml:space="preserve">. </w:t>
            </w:r>
            <w:r>
              <w:rPr>
                <w:rFonts w:ascii="Arial" w:cs="Arial" w:eastAsia="Arial" w:hAnsi="Arial"/>
                <w:sz w:val="16"/>
                <w:szCs w:val="16"/>
                <w:color w:val="231F20"/>
              </w:rPr>
              <w:t>MORIKIS</w:t>
            </w:r>
            <w:r>
              <w:rPr>
                <w:rFonts w:ascii="Arial" w:cs="Arial" w:eastAsia="Arial" w:hAnsi="Arial"/>
                <w:sz w:val="20"/>
                <w:szCs w:val="20"/>
                <w:color w:val="231F20"/>
              </w:rPr>
              <w:t>*</w:t>
            </w:r>
          </w:p>
        </w:tc>
      </w:tr>
      <w:tr>
        <w:trPr>
          <w:trHeight w:val="203"/>
        </w:trPr>
        <w:tc>
          <w:tcPr>
            <w:tcW w:w="4560" w:type="dxa"/>
            <w:vAlign w:val="bottom"/>
          </w:tcPr>
          <w:p>
            <w:pPr>
              <w:ind w:left="120"/>
              <w:spacing w:after="0" w:line="204" w:lineRule="exact"/>
              <w:rPr>
                <w:sz w:val="20"/>
                <w:szCs w:val="20"/>
                <w:color w:val="auto"/>
              </w:rPr>
            </w:pPr>
            <w:r>
              <w:rPr>
                <w:rFonts w:ascii="Arial" w:cs="Arial" w:eastAsia="Arial" w:hAnsi="Arial"/>
                <w:sz w:val="20"/>
                <w:szCs w:val="20"/>
                <w:color w:val="231F20"/>
              </w:rPr>
              <w:t>Amit Banati, Director</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60" w:type="dxa"/>
            <w:vAlign w:val="bottom"/>
          </w:tcPr>
          <w:p>
            <w:pPr>
              <w:ind w:left="100"/>
              <w:spacing w:after="0" w:line="204" w:lineRule="exact"/>
              <w:rPr>
                <w:sz w:val="20"/>
                <w:szCs w:val="20"/>
                <w:color w:val="auto"/>
              </w:rPr>
            </w:pPr>
            <w:r>
              <w:rPr>
                <w:rFonts w:ascii="Arial" w:cs="Arial" w:eastAsia="Arial" w:hAnsi="Arial"/>
                <w:sz w:val="20"/>
                <w:szCs w:val="20"/>
                <w:color w:val="231F20"/>
              </w:rPr>
              <w:t>John G. Morikis, Director</w:t>
            </w:r>
          </w:p>
        </w:tc>
      </w:tr>
      <w:tr>
        <w:trPr>
          <w:trHeight w:val="273"/>
        </w:trPr>
        <w:tc>
          <w:tcPr>
            <w:tcW w:w="4560" w:type="dxa"/>
            <w:vAlign w:val="bottom"/>
          </w:tcPr>
          <w:p>
            <w:pPr>
              <w:ind w:left="120"/>
              <w:spacing w:after="0"/>
              <w:rPr>
                <w:sz w:val="20"/>
                <w:szCs w:val="20"/>
                <w:color w:val="auto"/>
              </w:rPr>
            </w:pPr>
            <w:r>
              <w:rPr>
                <w:rFonts w:ascii="Arial" w:cs="Arial" w:eastAsia="Arial" w:hAnsi="Arial"/>
                <w:sz w:val="20"/>
                <w:szCs w:val="20"/>
                <w:color w:val="231F20"/>
              </w:rPr>
              <w:t>Date: February 27, 2024</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60" w:type="dxa"/>
            <w:vAlign w:val="bottom"/>
          </w:tcPr>
          <w:p>
            <w:pPr>
              <w:ind w:left="100"/>
              <w:spacing w:after="0"/>
              <w:rPr>
                <w:sz w:val="20"/>
                <w:szCs w:val="20"/>
                <w:color w:val="auto"/>
              </w:rPr>
            </w:pPr>
            <w:r>
              <w:rPr>
                <w:rFonts w:ascii="Arial" w:cs="Arial" w:eastAsia="Arial" w:hAnsi="Arial"/>
                <w:sz w:val="20"/>
                <w:szCs w:val="20"/>
                <w:color w:val="231F20"/>
              </w:rPr>
              <w:t>Date: February 27, 2024</w:t>
            </w:r>
          </w:p>
        </w:tc>
      </w:tr>
      <w:tr>
        <w:trPr>
          <w:trHeight w:val="444"/>
        </w:trPr>
        <w:tc>
          <w:tcPr>
            <w:tcW w:w="4560" w:type="dxa"/>
            <w:vAlign w:val="bottom"/>
            <w:tcBorders>
              <w:bottom w:val="single" w:sz="8" w:color="231F20"/>
            </w:tcBorders>
          </w:tcPr>
          <w:p>
            <w:pPr>
              <w:ind w:left="12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AMEE CHANDE</w:t>
            </w:r>
            <w:r>
              <w:rPr>
                <w:rFonts w:ascii="Arial" w:cs="Arial" w:eastAsia="Arial" w:hAnsi="Arial"/>
                <w:sz w:val="20"/>
                <w:szCs w:val="20"/>
                <w:color w:val="231F20"/>
              </w:rPr>
              <w:t>*</w:t>
            </w:r>
          </w:p>
        </w:tc>
        <w:tc>
          <w:tcPr>
            <w:tcW w:w="20" w:type="dxa"/>
            <w:vAlign w:val="bottom"/>
            <w:tcBorders>
              <w:bottom w:val="single" w:sz="8" w:color="231F20"/>
            </w:tcBorders>
          </w:tcPr>
          <w:p>
            <w:pPr>
              <w:spacing w:after="0"/>
              <w:rPr>
                <w:sz w:val="24"/>
                <w:szCs w:val="24"/>
                <w:color w:val="auto"/>
              </w:rPr>
            </w:pPr>
          </w:p>
        </w:tc>
        <w:tc>
          <w:tcPr>
            <w:tcW w:w="640" w:type="dxa"/>
            <w:vAlign w:val="bottom"/>
          </w:tcPr>
          <w:p>
            <w:pPr>
              <w:spacing w:after="0"/>
              <w:rPr>
                <w:sz w:val="24"/>
                <w:szCs w:val="24"/>
                <w:color w:val="auto"/>
              </w:rPr>
            </w:pPr>
          </w:p>
        </w:tc>
        <w:tc>
          <w:tcPr>
            <w:tcW w:w="4260" w:type="dxa"/>
            <w:vAlign w:val="bottom"/>
            <w:tcBorders>
              <w:bottom w:val="single" w:sz="8" w:color="231F20"/>
            </w:tcBorders>
          </w:tcPr>
          <w:p>
            <w:pPr>
              <w:ind w:left="10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JEFFERY S</w:t>
            </w:r>
            <w:r>
              <w:rPr>
                <w:rFonts w:ascii="Arial" w:cs="Arial" w:eastAsia="Arial" w:hAnsi="Arial"/>
                <w:sz w:val="20"/>
                <w:szCs w:val="20"/>
                <w:color w:val="231F20"/>
              </w:rPr>
              <w:t xml:space="preserve">. </w:t>
            </w:r>
            <w:r>
              <w:rPr>
                <w:rFonts w:ascii="Arial" w:cs="Arial" w:eastAsia="Arial" w:hAnsi="Arial"/>
                <w:sz w:val="16"/>
                <w:szCs w:val="16"/>
                <w:color w:val="231F20"/>
              </w:rPr>
              <w:t>PERRY</w:t>
            </w:r>
            <w:r>
              <w:rPr>
                <w:rFonts w:ascii="Arial" w:cs="Arial" w:eastAsia="Arial" w:hAnsi="Arial"/>
                <w:sz w:val="20"/>
                <w:szCs w:val="20"/>
                <w:color w:val="231F20"/>
              </w:rPr>
              <w:t>*</w:t>
            </w:r>
          </w:p>
        </w:tc>
      </w:tr>
      <w:tr>
        <w:trPr>
          <w:trHeight w:val="203"/>
        </w:trPr>
        <w:tc>
          <w:tcPr>
            <w:tcW w:w="4560" w:type="dxa"/>
            <w:vAlign w:val="bottom"/>
          </w:tcPr>
          <w:p>
            <w:pPr>
              <w:ind w:left="120"/>
              <w:spacing w:after="0" w:line="204" w:lineRule="exact"/>
              <w:rPr>
                <w:sz w:val="20"/>
                <w:szCs w:val="20"/>
                <w:color w:val="auto"/>
              </w:rPr>
            </w:pPr>
            <w:r>
              <w:rPr>
                <w:rFonts w:ascii="Arial" w:cs="Arial" w:eastAsia="Arial" w:hAnsi="Arial"/>
                <w:sz w:val="20"/>
                <w:szCs w:val="20"/>
                <w:color w:val="231F20"/>
              </w:rPr>
              <w:t>Amee Chande, Director</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60" w:type="dxa"/>
            <w:vAlign w:val="bottom"/>
          </w:tcPr>
          <w:p>
            <w:pPr>
              <w:ind w:left="100"/>
              <w:spacing w:after="0" w:line="204" w:lineRule="exact"/>
              <w:rPr>
                <w:sz w:val="20"/>
                <w:szCs w:val="20"/>
                <w:color w:val="auto"/>
              </w:rPr>
            </w:pPr>
            <w:r>
              <w:rPr>
                <w:rFonts w:ascii="Arial" w:cs="Arial" w:eastAsia="Arial" w:hAnsi="Arial"/>
                <w:sz w:val="20"/>
                <w:szCs w:val="20"/>
                <w:color w:val="231F20"/>
              </w:rPr>
              <w:t>Jeffery S. Perry, Director</w:t>
            </w:r>
          </w:p>
        </w:tc>
      </w:tr>
      <w:tr>
        <w:trPr>
          <w:trHeight w:val="273"/>
        </w:trPr>
        <w:tc>
          <w:tcPr>
            <w:tcW w:w="4560" w:type="dxa"/>
            <w:vAlign w:val="bottom"/>
          </w:tcPr>
          <w:p>
            <w:pPr>
              <w:ind w:left="120"/>
              <w:spacing w:after="0"/>
              <w:rPr>
                <w:sz w:val="20"/>
                <w:szCs w:val="20"/>
                <w:color w:val="auto"/>
              </w:rPr>
            </w:pPr>
            <w:r>
              <w:rPr>
                <w:rFonts w:ascii="Arial" w:cs="Arial" w:eastAsia="Arial" w:hAnsi="Arial"/>
                <w:sz w:val="20"/>
                <w:szCs w:val="20"/>
                <w:color w:val="231F20"/>
              </w:rPr>
              <w:t>Date: February 27, 2024</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60" w:type="dxa"/>
            <w:vAlign w:val="bottom"/>
          </w:tcPr>
          <w:p>
            <w:pPr>
              <w:ind w:left="100"/>
              <w:spacing w:after="0"/>
              <w:rPr>
                <w:sz w:val="20"/>
                <w:szCs w:val="20"/>
                <w:color w:val="auto"/>
              </w:rPr>
            </w:pPr>
            <w:r>
              <w:rPr>
                <w:rFonts w:ascii="Arial" w:cs="Arial" w:eastAsia="Arial" w:hAnsi="Arial"/>
                <w:sz w:val="20"/>
                <w:szCs w:val="20"/>
                <w:color w:val="231F20"/>
              </w:rPr>
              <w:t>Date: February 27, 2024</w:t>
            </w:r>
          </w:p>
        </w:tc>
      </w:tr>
      <w:tr>
        <w:trPr>
          <w:trHeight w:val="444"/>
        </w:trPr>
        <w:tc>
          <w:tcPr>
            <w:tcW w:w="4560" w:type="dxa"/>
            <w:vAlign w:val="bottom"/>
            <w:tcBorders>
              <w:bottom w:val="single" w:sz="8" w:color="231F20"/>
            </w:tcBorders>
          </w:tcPr>
          <w:p>
            <w:pPr>
              <w:ind w:left="12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IRIAL FINAN</w:t>
            </w:r>
            <w:r>
              <w:rPr>
                <w:rFonts w:ascii="Arial" w:cs="Arial" w:eastAsia="Arial" w:hAnsi="Arial"/>
                <w:sz w:val="20"/>
                <w:szCs w:val="20"/>
                <w:color w:val="231F20"/>
              </w:rPr>
              <w:t>*</w:t>
            </w:r>
          </w:p>
        </w:tc>
        <w:tc>
          <w:tcPr>
            <w:tcW w:w="20" w:type="dxa"/>
            <w:vAlign w:val="bottom"/>
            <w:tcBorders>
              <w:bottom w:val="single" w:sz="8" w:color="231F20"/>
            </w:tcBorders>
          </w:tcPr>
          <w:p>
            <w:pPr>
              <w:spacing w:after="0"/>
              <w:rPr>
                <w:sz w:val="24"/>
                <w:szCs w:val="24"/>
                <w:color w:val="auto"/>
              </w:rPr>
            </w:pPr>
          </w:p>
        </w:tc>
        <w:tc>
          <w:tcPr>
            <w:tcW w:w="640" w:type="dxa"/>
            <w:vAlign w:val="bottom"/>
          </w:tcPr>
          <w:p>
            <w:pPr>
              <w:spacing w:after="0"/>
              <w:rPr>
                <w:sz w:val="24"/>
                <w:szCs w:val="24"/>
                <w:color w:val="auto"/>
              </w:rPr>
            </w:pPr>
          </w:p>
        </w:tc>
        <w:tc>
          <w:tcPr>
            <w:tcW w:w="4260" w:type="dxa"/>
            <w:vAlign w:val="bottom"/>
            <w:tcBorders>
              <w:bottom w:val="single" w:sz="8" w:color="231F20"/>
            </w:tcBorders>
          </w:tcPr>
          <w:p>
            <w:pPr>
              <w:ind w:left="10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STEPHANIE PUGLIESE</w:t>
            </w:r>
            <w:r>
              <w:rPr>
                <w:rFonts w:ascii="Arial" w:cs="Arial" w:eastAsia="Arial" w:hAnsi="Arial"/>
                <w:sz w:val="20"/>
                <w:szCs w:val="20"/>
                <w:color w:val="231F20"/>
              </w:rPr>
              <w:t>*</w:t>
            </w:r>
          </w:p>
        </w:tc>
      </w:tr>
      <w:tr>
        <w:trPr>
          <w:trHeight w:val="203"/>
        </w:trPr>
        <w:tc>
          <w:tcPr>
            <w:tcW w:w="4560" w:type="dxa"/>
            <w:vAlign w:val="bottom"/>
          </w:tcPr>
          <w:p>
            <w:pPr>
              <w:ind w:left="120"/>
              <w:spacing w:after="0" w:line="204" w:lineRule="exact"/>
              <w:rPr>
                <w:sz w:val="20"/>
                <w:szCs w:val="20"/>
                <w:color w:val="auto"/>
              </w:rPr>
            </w:pPr>
            <w:r>
              <w:rPr>
                <w:rFonts w:ascii="Arial" w:cs="Arial" w:eastAsia="Arial" w:hAnsi="Arial"/>
                <w:sz w:val="20"/>
                <w:szCs w:val="20"/>
                <w:color w:val="231F20"/>
              </w:rPr>
              <w:t>Irial Finan, Director</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60" w:type="dxa"/>
            <w:vAlign w:val="bottom"/>
          </w:tcPr>
          <w:p>
            <w:pPr>
              <w:ind w:left="100"/>
              <w:spacing w:after="0" w:line="204" w:lineRule="exact"/>
              <w:rPr>
                <w:sz w:val="20"/>
                <w:szCs w:val="20"/>
                <w:color w:val="auto"/>
              </w:rPr>
            </w:pPr>
            <w:r>
              <w:rPr>
                <w:rFonts w:ascii="Arial" w:cs="Arial" w:eastAsia="Arial" w:hAnsi="Arial"/>
                <w:sz w:val="20"/>
                <w:szCs w:val="20"/>
                <w:color w:val="231F20"/>
              </w:rPr>
              <w:t>Stephanie Pugliese, Director</w:t>
            </w:r>
          </w:p>
        </w:tc>
      </w:tr>
      <w:tr>
        <w:trPr>
          <w:trHeight w:val="273"/>
        </w:trPr>
        <w:tc>
          <w:tcPr>
            <w:tcW w:w="4560" w:type="dxa"/>
            <w:vAlign w:val="bottom"/>
          </w:tcPr>
          <w:p>
            <w:pPr>
              <w:ind w:left="120"/>
              <w:spacing w:after="0"/>
              <w:rPr>
                <w:sz w:val="20"/>
                <w:szCs w:val="20"/>
                <w:color w:val="auto"/>
              </w:rPr>
            </w:pPr>
            <w:r>
              <w:rPr>
                <w:rFonts w:ascii="Arial" w:cs="Arial" w:eastAsia="Arial" w:hAnsi="Arial"/>
                <w:sz w:val="20"/>
                <w:szCs w:val="20"/>
                <w:color w:val="231F20"/>
              </w:rPr>
              <w:t>Date: February 27, 2024</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60" w:type="dxa"/>
            <w:vAlign w:val="bottom"/>
          </w:tcPr>
          <w:p>
            <w:pPr>
              <w:ind w:left="100"/>
              <w:spacing w:after="0"/>
              <w:rPr>
                <w:sz w:val="20"/>
                <w:szCs w:val="20"/>
                <w:color w:val="auto"/>
              </w:rPr>
            </w:pPr>
            <w:r>
              <w:rPr>
                <w:rFonts w:ascii="Arial" w:cs="Arial" w:eastAsia="Arial" w:hAnsi="Arial"/>
                <w:sz w:val="20"/>
                <w:szCs w:val="20"/>
                <w:color w:val="231F20"/>
              </w:rPr>
              <w:t>Date: February 27, 2024</w:t>
            </w:r>
          </w:p>
        </w:tc>
      </w:tr>
      <w:tr>
        <w:trPr>
          <w:trHeight w:val="444"/>
        </w:trPr>
        <w:tc>
          <w:tcPr>
            <w:tcW w:w="4560" w:type="dxa"/>
            <w:vAlign w:val="bottom"/>
            <w:tcBorders>
              <w:bottom w:val="single" w:sz="8" w:color="231F20"/>
            </w:tcBorders>
          </w:tcPr>
          <w:p>
            <w:pPr>
              <w:ind w:left="12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ANN FRITZ HACKETT</w:t>
            </w:r>
            <w:r>
              <w:rPr>
                <w:rFonts w:ascii="Arial" w:cs="Arial" w:eastAsia="Arial" w:hAnsi="Arial"/>
                <w:sz w:val="20"/>
                <w:szCs w:val="20"/>
                <w:color w:val="231F20"/>
              </w:rPr>
              <w:t>*</w:t>
            </w:r>
          </w:p>
        </w:tc>
        <w:tc>
          <w:tcPr>
            <w:tcW w:w="20" w:type="dxa"/>
            <w:vAlign w:val="bottom"/>
            <w:tcBorders>
              <w:bottom w:val="single" w:sz="8" w:color="231F20"/>
            </w:tcBorders>
          </w:tcPr>
          <w:p>
            <w:pPr>
              <w:spacing w:after="0"/>
              <w:rPr>
                <w:sz w:val="24"/>
                <w:szCs w:val="24"/>
                <w:color w:val="auto"/>
              </w:rPr>
            </w:pPr>
          </w:p>
        </w:tc>
        <w:tc>
          <w:tcPr>
            <w:tcW w:w="640" w:type="dxa"/>
            <w:vAlign w:val="bottom"/>
          </w:tcPr>
          <w:p>
            <w:pPr>
              <w:spacing w:after="0"/>
              <w:rPr>
                <w:sz w:val="24"/>
                <w:szCs w:val="24"/>
                <w:color w:val="auto"/>
              </w:rPr>
            </w:pPr>
          </w:p>
        </w:tc>
        <w:tc>
          <w:tcPr>
            <w:tcW w:w="4260" w:type="dxa"/>
            <w:vAlign w:val="bottom"/>
            <w:tcBorders>
              <w:bottom w:val="single" w:sz="8" w:color="231F20"/>
            </w:tcBorders>
          </w:tcPr>
          <w:p>
            <w:pPr>
              <w:ind w:left="100"/>
              <w:spacing w:after="0"/>
              <w:rPr>
                <w:sz w:val="20"/>
                <w:szCs w:val="20"/>
                <w:color w:val="auto"/>
              </w:rPr>
            </w:pPr>
            <w:r>
              <w:rPr>
                <w:rFonts w:ascii="Arial" w:cs="Arial" w:eastAsia="Arial" w:hAnsi="Arial"/>
                <w:sz w:val="20"/>
                <w:szCs w:val="20"/>
                <w:color w:val="231F20"/>
              </w:rPr>
              <w:t xml:space="preserve">/s/ </w:t>
            </w:r>
            <w:r>
              <w:rPr>
                <w:rFonts w:ascii="Arial" w:cs="Arial" w:eastAsia="Arial" w:hAnsi="Arial"/>
                <w:sz w:val="16"/>
                <w:szCs w:val="16"/>
                <w:color w:val="231F20"/>
              </w:rPr>
              <w:t>RONALD V</w:t>
            </w:r>
            <w:r>
              <w:rPr>
                <w:rFonts w:ascii="Arial" w:cs="Arial" w:eastAsia="Arial" w:hAnsi="Arial"/>
                <w:sz w:val="20"/>
                <w:szCs w:val="20"/>
                <w:color w:val="231F20"/>
              </w:rPr>
              <w:t xml:space="preserve">. </w:t>
            </w:r>
            <w:r>
              <w:rPr>
                <w:rFonts w:ascii="Arial" w:cs="Arial" w:eastAsia="Arial" w:hAnsi="Arial"/>
                <w:sz w:val="16"/>
                <w:szCs w:val="16"/>
                <w:color w:val="231F20"/>
              </w:rPr>
              <w:t>WATERS</w:t>
            </w:r>
            <w:r>
              <w:rPr>
                <w:rFonts w:ascii="Arial" w:cs="Arial" w:eastAsia="Arial" w:hAnsi="Arial"/>
                <w:sz w:val="20"/>
                <w:szCs w:val="20"/>
                <w:color w:val="231F20"/>
              </w:rPr>
              <w:t xml:space="preserve">, </w:t>
            </w:r>
            <w:r>
              <w:rPr>
                <w:rFonts w:ascii="Arial" w:cs="Arial" w:eastAsia="Arial" w:hAnsi="Arial"/>
                <w:sz w:val="16"/>
                <w:szCs w:val="16"/>
                <w:color w:val="231F20"/>
              </w:rPr>
              <w:t>III</w:t>
            </w:r>
            <w:r>
              <w:rPr>
                <w:rFonts w:ascii="Arial" w:cs="Arial" w:eastAsia="Arial" w:hAnsi="Arial"/>
                <w:sz w:val="20"/>
                <w:szCs w:val="20"/>
                <w:color w:val="231F20"/>
              </w:rPr>
              <w:t>*</w:t>
            </w:r>
          </w:p>
        </w:tc>
      </w:tr>
      <w:tr>
        <w:trPr>
          <w:trHeight w:val="203"/>
        </w:trPr>
        <w:tc>
          <w:tcPr>
            <w:tcW w:w="4560" w:type="dxa"/>
            <w:vAlign w:val="bottom"/>
          </w:tcPr>
          <w:p>
            <w:pPr>
              <w:ind w:left="120"/>
              <w:spacing w:after="0" w:line="204" w:lineRule="exact"/>
              <w:rPr>
                <w:sz w:val="20"/>
                <w:szCs w:val="20"/>
                <w:color w:val="auto"/>
              </w:rPr>
            </w:pPr>
            <w:r>
              <w:rPr>
                <w:rFonts w:ascii="Arial" w:cs="Arial" w:eastAsia="Arial" w:hAnsi="Arial"/>
                <w:sz w:val="20"/>
                <w:szCs w:val="20"/>
                <w:color w:val="231F20"/>
              </w:rPr>
              <w:t>Ann Fritz Hackett, Director</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60" w:type="dxa"/>
            <w:vAlign w:val="bottom"/>
          </w:tcPr>
          <w:p>
            <w:pPr>
              <w:ind w:left="100"/>
              <w:spacing w:after="0" w:line="204" w:lineRule="exact"/>
              <w:rPr>
                <w:sz w:val="20"/>
                <w:szCs w:val="20"/>
                <w:color w:val="auto"/>
              </w:rPr>
            </w:pPr>
            <w:r>
              <w:rPr>
                <w:rFonts w:ascii="Arial" w:cs="Arial" w:eastAsia="Arial" w:hAnsi="Arial"/>
                <w:sz w:val="20"/>
                <w:szCs w:val="20"/>
                <w:color w:val="231F20"/>
              </w:rPr>
              <w:t>Ronald V. Waters, III, Director</w:t>
            </w:r>
          </w:p>
        </w:tc>
      </w:tr>
      <w:tr>
        <w:trPr>
          <w:trHeight w:val="273"/>
        </w:trPr>
        <w:tc>
          <w:tcPr>
            <w:tcW w:w="4560" w:type="dxa"/>
            <w:vAlign w:val="bottom"/>
          </w:tcPr>
          <w:p>
            <w:pPr>
              <w:ind w:left="120"/>
              <w:spacing w:after="0"/>
              <w:rPr>
                <w:sz w:val="20"/>
                <w:szCs w:val="20"/>
                <w:color w:val="auto"/>
              </w:rPr>
            </w:pPr>
            <w:r>
              <w:rPr>
                <w:rFonts w:ascii="Arial" w:cs="Arial" w:eastAsia="Arial" w:hAnsi="Arial"/>
                <w:sz w:val="20"/>
                <w:szCs w:val="20"/>
                <w:color w:val="231F20"/>
              </w:rPr>
              <w:t>Date: February 27, 2024</w:t>
            </w: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60" w:type="dxa"/>
            <w:vAlign w:val="bottom"/>
          </w:tcPr>
          <w:p>
            <w:pPr>
              <w:ind w:left="100"/>
              <w:spacing w:after="0"/>
              <w:rPr>
                <w:sz w:val="20"/>
                <w:szCs w:val="20"/>
                <w:color w:val="auto"/>
              </w:rPr>
            </w:pPr>
            <w:r>
              <w:rPr>
                <w:rFonts w:ascii="Arial" w:cs="Arial" w:eastAsia="Arial" w:hAnsi="Arial"/>
                <w:sz w:val="20"/>
                <w:szCs w:val="20"/>
                <w:color w:val="231F20"/>
              </w:rPr>
              <w:t>Date: February 27, 2024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2889250</wp:posOffset>
                </wp:positionH>
                <wp:positionV relativeFrom="paragraph">
                  <wp:posOffset>-3741420</wp:posOffset>
                </wp:positionV>
                <wp:extent cx="42100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6426">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5pt,-294.5999pt" to="260.65pt,-294.5999pt" o:allowincell="f" strokecolor="#FFFFFF" strokeweight="0.506pt"/>
            </w:pict>
          </mc:Fallback>
        </mc:AlternateContent>
        <mc:AlternateContent>
          <mc:Choice Requires="wps">
            <w:drawing>
              <wp:anchor simplePos="0" relativeHeight="251657728" behindDoc="1" locked="0" layoutInCell="0" allowOverlap="1">
                <wp:simplePos x="0" y="0"/>
                <wp:positionH relativeFrom="column">
                  <wp:posOffset>2889250</wp:posOffset>
                </wp:positionH>
                <wp:positionV relativeFrom="paragraph">
                  <wp:posOffset>-2996565</wp:posOffset>
                </wp:positionV>
                <wp:extent cx="42100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6426">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5pt,-235.9499pt" to="260.65pt,-235.9499pt" o:allowincell="f" strokecolor="#FFFFFF" strokeweight="0.506pt"/>
            </w:pict>
          </mc:Fallback>
        </mc:AlternateContent>
        <mc:AlternateContent>
          <mc:Choice Requires="wps">
            <w:drawing>
              <wp:anchor simplePos="0" relativeHeight="251657728" behindDoc="1" locked="0" layoutInCell="0" allowOverlap="1">
                <wp:simplePos x="0" y="0"/>
                <wp:positionH relativeFrom="column">
                  <wp:posOffset>2889250</wp:posOffset>
                </wp:positionH>
                <wp:positionV relativeFrom="paragraph">
                  <wp:posOffset>-2103755</wp:posOffset>
                </wp:positionV>
                <wp:extent cx="42100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6426">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5pt,-165.6499pt" to="260.65pt,-165.6499pt" o:allowincell="f" strokecolor="#FFFFFF" strokeweight="0.506pt"/>
            </w:pict>
          </mc:Fallback>
        </mc:AlternateContent>
        <mc:AlternateContent>
          <mc:Choice Requires="wps">
            <w:drawing>
              <wp:anchor simplePos="0" relativeHeight="251657728" behindDoc="1" locked="0" layoutInCell="0" allowOverlap="1">
                <wp:simplePos x="0" y="0"/>
                <wp:positionH relativeFrom="column">
                  <wp:posOffset>2889250</wp:posOffset>
                </wp:positionH>
                <wp:positionV relativeFrom="paragraph">
                  <wp:posOffset>-1506220</wp:posOffset>
                </wp:positionV>
                <wp:extent cx="42100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6426">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5pt,-118.5999pt" to="260.65pt,-118.5999pt" o:allowincell="f" strokecolor="#FFFFFF" strokeweight="0.506pt"/>
            </w:pict>
          </mc:Fallback>
        </mc:AlternateContent>
        <mc:AlternateContent>
          <mc:Choice Requires="wps">
            <w:drawing>
              <wp:anchor simplePos="0" relativeHeight="251657728" behindDoc="1" locked="0" layoutInCell="0" allowOverlap="1">
                <wp:simplePos x="0" y="0"/>
                <wp:positionH relativeFrom="column">
                  <wp:posOffset>2889250</wp:posOffset>
                </wp:positionH>
                <wp:positionV relativeFrom="paragraph">
                  <wp:posOffset>-311785</wp:posOffset>
                </wp:positionV>
                <wp:extent cx="42100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 cy="4763"/>
                        </a:xfrm>
                        <a:prstGeom prst="line">
                          <a:avLst/>
                        </a:prstGeom>
                        <a:solidFill>
                          <a:srgbClr val="FFFFFF"/>
                        </a:solidFill>
                        <a:ln w="6426">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5pt,-24.5499pt" to="260.65pt,-24.5499pt" o:allowincell="f" strokecolor="#FFFFFF" strokeweight="0.506pt"/>
            </w:pict>
          </mc:Fallback>
        </mc:AlternateContent>
      </w:r>
    </w:p>
    <w:p>
      <w:pPr>
        <w:spacing w:after="0" w:line="200" w:lineRule="exact"/>
        <w:rPr>
          <w:sz w:val="20"/>
          <w:szCs w:val="20"/>
          <w:color w:val="auto"/>
        </w:rPr>
      </w:pPr>
    </w:p>
    <w:p>
      <w:pPr>
        <w:spacing w:after="0" w:line="256" w:lineRule="exact"/>
        <w:rPr>
          <w:sz w:val="20"/>
          <w:szCs w:val="20"/>
          <w:color w:val="auto"/>
        </w:rPr>
      </w:pPr>
    </w:p>
    <w:p>
      <w:pPr>
        <w:ind w:left="4260"/>
        <w:spacing w:after="0"/>
        <w:rPr>
          <w:sz w:val="20"/>
          <w:szCs w:val="20"/>
          <w:color w:val="auto"/>
        </w:rPr>
      </w:pPr>
      <w:r>
        <w:rPr>
          <w:rFonts w:ascii="Arial" w:cs="Arial" w:eastAsia="Arial" w:hAnsi="Arial"/>
          <w:sz w:val="20"/>
          <w:szCs w:val="20"/>
          <w:color w:val="231F20"/>
        </w:rPr>
        <w:t xml:space="preserve">*By: /s/ </w:t>
      </w:r>
      <w:r>
        <w:rPr>
          <w:rFonts w:ascii="Arial" w:cs="Arial" w:eastAsia="Arial" w:hAnsi="Arial"/>
          <w:sz w:val="16"/>
          <w:szCs w:val="16"/>
          <w:color w:val="231F20"/>
        </w:rPr>
        <w:t>HIRANDA S</w:t>
      </w:r>
      <w:r>
        <w:rPr>
          <w:rFonts w:ascii="Arial" w:cs="Arial" w:eastAsia="Arial" w:hAnsi="Arial"/>
          <w:sz w:val="20"/>
          <w:szCs w:val="20"/>
          <w:color w:val="231F20"/>
        </w:rPr>
        <w:t xml:space="preserve">. </w:t>
      </w:r>
      <w:r>
        <w:rPr>
          <w:rFonts w:ascii="Arial" w:cs="Arial" w:eastAsia="Arial" w:hAnsi="Arial"/>
          <w:sz w:val="16"/>
          <w:szCs w:val="16"/>
          <w:color w:val="231F20"/>
        </w:rPr>
        <w:t>DONOGHUE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2991485</wp:posOffset>
                </wp:positionH>
                <wp:positionV relativeFrom="paragraph">
                  <wp:posOffset>22860</wp:posOffset>
                </wp:positionV>
                <wp:extent cx="302387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3870" cy="4763"/>
                        </a:xfrm>
                        <a:prstGeom prst="line">
                          <a:avLst/>
                        </a:prstGeom>
                        <a:solidFill>
                          <a:srgbClr val="FFFFFF"/>
                        </a:solidFill>
                        <a:ln w="6426">
                          <a:solidFill>
                            <a:srgbClr val="231F2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55pt,1.8pt" to="473.65pt,1.8pt" o:allowincell="f" strokecolor="#231F20" strokeweight="0.506pt"/>
            </w:pict>
          </mc:Fallback>
        </mc:AlternateConten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20"/>
          <w:szCs w:val="20"/>
          <w:color w:val="231F20"/>
        </w:rPr>
        <w:t>Hiranda S. Donoghue, Attorney-in-Fact</w:t>
      </w:r>
    </w:p>
    <w:p>
      <w:pPr>
        <w:sectPr>
          <w:pgSz w:w="12240" w:h="15840" w:orient="portrait"/>
          <w:cols w:equalWidth="0" w:num="1">
            <w:col w:w="9480"/>
          </w:cols>
          <w:pgMar w:left="1380" w:top="1362" w:right="138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97</w:t>
      </w:r>
    </w:p>
    <w:p>
      <w:pPr>
        <w:sectPr>
          <w:pgSz w:w="12240" w:h="15840" w:orient="portrait"/>
          <w:cols w:equalWidth="0" w:num="1">
            <w:col w:w="9480"/>
          </w:cols>
          <w:pgMar w:left="1380" w:top="1362" w:right="1380" w:bottom="95" w:gutter="0" w:footer="0" w:header="0"/>
          <w:type w:val="continuous"/>
        </w:sectPr>
      </w:pPr>
    </w:p>
    <w:bookmarkStart w:id="105" w:name="page106"/>
    <w:bookmarkEnd w:id="105"/>
    <w:p>
      <w:pPr>
        <w:spacing w:after="0"/>
        <w:rPr>
          <w:sz w:val="20"/>
          <w:szCs w:val="20"/>
          <w:color w:val="auto"/>
        </w:rPr>
      </w:pPr>
      <w:r>
        <w:rPr>
          <w:rFonts w:ascii="Arial" w:cs="Arial" w:eastAsia="Arial" w:hAnsi="Arial"/>
          <w:sz w:val="20"/>
          <w:szCs w:val="20"/>
          <w:b w:val="1"/>
          <w:bCs w:val="1"/>
          <w:color w:val="231F20"/>
        </w:rPr>
        <w:t>Schedule II Valuation and Qualifying Accounts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For the years ended December 30, 2023, December 31, 2022 and December 31, 2021</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720" w:type="dxa"/>
            <w:vAlign w:val="bottom"/>
            <w:tcBorders>
              <w:top w:val="single" w:sz="8" w:color="231F20"/>
            </w:tcBorders>
          </w:tcPr>
          <w:p>
            <w:pPr>
              <w:spacing w:after="0"/>
              <w:rPr>
                <w:sz w:val="14"/>
                <w:szCs w:val="14"/>
                <w:color w:val="auto"/>
              </w:rPr>
            </w:pPr>
          </w:p>
        </w:tc>
        <w:tc>
          <w:tcPr>
            <w:tcW w:w="1000" w:type="dxa"/>
            <w:vAlign w:val="bottom"/>
            <w:tcBorders>
              <w:top w:val="single" w:sz="8" w:color="231F20"/>
            </w:tcBorders>
            <w:gridSpan w:val="2"/>
          </w:tcPr>
          <w:p>
            <w:pPr>
              <w:jc w:val="right"/>
              <w:ind w:right="61"/>
              <w:spacing w:after="0" w:line="169" w:lineRule="exact"/>
              <w:rPr>
                <w:sz w:val="20"/>
                <w:szCs w:val="20"/>
                <w:color w:val="auto"/>
              </w:rPr>
            </w:pPr>
            <w:r>
              <w:rPr>
                <w:rFonts w:ascii="Arial" w:cs="Arial" w:eastAsia="Arial" w:hAnsi="Arial"/>
                <w:sz w:val="15"/>
                <w:szCs w:val="15"/>
                <w:color w:val="231F20"/>
              </w:rPr>
              <w:t>Balance at</w:t>
            </w:r>
          </w:p>
        </w:tc>
        <w:tc>
          <w:tcPr>
            <w:tcW w:w="220" w:type="dxa"/>
            <w:vAlign w:val="bottom"/>
            <w:tcBorders>
              <w:top w:val="single" w:sz="8" w:color="231F20"/>
            </w:tcBorders>
          </w:tcPr>
          <w:p>
            <w:pPr>
              <w:spacing w:after="0"/>
              <w:rPr>
                <w:sz w:val="14"/>
                <w:szCs w:val="14"/>
                <w:color w:val="auto"/>
              </w:rPr>
            </w:pPr>
          </w:p>
        </w:tc>
        <w:tc>
          <w:tcPr>
            <w:tcW w:w="860" w:type="dxa"/>
            <w:vAlign w:val="bottom"/>
            <w:tcBorders>
              <w:top w:val="single" w:sz="8" w:color="231F20"/>
            </w:tcBorders>
          </w:tcPr>
          <w:p>
            <w:pPr>
              <w:spacing w:after="0"/>
              <w:rPr>
                <w:sz w:val="14"/>
                <w:szCs w:val="14"/>
                <w:color w:val="auto"/>
              </w:rPr>
            </w:pPr>
          </w:p>
        </w:tc>
        <w:tc>
          <w:tcPr>
            <w:tcW w:w="180" w:type="dxa"/>
            <w:vAlign w:val="bottom"/>
            <w:tcBorders>
              <w:top w:val="single" w:sz="8" w:color="231F20"/>
            </w:tcBorders>
          </w:tcPr>
          <w:p>
            <w:pPr>
              <w:spacing w:after="0"/>
              <w:rPr>
                <w:sz w:val="14"/>
                <w:szCs w:val="14"/>
                <w:color w:val="auto"/>
              </w:rPr>
            </w:pPr>
          </w:p>
        </w:tc>
        <w:tc>
          <w:tcPr>
            <w:tcW w:w="1280" w:type="dxa"/>
            <w:vAlign w:val="bottom"/>
            <w:tcBorders>
              <w:top w:val="single" w:sz="8" w:color="231F20"/>
            </w:tcBorders>
          </w:tcPr>
          <w:p>
            <w:pPr>
              <w:jc w:val="center"/>
              <w:ind w:right="145"/>
              <w:spacing w:after="0" w:line="169" w:lineRule="exact"/>
              <w:rPr>
                <w:sz w:val="20"/>
                <w:szCs w:val="20"/>
                <w:color w:val="auto"/>
              </w:rPr>
            </w:pPr>
            <w:r>
              <w:rPr>
                <w:rFonts w:ascii="Arial" w:cs="Arial" w:eastAsia="Arial" w:hAnsi="Arial"/>
                <w:sz w:val="15"/>
                <w:szCs w:val="15"/>
                <w:color w:val="231F20"/>
                <w:w w:val="99"/>
              </w:rPr>
              <w:t>Write-offs</w:t>
            </w:r>
          </w:p>
        </w:tc>
        <w:tc>
          <w:tcPr>
            <w:tcW w:w="220" w:type="dxa"/>
            <w:vAlign w:val="bottom"/>
            <w:tcBorders>
              <w:top w:val="single" w:sz="8" w:color="231F20"/>
            </w:tcBorders>
          </w:tcPr>
          <w:p>
            <w:pPr>
              <w:spacing w:after="0"/>
              <w:rPr>
                <w:sz w:val="14"/>
                <w:szCs w:val="14"/>
                <w:color w:val="auto"/>
              </w:rPr>
            </w:pPr>
          </w:p>
        </w:tc>
        <w:tc>
          <w:tcPr>
            <w:tcW w:w="920" w:type="dxa"/>
            <w:vAlign w:val="bottom"/>
            <w:tcBorders>
              <w:top w:val="single" w:sz="8" w:color="231F20"/>
            </w:tcBorders>
          </w:tcPr>
          <w:p>
            <w:pPr>
              <w:spacing w:after="0"/>
              <w:rPr>
                <w:sz w:val="14"/>
                <w:szCs w:val="14"/>
                <w:color w:val="auto"/>
              </w:rPr>
            </w:pPr>
          </w:p>
        </w:tc>
        <w:tc>
          <w:tcPr>
            <w:tcW w:w="1020" w:type="dxa"/>
            <w:vAlign w:val="bottom"/>
            <w:tcBorders>
              <w:top w:val="single" w:sz="8" w:color="231F20"/>
            </w:tcBorders>
            <w:gridSpan w:val="2"/>
          </w:tcPr>
          <w:p>
            <w:pPr>
              <w:jc w:val="right"/>
              <w:ind w:right="43"/>
              <w:spacing w:after="0" w:line="169" w:lineRule="exact"/>
              <w:rPr>
                <w:sz w:val="20"/>
                <w:szCs w:val="20"/>
                <w:color w:val="auto"/>
              </w:rPr>
            </w:pPr>
            <w:r>
              <w:rPr>
                <w:rFonts w:ascii="Arial" w:cs="Arial" w:eastAsia="Arial" w:hAnsi="Arial"/>
                <w:sz w:val="15"/>
                <w:szCs w:val="15"/>
                <w:color w:val="231F20"/>
              </w:rPr>
              <w:t>Balance at</w:t>
            </w: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color w:val="231F20"/>
              </w:rPr>
              <w:t>Beginning of</w:t>
            </w:r>
          </w:p>
        </w:tc>
        <w:tc>
          <w:tcPr>
            <w:tcW w:w="1080" w:type="dxa"/>
            <w:vAlign w:val="bottom"/>
            <w:gridSpan w:val="2"/>
          </w:tcPr>
          <w:p>
            <w:pPr>
              <w:jc w:val="right"/>
              <w:ind w:right="81"/>
              <w:spacing w:after="0"/>
              <w:rPr>
                <w:sz w:val="20"/>
                <w:szCs w:val="20"/>
                <w:color w:val="auto"/>
              </w:rPr>
            </w:pPr>
            <w:r>
              <w:rPr>
                <w:rFonts w:ascii="Arial" w:cs="Arial" w:eastAsia="Arial" w:hAnsi="Arial"/>
                <w:sz w:val="15"/>
                <w:szCs w:val="15"/>
                <w:color w:val="231F20"/>
              </w:rPr>
              <w:t>Charged to</w:t>
            </w:r>
          </w:p>
        </w:tc>
        <w:tc>
          <w:tcPr>
            <w:tcW w:w="180" w:type="dxa"/>
            <w:vAlign w:val="bottom"/>
          </w:tcPr>
          <w:p>
            <w:pPr>
              <w:spacing w:after="0"/>
              <w:rPr>
                <w:sz w:val="15"/>
                <w:szCs w:val="15"/>
                <w:color w:val="auto"/>
              </w:rPr>
            </w:pPr>
          </w:p>
        </w:tc>
        <w:tc>
          <w:tcPr>
            <w:tcW w:w="1280" w:type="dxa"/>
            <w:vAlign w:val="bottom"/>
          </w:tcPr>
          <w:p>
            <w:pPr>
              <w:jc w:val="center"/>
              <w:ind w:right="145"/>
              <w:spacing w:after="0"/>
              <w:rPr>
                <w:sz w:val="20"/>
                <w:szCs w:val="20"/>
                <w:color w:val="auto"/>
              </w:rPr>
            </w:pPr>
            <w:r>
              <w:rPr>
                <w:rFonts w:ascii="Arial" w:cs="Arial" w:eastAsia="Arial" w:hAnsi="Arial"/>
                <w:sz w:val="15"/>
                <w:szCs w:val="15"/>
                <w:color w:val="231F20"/>
                <w:w w:val="95"/>
              </w:rPr>
              <w:t>and</w:t>
            </w:r>
          </w:p>
        </w:tc>
        <w:tc>
          <w:tcPr>
            <w:tcW w:w="220" w:type="dxa"/>
            <w:vAlign w:val="bottom"/>
          </w:tcPr>
          <w:p>
            <w:pPr>
              <w:spacing w:after="0"/>
              <w:rPr>
                <w:sz w:val="15"/>
                <w:szCs w:val="15"/>
                <w:color w:val="auto"/>
              </w:rPr>
            </w:pPr>
          </w:p>
        </w:tc>
        <w:tc>
          <w:tcPr>
            <w:tcW w:w="920" w:type="dxa"/>
            <w:vAlign w:val="bottom"/>
          </w:tcPr>
          <w:p>
            <w:pPr>
              <w:jc w:val="right"/>
              <w:ind w:right="181"/>
              <w:spacing w:after="0"/>
              <w:rPr>
                <w:sz w:val="20"/>
                <w:szCs w:val="20"/>
                <w:color w:val="auto"/>
              </w:rPr>
            </w:pPr>
            <w:r>
              <w:rPr>
                <w:rFonts w:ascii="Arial" w:cs="Arial" w:eastAsia="Arial" w:hAnsi="Arial"/>
                <w:sz w:val="15"/>
                <w:szCs w:val="15"/>
                <w:color w:val="231F20"/>
              </w:rPr>
              <w:t>Business</w:t>
            </w:r>
          </w:p>
        </w:tc>
        <w:tc>
          <w:tcPr>
            <w:tcW w:w="260" w:type="dxa"/>
            <w:vAlign w:val="bottom"/>
          </w:tcPr>
          <w:p>
            <w:pPr>
              <w:spacing w:after="0"/>
              <w:rPr>
                <w:sz w:val="15"/>
                <w:szCs w:val="15"/>
                <w:color w:val="auto"/>
              </w:rPr>
            </w:pPr>
          </w:p>
        </w:tc>
        <w:tc>
          <w:tcPr>
            <w:tcW w:w="760" w:type="dxa"/>
            <w:vAlign w:val="bottom"/>
          </w:tcPr>
          <w:p>
            <w:pPr>
              <w:jc w:val="right"/>
              <w:ind w:right="183"/>
              <w:spacing w:after="0"/>
              <w:rPr>
                <w:sz w:val="20"/>
                <w:szCs w:val="20"/>
                <w:color w:val="auto"/>
              </w:rPr>
            </w:pPr>
            <w:r>
              <w:rPr>
                <w:rFonts w:ascii="Arial" w:cs="Arial" w:eastAsia="Arial" w:hAnsi="Arial"/>
                <w:sz w:val="15"/>
                <w:szCs w:val="15"/>
                <w:color w:val="231F20"/>
              </w:rPr>
              <w:t>End of</w:t>
            </w:r>
          </w:p>
        </w:tc>
      </w:tr>
      <w:tr>
        <w:trPr>
          <w:trHeight w:val="189"/>
        </w:trPr>
        <w:tc>
          <w:tcPr>
            <w:tcW w:w="20" w:type="dxa"/>
            <w:vAlign w:val="bottom"/>
          </w:tcPr>
          <w:p>
            <w:pPr>
              <w:spacing w:after="0"/>
              <w:rPr>
                <w:sz w:val="16"/>
                <w:szCs w:val="16"/>
                <w:color w:val="auto"/>
              </w:rPr>
            </w:pPr>
          </w:p>
        </w:tc>
        <w:tc>
          <w:tcPr>
            <w:tcW w:w="3720" w:type="dxa"/>
            <w:vAlign w:val="bottom"/>
            <w:tcBorders>
              <w:bottom w:val="single" w:sz="8" w:color="231F20"/>
            </w:tcBorders>
          </w:tcPr>
          <w:p>
            <w:pPr>
              <w:spacing w:after="0"/>
              <w:rPr>
                <w:sz w:val="20"/>
                <w:szCs w:val="20"/>
                <w:color w:val="auto"/>
              </w:rPr>
            </w:pPr>
            <w:r>
              <w:rPr>
                <w:rFonts w:ascii="Arial" w:cs="Arial" w:eastAsia="Arial" w:hAnsi="Arial"/>
                <w:sz w:val="15"/>
                <w:szCs w:val="15"/>
                <w:i w:val="1"/>
                <w:iCs w:val="1"/>
                <w:color w:val="231F20"/>
              </w:rPr>
              <w:t>(In millions)</w:t>
            </w:r>
          </w:p>
        </w:tc>
        <w:tc>
          <w:tcPr>
            <w:tcW w:w="22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jc w:val="right"/>
              <w:ind w:right="201"/>
              <w:spacing w:after="0"/>
              <w:rPr>
                <w:sz w:val="20"/>
                <w:szCs w:val="20"/>
                <w:color w:val="auto"/>
              </w:rPr>
            </w:pPr>
            <w:r>
              <w:rPr>
                <w:rFonts w:ascii="Arial" w:cs="Arial" w:eastAsia="Arial" w:hAnsi="Arial"/>
                <w:sz w:val="15"/>
                <w:szCs w:val="15"/>
                <w:color w:val="231F20"/>
              </w:rPr>
              <w:t>Period</w:t>
            </w:r>
          </w:p>
        </w:tc>
        <w:tc>
          <w:tcPr>
            <w:tcW w:w="22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jc w:val="right"/>
              <w:ind w:right="161"/>
              <w:spacing w:after="0"/>
              <w:rPr>
                <w:sz w:val="20"/>
                <w:szCs w:val="20"/>
                <w:color w:val="auto"/>
              </w:rPr>
            </w:pPr>
            <w:r>
              <w:rPr>
                <w:rFonts w:ascii="Arial" w:cs="Arial" w:eastAsia="Arial" w:hAnsi="Arial"/>
                <w:sz w:val="15"/>
                <w:szCs w:val="15"/>
                <w:color w:val="231F20"/>
                <w:w w:val="99"/>
              </w:rPr>
              <w:t>Expense</w:t>
            </w:r>
          </w:p>
        </w:tc>
        <w:tc>
          <w:tcPr>
            <w:tcW w:w="180" w:type="dxa"/>
            <w:vAlign w:val="bottom"/>
            <w:tcBorders>
              <w:bottom w:val="single" w:sz="8" w:color="231F20"/>
            </w:tcBorders>
          </w:tcPr>
          <w:p>
            <w:pPr>
              <w:spacing w:after="0"/>
              <w:rPr>
                <w:sz w:val="16"/>
                <w:szCs w:val="16"/>
                <w:color w:val="auto"/>
              </w:rPr>
            </w:pPr>
          </w:p>
        </w:tc>
        <w:tc>
          <w:tcPr>
            <w:tcW w:w="1280" w:type="dxa"/>
            <w:vAlign w:val="bottom"/>
            <w:tcBorders>
              <w:bottom w:val="single" w:sz="8" w:color="231F20"/>
            </w:tcBorders>
          </w:tcPr>
          <w:p>
            <w:pPr>
              <w:jc w:val="center"/>
              <w:ind w:right="145"/>
              <w:spacing w:after="0"/>
              <w:rPr>
                <w:sz w:val="20"/>
                <w:szCs w:val="20"/>
                <w:color w:val="auto"/>
              </w:rPr>
            </w:pPr>
            <w:r>
              <w:rPr>
                <w:rFonts w:ascii="Arial" w:cs="Arial" w:eastAsia="Arial" w:hAnsi="Arial"/>
                <w:sz w:val="15"/>
                <w:szCs w:val="15"/>
                <w:color w:val="231F20"/>
              </w:rPr>
              <w:t>Deductions (a)</w:t>
            </w:r>
          </w:p>
        </w:tc>
        <w:tc>
          <w:tcPr>
            <w:tcW w:w="1140" w:type="dxa"/>
            <w:vAlign w:val="bottom"/>
            <w:tcBorders>
              <w:bottom w:val="single" w:sz="8" w:color="231F20"/>
            </w:tcBorders>
            <w:gridSpan w:val="2"/>
          </w:tcPr>
          <w:p>
            <w:pPr>
              <w:ind w:left="80"/>
              <w:spacing w:after="0"/>
              <w:rPr>
                <w:sz w:val="20"/>
                <w:szCs w:val="20"/>
                <w:color w:val="auto"/>
              </w:rPr>
            </w:pPr>
            <w:r>
              <w:rPr>
                <w:rFonts w:ascii="Arial" w:cs="Arial" w:eastAsia="Arial" w:hAnsi="Arial"/>
                <w:sz w:val="15"/>
                <w:szCs w:val="15"/>
                <w:color w:val="231F20"/>
              </w:rPr>
              <w:t>Acquisition (b)</w:t>
            </w:r>
          </w:p>
        </w:tc>
        <w:tc>
          <w:tcPr>
            <w:tcW w:w="260" w:type="dxa"/>
            <w:vAlign w:val="bottom"/>
            <w:tcBorders>
              <w:bottom w:val="single" w:sz="8" w:color="231F20"/>
            </w:tcBorders>
          </w:tcPr>
          <w:p>
            <w:pPr>
              <w:spacing w:after="0"/>
              <w:rPr>
                <w:sz w:val="16"/>
                <w:szCs w:val="16"/>
                <w:color w:val="auto"/>
              </w:rPr>
            </w:pPr>
          </w:p>
        </w:tc>
        <w:tc>
          <w:tcPr>
            <w:tcW w:w="760" w:type="dxa"/>
            <w:vAlign w:val="bottom"/>
            <w:tcBorders>
              <w:bottom w:val="single" w:sz="8" w:color="231F20"/>
            </w:tcBorders>
          </w:tcPr>
          <w:p>
            <w:pPr>
              <w:jc w:val="right"/>
              <w:ind w:right="183"/>
              <w:spacing w:after="0"/>
              <w:rPr>
                <w:sz w:val="20"/>
                <w:szCs w:val="20"/>
                <w:color w:val="auto"/>
              </w:rPr>
            </w:pPr>
            <w:r>
              <w:rPr>
                <w:rFonts w:ascii="Arial" w:cs="Arial" w:eastAsia="Arial" w:hAnsi="Arial"/>
                <w:sz w:val="15"/>
                <w:szCs w:val="15"/>
                <w:color w:val="231F20"/>
              </w:rPr>
              <w:t>Period</w:t>
            </w:r>
          </w:p>
        </w:tc>
      </w:tr>
      <w:tr>
        <w:trPr>
          <w:trHeight w:val="203"/>
        </w:trPr>
        <w:tc>
          <w:tcPr>
            <w:tcW w:w="20" w:type="dxa"/>
            <w:vAlign w:val="bottom"/>
          </w:tcPr>
          <w:p>
            <w:pPr>
              <w:spacing w:after="0"/>
              <w:rPr>
                <w:sz w:val="17"/>
                <w:szCs w:val="17"/>
                <w:color w:val="auto"/>
              </w:rPr>
            </w:pPr>
          </w:p>
        </w:tc>
        <w:tc>
          <w:tcPr>
            <w:tcW w:w="3720" w:type="dxa"/>
            <w:vAlign w:val="bottom"/>
          </w:tcPr>
          <w:p>
            <w:pPr>
              <w:spacing w:after="0" w:line="204" w:lineRule="exact"/>
              <w:rPr>
                <w:sz w:val="20"/>
                <w:szCs w:val="20"/>
                <w:color w:val="auto"/>
              </w:rPr>
            </w:pPr>
            <w:r>
              <w:rPr>
                <w:rFonts w:ascii="Arial" w:cs="Arial" w:eastAsia="Arial" w:hAnsi="Arial"/>
                <w:sz w:val="20"/>
                <w:szCs w:val="20"/>
                <w:b w:val="1"/>
                <w:bCs w:val="1"/>
                <w:color w:val="231F20"/>
              </w:rPr>
              <w:t>2023:</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231F20"/>
              </w:rPr>
              <w:t>Allowance for cash discounts and sales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3720" w:type="dxa"/>
            <w:vAlign w:val="bottom"/>
          </w:tcPr>
          <w:p>
            <w:pPr>
              <w:ind w:left="140"/>
              <w:spacing w:after="0"/>
              <w:rPr>
                <w:sz w:val="20"/>
                <w:szCs w:val="20"/>
                <w:color w:val="auto"/>
              </w:rPr>
            </w:pPr>
            <w:r>
              <w:rPr>
                <w:rFonts w:ascii="Arial" w:cs="Arial" w:eastAsia="Arial" w:hAnsi="Arial"/>
                <w:sz w:val="20"/>
                <w:szCs w:val="20"/>
                <w:color w:val="231F20"/>
              </w:rPr>
              <w:t>allowances</w:t>
            </w:r>
            <w:r>
              <w:rPr>
                <w:rFonts w:ascii="Times New Roman" w:cs="Times New Roman" w:eastAsia="Times New Roman" w:hAnsi="Times New Roman"/>
                <w:sz w:val="20"/>
                <w:szCs w:val="20"/>
                <w:color w:val="231F20"/>
              </w:rPr>
              <w:t>..................................................</w:t>
            </w:r>
          </w:p>
        </w:tc>
        <w:tc>
          <w:tcPr>
            <w:tcW w:w="220" w:type="dxa"/>
            <w:vAlign w:val="bottom"/>
          </w:tcPr>
          <w:p>
            <w:pPr>
              <w:ind w:left="60"/>
              <w:spacing w:after="0"/>
              <w:rPr>
                <w:sz w:val="20"/>
                <w:szCs w:val="20"/>
                <w:color w:val="auto"/>
              </w:rPr>
            </w:pPr>
            <w:r>
              <w:rPr>
                <w:rFonts w:ascii="Arial" w:cs="Arial" w:eastAsia="Arial" w:hAnsi="Arial"/>
                <w:sz w:val="20"/>
                <w:szCs w:val="20"/>
                <w:color w:val="231F20"/>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116.2</w:t>
            </w: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860" w:type="dxa"/>
            <w:vAlign w:val="bottom"/>
          </w:tcPr>
          <w:p>
            <w:pPr>
              <w:jc w:val="right"/>
              <w:ind w:right="41"/>
              <w:spacing w:after="0"/>
              <w:rPr>
                <w:sz w:val="20"/>
                <w:szCs w:val="20"/>
                <w:color w:val="auto"/>
              </w:rPr>
            </w:pPr>
            <w:r>
              <w:rPr>
                <w:rFonts w:ascii="Arial" w:cs="Arial" w:eastAsia="Arial" w:hAnsi="Arial"/>
                <w:sz w:val="20"/>
                <w:szCs w:val="20"/>
                <w:color w:val="231F20"/>
              </w:rPr>
              <w:t>340.1</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280" w:type="dxa"/>
            <w:vAlign w:val="bottom"/>
          </w:tcPr>
          <w:p>
            <w:pPr>
              <w:jc w:val="right"/>
              <w:spacing w:after="0"/>
              <w:rPr>
                <w:sz w:val="20"/>
                <w:szCs w:val="20"/>
                <w:color w:val="auto"/>
              </w:rPr>
            </w:pPr>
            <w:r>
              <w:rPr>
                <w:rFonts w:ascii="Arial" w:cs="Arial" w:eastAsia="Arial" w:hAnsi="Arial"/>
                <w:sz w:val="20"/>
                <w:szCs w:val="20"/>
                <w:color w:val="231F20"/>
              </w:rPr>
              <w:t>(342.2)</w:t>
            </w:r>
          </w:p>
        </w:tc>
        <w:tc>
          <w:tcPr>
            <w:tcW w:w="220" w:type="dxa"/>
            <w:vAlign w:val="bottom"/>
          </w:tcPr>
          <w:p>
            <w:pPr>
              <w:ind w:left="6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6.7</w:t>
            </w:r>
          </w:p>
        </w:tc>
        <w:tc>
          <w:tcPr>
            <w:tcW w:w="260" w:type="dxa"/>
            <w:vAlign w:val="bottom"/>
          </w:tcPr>
          <w:p>
            <w:pPr>
              <w:jc w:val="right"/>
              <w:spacing w:after="0"/>
              <w:rPr>
                <w:sz w:val="20"/>
                <w:szCs w:val="20"/>
                <w:color w:val="auto"/>
              </w:rPr>
            </w:pPr>
            <w:r>
              <w:rPr>
                <w:rFonts w:ascii="Arial" w:cs="Arial" w:eastAsia="Arial" w:hAnsi="Arial"/>
                <w:sz w:val="20"/>
                <w:szCs w:val="20"/>
                <w:color w:val="231F20"/>
              </w:rPr>
              <w:t>$</w:t>
            </w: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120.8</w:t>
            </w:r>
          </w:p>
        </w:tc>
      </w:tr>
      <w:tr>
        <w:trPr>
          <w:trHeight w:val="233"/>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231F20"/>
              </w:rPr>
              <w:t xml:space="preserve">Allowance for credit losses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5.5</w:t>
            </w:r>
          </w:p>
        </w:tc>
        <w:tc>
          <w:tcPr>
            <w:tcW w:w="22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20"/>
                <w:szCs w:val="20"/>
                <w:color w:val="231F20"/>
              </w:rPr>
              <w:t>5.2</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231F20"/>
              </w:rPr>
              <w:t>(6.2)</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3.2</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231F20"/>
              </w:rPr>
              <w:t>7.7</w:t>
            </w:r>
          </w:p>
        </w:tc>
      </w:tr>
      <w:tr>
        <w:trPr>
          <w:trHeight w:val="230"/>
        </w:trPr>
        <w:tc>
          <w:tcPr>
            <w:tcW w:w="20" w:type="dxa"/>
            <w:vAlign w:val="bottom"/>
          </w:tcPr>
          <w:p>
            <w:pPr>
              <w:spacing w:after="0"/>
              <w:rPr>
                <w:sz w:val="19"/>
                <w:szCs w:val="19"/>
                <w:color w:val="auto"/>
              </w:rPr>
            </w:pPr>
          </w:p>
        </w:tc>
        <w:tc>
          <w:tcPr>
            <w:tcW w:w="3720" w:type="dxa"/>
            <w:vAlign w:val="bottom"/>
          </w:tcPr>
          <w:p>
            <w:pPr>
              <w:spacing w:after="0" w:line="229" w:lineRule="exact"/>
              <w:rPr>
                <w:sz w:val="20"/>
                <w:szCs w:val="20"/>
                <w:color w:val="auto"/>
              </w:rPr>
            </w:pPr>
            <w:r>
              <w:rPr>
                <w:rFonts w:ascii="Arial" w:cs="Arial" w:eastAsia="Arial" w:hAnsi="Arial"/>
                <w:sz w:val="20"/>
                <w:szCs w:val="20"/>
                <w:color w:val="231F20"/>
              </w:rPr>
              <w:t>Allowance for deferred tax assets</w:t>
            </w:r>
            <w:r>
              <w:rPr>
                <w:rFonts w:ascii="Times New Roman" w:cs="Times New Roman" w:eastAsia="Times New Roman" w:hAnsi="Times New Roman"/>
                <w:sz w:val="20"/>
                <w:szCs w:val="20"/>
                <w:color w:val="231F20"/>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13.8</w:t>
            </w:r>
          </w:p>
        </w:tc>
        <w:tc>
          <w:tcPr>
            <w:tcW w:w="22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20"/>
                <w:szCs w:val="20"/>
                <w:color w:val="231F20"/>
              </w:rPr>
              <w:t>1.3</w:t>
            </w:r>
          </w:p>
        </w:tc>
        <w:tc>
          <w:tcPr>
            <w:tcW w:w="180" w:type="dxa"/>
            <w:vAlign w:val="bottom"/>
          </w:tcPr>
          <w:p>
            <w:pPr>
              <w:spacing w:after="0"/>
              <w:rPr>
                <w:sz w:val="19"/>
                <w:szCs w:val="19"/>
                <w:color w:val="auto"/>
              </w:rPr>
            </w:pPr>
          </w:p>
        </w:tc>
        <w:tc>
          <w:tcPr>
            <w:tcW w:w="1280" w:type="dxa"/>
            <w:vAlign w:val="bottom"/>
          </w:tcPr>
          <w:p>
            <w:pPr>
              <w:jc w:val="right"/>
              <w:ind w:right="25"/>
              <w:spacing w:after="0"/>
              <w:rPr>
                <w:sz w:val="20"/>
                <w:szCs w:val="20"/>
                <w:color w:val="auto"/>
              </w:rPr>
            </w:pPr>
            <w:r>
              <w:rPr>
                <w:rFonts w:ascii="Arial" w:cs="Arial" w:eastAsia="Arial" w:hAnsi="Arial"/>
                <w:sz w:val="20"/>
                <w:szCs w:val="20"/>
                <w:color w:val="231F20"/>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w:t>
            </w:r>
          </w:p>
        </w:tc>
        <w:tc>
          <w:tcPr>
            <w:tcW w:w="26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15.1</w:t>
            </w:r>
          </w:p>
        </w:tc>
      </w:tr>
      <w:tr>
        <w:trPr>
          <w:trHeight w:val="237"/>
        </w:trPr>
        <w:tc>
          <w:tcPr>
            <w:tcW w:w="3740" w:type="dxa"/>
            <w:vAlign w:val="bottom"/>
            <w:gridSpan w:val="2"/>
          </w:tcPr>
          <w:p>
            <w:pPr>
              <w:spacing w:after="0"/>
              <w:rPr>
                <w:sz w:val="20"/>
                <w:szCs w:val="20"/>
                <w:color w:val="auto"/>
              </w:rPr>
            </w:pPr>
            <w:r>
              <w:rPr>
                <w:rFonts w:ascii="Arial" w:cs="Arial" w:eastAsia="Arial" w:hAnsi="Arial"/>
                <w:sz w:val="20"/>
                <w:szCs w:val="20"/>
                <w:b w:val="1"/>
                <w:bCs w:val="1"/>
                <w:color w:val="231F20"/>
              </w:rPr>
              <w:t>2022:</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231F20"/>
              </w:rPr>
              <w:t>Allowance for cash discounts and sales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3720" w:type="dxa"/>
            <w:vAlign w:val="bottom"/>
          </w:tcPr>
          <w:p>
            <w:pPr>
              <w:ind w:left="140"/>
              <w:spacing w:after="0"/>
              <w:rPr>
                <w:sz w:val="20"/>
                <w:szCs w:val="20"/>
                <w:color w:val="auto"/>
              </w:rPr>
            </w:pPr>
            <w:r>
              <w:rPr>
                <w:rFonts w:ascii="Arial" w:cs="Arial" w:eastAsia="Arial" w:hAnsi="Arial"/>
                <w:sz w:val="20"/>
                <w:szCs w:val="20"/>
                <w:color w:val="231F20"/>
              </w:rPr>
              <w:t>allowances</w:t>
            </w:r>
            <w:r>
              <w:rPr>
                <w:rFonts w:ascii="Times New Roman" w:cs="Times New Roman" w:eastAsia="Times New Roman" w:hAnsi="Times New Roman"/>
                <w:sz w:val="20"/>
                <w:szCs w:val="20"/>
                <w:color w:val="231F20"/>
              </w:rPr>
              <w:t>..................................................</w:t>
            </w:r>
          </w:p>
        </w:tc>
        <w:tc>
          <w:tcPr>
            <w:tcW w:w="220" w:type="dxa"/>
            <w:vAlign w:val="bottom"/>
          </w:tcPr>
          <w:p>
            <w:pPr>
              <w:ind w:left="60"/>
              <w:spacing w:after="0"/>
              <w:rPr>
                <w:sz w:val="20"/>
                <w:szCs w:val="20"/>
                <w:color w:val="auto"/>
              </w:rPr>
            </w:pPr>
            <w:r>
              <w:rPr>
                <w:rFonts w:ascii="Arial" w:cs="Arial" w:eastAsia="Arial" w:hAnsi="Arial"/>
                <w:sz w:val="20"/>
                <w:szCs w:val="20"/>
                <w:color w:val="231F20"/>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135.9</w:t>
            </w: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860" w:type="dxa"/>
            <w:vAlign w:val="bottom"/>
          </w:tcPr>
          <w:p>
            <w:pPr>
              <w:jc w:val="right"/>
              <w:ind w:right="41"/>
              <w:spacing w:after="0"/>
              <w:rPr>
                <w:sz w:val="20"/>
                <w:szCs w:val="20"/>
                <w:color w:val="auto"/>
              </w:rPr>
            </w:pPr>
            <w:r>
              <w:rPr>
                <w:rFonts w:ascii="Arial" w:cs="Arial" w:eastAsia="Arial" w:hAnsi="Arial"/>
                <w:sz w:val="20"/>
                <w:szCs w:val="20"/>
                <w:color w:val="231F20"/>
              </w:rPr>
              <w:t>287.0</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280" w:type="dxa"/>
            <w:vAlign w:val="bottom"/>
          </w:tcPr>
          <w:p>
            <w:pPr>
              <w:jc w:val="right"/>
              <w:spacing w:after="0"/>
              <w:rPr>
                <w:sz w:val="20"/>
                <w:szCs w:val="20"/>
                <w:color w:val="auto"/>
              </w:rPr>
            </w:pPr>
            <w:r>
              <w:rPr>
                <w:rFonts w:ascii="Arial" w:cs="Arial" w:eastAsia="Arial" w:hAnsi="Arial"/>
                <w:sz w:val="20"/>
                <w:szCs w:val="20"/>
                <w:color w:val="231F20"/>
              </w:rPr>
              <w:t>(306.7)</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w:t>
            </w:r>
          </w:p>
        </w:tc>
        <w:tc>
          <w:tcPr>
            <w:tcW w:w="260" w:type="dxa"/>
            <w:vAlign w:val="bottom"/>
          </w:tcPr>
          <w:p>
            <w:pPr>
              <w:jc w:val="right"/>
              <w:spacing w:after="0"/>
              <w:rPr>
                <w:sz w:val="20"/>
                <w:szCs w:val="20"/>
                <w:color w:val="auto"/>
              </w:rPr>
            </w:pPr>
            <w:r>
              <w:rPr>
                <w:rFonts w:ascii="Arial" w:cs="Arial" w:eastAsia="Arial" w:hAnsi="Arial"/>
                <w:sz w:val="20"/>
                <w:szCs w:val="20"/>
                <w:color w:val="231F20"/>
              </w:rPr>
              <w:t>$</w:t>
            </w: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116.2</w:t>
            </w:r>
          </w:p>
        </w:tc>
      </w:tr>
      <w:tr>
        <w:trPr>
          <w:trHeight w:val="233"/>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20"/>
                <w:szCs w:val="20"/>
                <w:color w:val="231F20"/>
              </w:rPr>
              <w:t xml:space="preserve">Allowance for credit losses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5.7</w:t>
            </w:r>
          </w:p>
        </w:tc>
        <w:tc>
          <w:tcPr>
            <w:tcW w:w="22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20"/>
                <w:szCs w:val="20"/>
                <w:color w:val="231F20"/>
              </w:rPr>
              <w:t>3.7</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231F20"/>
              </w:rPr>
              <w:t>(3.9)</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w:t>
            </w:r>
          </w:p>
        </w:tc>
        <w:tc>
          <w:tcPr>
            <w:tcW w:w="26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5.5</w:t>
            </w:r>
          </w:p>
        </w:tc>
      </w:tr>
      <w:tr>
        <w:trPr>
          <w:trHeight w:val="230"/>
        </w:trPr>
        <w:tc>
          <w:tcPr>
            <w:tcW w:w="20" w:type="dxa"/>
            <w:vAlign w:val="bottom"/>
          </w:tcPr>
          <w:p>
            <w:pPr>
              <w:spacing w:after="0"/>
              <w:rPr>
                <w:sz w:val="19"/>
                <w:szCs w:val="19"/>
                <w:color w:val="auto"/>
              </w:rPr>
            </w:pPr>
          </w:p>
        </w:tc>
        <w:tc>
          <w:tcPr>
            <w:tcW w:w="3720" w:type="dxa"/>
            <w:vAlign w:val="bottom"/>
          </w:tcPr>
          <w:p>
            <w:pPr>
              <w:spacing w:after="0" w:line="229" w:lineRule="exact"/>
              <w:rPr>
                <w:sz w:val="20"/>
                <w:szCs w:val="20"/>
                <w:color w:val="auto"/>
              </w:rPr>
            </w:pPr>
            <w:r>
              <w:rPr>
                <w:rFonts w:ascii="Arial" w:cs="Arial" w:eastAsia="Arial" w:hAnsi="Arial"/>
                <w:sz w:val="20"/>
                <w:szCs w:val="20"/>
                <w:color w:val="231F20"/>
              </w:rPr>
              <w:t>Allowance for deferred tax assets</w:t>
            </w:r>
            <w:r>
              <w:rPr>
                <w:rFonts w:ascii="Times New Roman" w:cs="Times New Roman" w:eastAsia="Times New Roman" w:hAnsi="Times New Roman"/>
                <w:sz w:val="20"/>
                <w:szCs w:val="20"/>
                <w:color w:val="231F20"/>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20.7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231F20"/>
              </w:rPr>
              <w:t>(6.9)</w:t>
            </w:r>
          </w:p>
        </w:tc>
        <w:tc>
          <w:tcPr>
            <w:tcW w:w="180" w:type="dxa"/>
            <w:vAlign w:val="bottom"/>
          </w:tcPr>
          <w:p>
            <w:pPr>
              <w:spacing w:after="0"/>
              <w:rPr>
                <w:sz w:val="19"/>
                <w:szCs w:val="19"/>
                <w:color w:val="auto"/>
              </w:rPr>
            </w:pPr>
          </w:p>
        </w:tc>
        <w:tc>
          <w:tcPr>
            <w:tcW w:w="1280" w:type="dxa"/>
            <w:vAlign w:val="bottom"/>
          </w:tcPr>
          <w:p>
            <w:pPr>
              <w:jc w:val="right"/>
              <w:ind w:right="25"/>
              <w:spacing w:after="0"/>
              <w:rPr>
                <w:sz w:val="20"/>
                <w:szCs w:val="20"/>
                <w:color w:val="auto"/>
              </w:rPr>
            </w:pPr>
            <w:r>
              <w:rPr>
                <w:rFonts w:ascii="Arial" w:cs="Arial" w:eastAsia="Arial" w:hAnsi="Arial"/>
                <w:sz w:val="20"/>
                <w:szCs w:val="20"/>
                <w:color w:val="231F20"/>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w:t>
            </w:r>
          </w:p>
        </w:tc>
        <w:tc>
          <w:tcPr>
            <w:tcW w:w="260" w:type="dxa"/>
            <w:vAlign w:val="bottom"/>
          </w:tcPr>
          <w:p>
            <w:pPr>
              <w:spacing w:after="0"/>
              <w:rPr>
                <w:sz w:val="19"/>
                <w:szCs w:val="19"/>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13.8</w:t>
            </w:r>
          </w:p>
        </w:tc>
      </w:tr>
      <w:tr>
        <w:trPr>
          <w:trHeight w:val="237"/>
        </w:trPr>
        <w:tc>
          <w:tcPr>
            <w:tcW w:w="3740" w:type="dxa"/>
            <w:vAlign w:val="bottom"/>
            <w:gridSpan w:val="2"/>
          </w:tcPr>
          <w:p>
            <w:pPr>
              <w:spacing w:after="0"/>
              <w:rPr>
                <w:sz w:val="20"/>
                <w:szCs w:val="20"/>
                <w:color w:val="auto"/>
              </w:rPr>
            </w:pPr>
            <w:r>
              <w:rPr>
                <w:rFonts w:ascii="Arial" w:cs="Arial" w:eastAsia="Arial" w:hAnsi="Arial"/>
                <w:sz w:val="20"/>
                <w:szCs w:val="20"/>
                <w:b w:val="1"/>
                <w:bCs w:val="1"/>
                <w:color w:val="231F20"/>
              </w:rPr>
              <w:t>2021:</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1"/>
        </w:trPr>
        <w:tc>
          <w:tcPr>
            <w:tcW w:w="3740" w:type="dxa"/>
            <w:vAlign w:val="bottom"/>
            <w:gridSpan w:val="2"/>
          </w:tcPr>
          <w:p>
            <w:pPr>
              <w:spacing w:after="0"/>
              <w:rPr>
                <w:sz w:val="20"/>
                <w:szCs w:val="20"/>
                <w:color w:val="auto"/>
              </w:rPr>
            </w:pPr>
            <w:r>
              <w:rPr>
                <w:rFonts w:ascii="Arial" w:cs="Arial" w:eastAsia="Arial" w:hAnsi="Arial"/>
                <w:sz w:val="20"/>
                <w:szCs w:val="20"/>
                <w:color w:val="231F20"/>
              </w:rPr>
              <w:t>Allowance for cash discounts and sales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3720" w:type="dxa"/>
            <w:vAlign w:val="bottom"/>
          </w:tcPr>
          <w:p>
            <w:pPr>
              <w:ind w:left="140"/>
              <w:spacing w:after="0"/>
              <w:rPr>
                <w:sz w:val="20"/>
                <w:szCs w:val="20"/>
                <w:color w:val="auto"/>
              </w:rPr>
            </w:pPr>
            <w:r>
              <w:rPr>
                <w:rFonts w:ascii="Arial" w:cs="Arial" w:eastAsia="Arial" w:hAnsi="Arial"/>
                <w:sz w:val="20"/>
                <w:szCs w:val="20"/>
                <w:color w:val="231F20"/>
              </w:rPr>
              <w:t>allowances</w:t>
            </w:r>
            <w:r>
              <w:rPr>
                <w:rFonts w:ascii="Times New Roman" w:cs="Times New Roman" w:eastAsia="Times New Roman" w:hAnsi="Times New Roman"/>
                <w:sz w:val="20"/>
                <w:szCs w:val="20"/>
                <w:color w:val="231F20"/>
              </w:rPr>
              <w:t>..................................................</w:t>
            </w:r>
          </w:p>
        </w:tc>
        <w:tc>
          <w:tcPr>
            <w:tcW w:w="220" w:type="dxa"/>
            <w:vAlign w:val="bottom"/>
          </w:tcPr>
          <w:p>
            <w:pPr>
              <w:ind w:left="60"/>
              <w:spacing w:after="0"/>
              <w:rPr>
                <w:sz w:val="20"/>
                <w:szCs w:val="20"/>
                <w:color w:val="auto"/>
              </w:rPr>
            </w:pPr>
            <w:r>
              <w:rPr>
                <w:rFonts w:ascii="Arial" w:cs="Arial" w:eastAsia="Arial" w:hAnsi="Arial"/>
                <w:sz w:val="20"/>
                <w:szCs w:val="20"/>
                <w:color w:val="231F20"/>
              </w:rPr>
              <w:t>$</w:t>
            </w:r>
          </w:p>
        </w:tc>
        <w:tc>
          <w:tcPr>
            <w:tcW w:w="780" w:type="dxa"/>
            <w:vAlign w:val="bottom"/>
          </w:tcPr>
          <w:p>
            <w:pPr>
              <w:jc w:val="right"/>
              <w:spacing w:after="0"/>
              <w:rPr>
                <w:sz w:val="20"/>
                <w:szCs w:val="20"/>
                <w:color w:val="auto"/>
              </w:rPr>
            </w:pPr>
            <w:r>
              <w:rPr>
                <w:rFonts w:ascii="Arial" w:cs="Arial" w:eastAsia="Arial" w:hAnsi="Arial"/>
                <w:sz w:val="20"/>
                <w:szCs w:val="20"/>
                <w:color w:val="231F20"/>
              </w:rPr>
              <w:t>109.9</w:t>
            </w:r>
          </w:p>
        </w:tc>
        <w:tc>
          <w:tcPr>
            <w:tcW w:w="220" w:type="dxa"/>
            <w:vAlign w:val="bottom"/>
          </w:tcPr>
          <w:p>
            <w:pPr>
              <w:jc w:val="right"/>
              <w:spacing w:after="0"/>
              <w:rPr>
                <w:sz w:val="20"/>
                <w:szCs w:val="20"/>
                <w:color w:val="auto"/>
              </w:rPr>
            </w:pPr>
            <w:r>
              <w:rPr>
                <w:rFonts w:ascii="Arial" w:cs="Arial" w:eastAsia="Arial" w:hAnsi="Arial"/>
                <w:sz w:val="20"/>
                <w:szCs w:val="20"/>
                <w:color w:val="231F20"/>
              </w:rPr>
              <w:t>$</w:t>
            </w:r>
          </w:p>
        </w:tc>
        <w:tc>
          <w:tcPr>
            <w:tcW w:w="860" w:type="dxa"/>
            <w:vAlign w:val="bottom"/>
          </w:tcPr>
          <w:p>
            <w:pPr>
              <w:jc w:val="right"/>
              <w:ind w:right="41"/>
              <w:spacing w:after="0"/>
              <w:rPr>
                <w:sz w:val="20"/>
                <w:szCs w:val="20"/>
                <w:color w:val="auto"/>
              </w:rPr>
            </w:pPr>
            <w:r>
              <w:rPr>
                <w:rFonts w:ascii="Arial" w:cs="Arial" w:eastAsia="Arial" w:hAnsi="Arial"/>
                <w:sz w:val="20"/>
                <w:szCs w:val="20"/>
                <w:color w:val="231F20"/>
              </w:rPr>
              <w:t>296.9</w:t>
            </w:r>
          </w:p>
        </w:tc>
        <w:tc>
          <w:tcPr>
            <w:tcW w:w="180" w:type="dxa"/>
            <w:vAlign w:val="bottom"/>
          </w:tcPr>
          <w:p>
            <w:pPr>
              <w:jc w:val="right"/>
              <w:spacing w:after="0"/>
              <w:rPr>
                <w:sz w:val="20"/>
                <w:szCs w:val="20"/>
                <w:color w:val="auto"/>
              </w:rPr>
            </w:pPr>
            <w:r>
              <w:rPr>
                <w:rFonts w:ascii="Arial" w:cs="Arial" w:eastAsia="Arial" w:hAnsi="Arial"/>
                <w:sz w:val="20"/>
                <w:szCs w:val="20"/>
                <w:color w:val="231F20"/>
              </w:rPr>
              <w:t>$</w:t>
            </w:r>
          </w:p>
        </w:tc>
        <w:tc>
          <w:tcPr>
            <w:tcW w:w="1280" w:type="dxa"/>
            <w:vAlign w:val="bottom"/>
          </w:tcPr>
          <w:p>
            <w:pPr>
              <w:jc w:val="right"/>
              <w:spacing w:after="0"/>
              <w:rPr>
                <w:sz w:val="20"/>
                <w:szCs w:val="20"/>
                <w:color w:val="auto"/>
              </w:rPr>
            </w:pPr>
            <w:r>
              <w:rPr>
                <w:rFonts w:ascii="Arial" w:cs="Arial" w:eastAsia="Arial" w:hAnsi="Arial"/>
                <w:sz w:val="20"/>
                <w:szCs w:val="20"/>
                <w:color w:val="231F20"/>
              </w:rPr>
              <w:t>(270.9)</w:t>
            </w:r>
          </w:p>
        </w:tc>
        <w:tc>
          <w:tcPr>
            <w:tcW w:w="220" w:type="dxa"/>
            <w:vAlign w:val="bottom"/>
          </w:tcPr>
          <w:p>
            <w:pPr>
              <w:ind w:left="60"/>
              <w:spacing w:after="0"/>
              <w:rPr>
                <w:sz w:val="20"/>
                <w:szCs w:val="20"/>
                <w:color w:val="auto"/>
              </w:rPr>
            </w:pPr>
            <w:r>
              <w:rPr>
                <w:rFonts w:ascii="Arial" w:cs="Arial" w:eastAsia="Arial" w:hAnsi="Arial"/>
                <w:sz w:val="20"/>
                <w:szCs w:val="20"/>
                <w:color w:val="231F20"/>
              </w:rPr>
              <w:t>$</w:t>
            </w:r>
          </w:p>
        </w:tc>
        <w:tc>
          <w:tcPr>
            <w:tcW w:w="920" w:type="dxa"/>
            <w:vAlign w:val="bottom"/>
          </w:tcPr>
          <w:p>
            <w:pPr>
              <w:jc w:val="right"/>
              <w:spacing w:after="0"/>
              <w:rPr>
                <w:sz w:val="20"/>
                <w:szCs w:val="20"/>
                <w:color w:val="auto"/>
              </w:rPr>
            </w:pPr>
            <w:r>
              <w:rPr>
                <w:rFonts w:ascii="Arial" w:cs="Arial" w:eastAsia="Arial" w:hAnsi="Arial"/>
                <w:sz w:val="20"/>
                <w:szCs w:val="20"/>
                <w:color w:val="231F20"/>
              </w:rPr>
              <w:t>—</w:t>
            </w:r>
          </w:p>
        </w:tc>
        <w:tc>
          <w:tcPr>
            <w:tcW w:w="260" w:type="dxa"/>
            <w:vAlign w:val="bottom"/>
          </w:tcPr>
          <w:p>
            <w:pPr>
              <w:jc w:val="right"/>
              <w:spacing w:after="0"/>
              <w:rPr>
                <w:sz w:val="20"/>
                <w:szCs w:val="20"/>
                <w:color w:val="auto"/>
              </w:rPr>
            </w:pPr>
            <w:r>
              <w:rPr>
                <w:rFonts w:ascii="Arial" w:cs="Arial" w:eastAsia="Arial" w:hAnsi="Arial"/>
                <w:sz w:val="20"/>
                <w:szCs w:val="20"/>
                <w:color w:val="231F20"/>
              </w:rPr>
              <w:t>$</w:t>
            </w: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135.9</w:t>
            </w:r>
          </w:p>
        </w:tc>
      </w:tr>
      <w:tr>
        <w:trPr>
          <w:trHeight w:val="233"/>
        </w:trPr>
        <w:tc>
          <w:tcPr>
            <w:tcW w:w="3740" w:type="dxa"/>
            <w:vAlign w:val="bottom"/>
            <w:gridSpan w:val="2"/>
          </w:tcPr>
          <w:p>
            <w:pPr>
              <w:spacing w:after="0"/>
              <w:rPr>
                <w:sz w:val="20"/>
                <w:szCs w:val="20"/>
                <w:color w:val="auto"/>
              </w:rPr>
            </w:pPr>
            <w:r>
              <w:rPr>
                <w:rFonts w:ascii="Arial" w:cs="Arial" w:eastAsia="Arial" w:hAnsi="Arial"/>
                <w:sz w:val="20"/>
                <w:szCs w:val="20"/>
                <w:color w:val="231F20"/>
              </w:rPr>
              <w:t xml:space="preserve">Allowance for credit losses </w:t>
            </w:r>
            <w:r>
              <w:rPr>
                <w:rFonts w:ascii="Times New Roman" w:cs="Times New Roman" w:eastAsia="Times New Roman" w:hAnsi="Times New Roman"/>
                <w:sz w:val="20"/>
                <w:szCs w:val="20"/>
                <w:color w:val="231F20"/>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231F20"/>
              </w:rPr>
              <w:t>4.3</w:t>
            </w:r>
          </w:p>
        </w:tc>
        <w:tc>
          <w:tcPr>
            <w:tcW w:w="22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20"/>
                <w:szCs w:val="20"/>
                <w:color w:val="231F20"/>
              </w:rPr>
              <w:t>4.0</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231F20"/>
              </w:rPr>
              <w:t>(2.6)</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231F20"/>
              </w:rPr>
              <w:t>—</w:t>
            </w:r>
          </w:p>
        </w:tc>
        <w:tc>
          <w:tcPr>
            <w:tcW w:w="260" w:type="dxa"/>
            <w:vAlign w:val="bottom"/>
          </w:tcPr>
          <w:p>
            <w:pPr>
              <w:spacing w:after="0"/>
              <w:rPr>
                <w:sz w:val="20"/>
                <w:szCs w:val="20"/>
                <w:color w:val="auto"/>
              </w:rPr>
            </w:pPr>
          </w:p>
        </w:tc>
        <w:tc>
          <w:tcPr>
            <w:tcW w:w="760" w:type="dxa"/>
            <w:vAlign w:val="bottom"/>
          </w:tcPr>
          <w:p>
            <w:pPr>
              <w:jc w:val="right"/>
              <w:ind w:right="3"/>
              <w:spacing w:after="0"/>
              <w:rPr>
                <w:sz w:val="20"/>
                <w:szCs w:val="20"/>
                <w:color w:val="auto"/>
              </w:rPr>
            </w:pPr>
            <w:r>
              <w:rPr>
                <w:rFonts w:ascii="Arial" w:cs="Arial" w:eastAsia="Arial" w:hAnsi="Arial"/>
                <w:sz w:val="20"/>
                <w:szCs w:val="20"/>
                <w:color w:val="231F20"/>
              </w:rPr>
              <w:t>5.7</w:t>
            </w:r>
          </w:p>
        </w:tc>
      </w:tr>
      <w:tr>
        <w:trPr>
          <w:trHeight w:val="279"/>
        </w:trPr>
        <w:tc>
          <w:tcPr>
            <w:tcW w:w="3740" w:type="dxa"/>
            <w:vAlign w:val="bottom"/>
            <w:tcBorders>
              <w:bottom w:val="single" w:sz="8" w:color="231F20"/>
            </w:tcBorders>
            <w:gridSpan w:val="2"/>
          </w:tcPr>
          <w:p>
            <w:pPr>
              <w:spacing w:after="0"/>
              <w:rPr>
                <w:sz w:val="20"/>
                <w:szCs w:val="20"/>
                <w:color w:val="auto"/>
              </w:rPr>
            </w:pPr>
            <w:r>
              <w:rPr>
                <w:rFonts w:ascii="Arial" w:cs="Arial" w:eastAsia="Arial" w:hAnsi="Arial"/>
                <w:sz w:val="20"/>
                <w:szCs w:val="20"/>
                <w:color w:val="231F20"/>
              </w:rPr>
              <w:t>Allowance for deferred tax assets</w:t>
            </w:r>
            <w:r>
              <w:rPr>
                <w:rFonts w:ascii="Times New Roman" w:cs="Times New Roman" w:eastAsia="Times New Roman" w:hAnsi="Times New Roman"/>
                <w:sz w:val="20"/>
                <w:szCs w:val="20"/>
                <w:color w:val="231F20"/>
              </w:rPr>
              <w:t>..............</w:t>
            </w:r>
          </w:p>
        </w:tc>
        <w:tc>
          <w:tcPr>
            <w:tcW w:w="22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9.6</w:t>
            </w:r>
          </w:p>
        </w:tc>
        <w:tc>
          <w:tcPr>
            <w:tcW w:w="22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ind w:right="41"/>
              <w:spacing w:after="0"/>
              <w:rPr>
                <w:sz w:val="20"/>
                <w:szCs w:val="20"/>
                <w:color w:val="auto"/>
              </w:rPr>
            </w:pPr>
            <w:r>
              <w:rPr>
                <w:rFonts w:ascii="Arial" w:cs="Arial" w:eastAsia="Arial" w:hAnsi="Arial"/>
                <w:sz w:val="20"/>
                <w:szCs w:val="20"/>
                <w:color w:val="231F20"/>
              </w:rPr>
              <w:t>5.0</w:t>
            </w:r>
          </w:p>
        </w:tc>
        <w:tc>
          <w:tcPr>
            <w:tcW w:w="180" w:type="dxa"/>
            <w:vAlign w:val="bottom"/>
            <w:tcBorders>
              <w:bottom w:val="single" w:sz="8" w:color="231F20"/>
            </w:tcBorders>
          </w:tcPr>
          <w:p>
            <w:pPr>
              <w:spacing w:after="0"/>
              <w:rPr>
                <w:sz w:val="24"/>
                <w:szCs w:val="24"/>
                <w:color w:val="auto"/>
              </w:rPr>
            </w:pPr>
          </w:p>
        </w:tc>
        <w:tc>
          <w:tcPr>
            <w:tcW w:w="1280" w:type="dxa"/>
            <w:vAlign w:val="bottom"/>
            <w:tcBorders>
              <w:bottom w:val="single" w:sz="8" w:color="231F20"/>
            </w:tcBorders>
          </w:tcPr>
          <w:p>
            <w:pPr>
              <w:jc w:val="right"/>
              <w:ind w:right="25"/>
              <w:spacing w:after="0"/>
              <w:rPr>
                <w:sz w:val="20"/>
                <w:szCs w:val="20"/>
                <w:color w:val="auto"/>
              </w:rPr>
            </w:pPr>
            <w:r>
              <w:rPr>
                <w:rFonts w:ascii="Arial" w:cs="Arial" w:eastAsia="Arial" w:hAnsi="Arial"/>
                <w:sz w:val="20"/>
                <w:szCs w:val="20"/>
                <w:color w:val="231F20"/>
              </w:rPr>
              <w:t>6.1</w:t>
            </w: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w:t>
            </w:r>
          </w:p>
        </w:tc>
        <w:tc>
          <w:tcPr>
            <w:tcW w:w="26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20.7</w:t>
            </w:r>
          </w:p>
        </w:tc>
      </w:tr>
    </w:tbl>
    <w:p>
      <w:pPr>
        <w:spacing w:after="0" w:line="102" w:lineRule="exact"/>
        <w:rPr>
          <w:sz w:val="20"/>
          <w:szCs w:val="20"/>
          <w:color w:val="auto"/>
        </w:rPr>
      </w:pPr>
    </w:p>
    <w:p>
      <w:pPr>
        <w:ind w:left="320" w:hanging="314"/>
        <w:spacing w:after="0"/>
        <w:tabs>
          <w:tab w:leader="none" w:pos="320" w:val="left"/>
        </w:tabs>
        <w:numPr>
          <w:ilvl w:val="0"/>
          <w:numId w:val="69"/>
        </w:numPr>
        <w:rPr>
          <w:rFonts w:ascii="Arial" w:cs="Arial" w:eastAsia="Arial" w:hAnsi="Arial"/>
          <w:sz w:val="10"/>
          <w:szCs w:val="10"/>
          <w:color w:val="231F20"/>
        </w:rPr>
      </w:pPr>
      <w:r>
        <w:rPr>
          <w:rFonts w:ascii="Arial" w:cs="Arial" w:eastAsia="Arial" w:hAnsi="Arial"/>
          <w:sz w:val="16"/>
          <w:szCs w:val="16"/>
          <w:color w:val="231F20"/>
        </w:rPr>
        <w:t>Net of recoveries of amounts written off in prior years and immaterial foreign currency impact.</w:t>
      </w:r>
    </w:p>
    <w:p>
      <w:pPr>
        <w:spacing w:after="0" w:line="22" w:lineRule="exact"/>
        <w:rPr>
          <w:rFonts w:ascii="Arial" w:cs="Arial" w:eastAsia="Arial" w:hAnsi="Arial"/>
          <w:sz w:val="10"/>
          <w:szCs w:val="10"/>
          <w:color w:val="231F20"/>
        </w:rPr>
      </w:pPr>
    </w:p>
    <w:p>
      <w:pPr>
        <w:ind w:left="320" w:hanging="314"/>
        <w:spacing w:after="0"/>
        <w:tabs>
          <w:tab w:leader="none" w:pos="320" w:val="left"/>
        </w:tabs>
        <w:numPr>
          <w:ilvl w:val="0"/>
          <w:numId w:val="69"/>
        </w:numPr>
        <w:rPr>
          <w:rFonts w:ascii="Arial" w:cs="Arial" w:eastAsia="Arial" w:hAnsi="Arial"/>
          <w:sz w:val="10"/>
          <w:szCs w:val="10"/>
          <w:color w:val="231F20"/>
        </w:rPr>
      </w:pPr>
      <w:r>
        <w:rPr>
          <w:rFonts w:ascii="Arial" w:cs="Arial" w:eastAsia="Arial" w:hAnsi="Arial"/>
          <w:sz w:val="16"/>
          <w:szCs w:val="16"/>
          <w:color w:val="231F20"/>
        </w:rPr>
        <w:t>Represents purchase accounting adjustment related to the ASSA acquisition within our Water and Security segments in 2023.</w:t>
      </w:r>
    </w:p>
    <w:p>
      <w:pPr>
        <w:sectPr>
          <w:pgSz w:w="12240" w:h="15840" w:orient="portrait"/>
          <w:cols w:equalWidth="0" w:num="1">
            <w:col w:w="9460"/>
          </w:cols>
          <w:pgMar w:left="1380" w:top="1342" w:right="1400" w:bottom="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31F20"/>
        </w:rPr>
        <w:t>98</w:t>
      </w:r>
    </w:p>
    <w:p>
      <w:pPr>
        <w:sectPr>
          <w:pgSz w:w="12240" w:h="15840" w:orient="portrait"/>
          <w:cols w:equalWidth="0" w:num="1">
            <w:col w:w="9460"/>
          </w:cols>
          <w:pgMar w:left="1380" w:top="1342" w:right="1400" w:bottom="95"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b w:val="1"/>
          <w:bCs w:val="1"/>
          <w:color w:val="231F20"/>
        </w:rPr>
        <w:t>Reconciliations of GAAP Operating Income to Operati ng Income Before Charges/Gains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-79375</wp:posOffset>
            </wp:positionV>
            <wp:extent cx="4763"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extLst>
                    </a:blip>
                    <a:srcRect/>
                    <a:stretch>
                      <a:fillRect/>
                    </a:stretch>
                  </pic:blipFill>
                  <pic:spPr bwMode="auto">
                    <a:xfrm>
                      <a:off x="0" y="0"/>
                      <a:ext cx="4763" cy="36830"/>
                    </a:xfrm>
                    <a:prstGeom prst="rect">
                      <a:avLst/>
                    </a:prstGeom>
                    <a:noFill/>
                  </pic:spPr>
                </pic:pic>
              </a:graphicData>
            </a:graphic>
          </wp:anchor>
        </w:drawing>
      </w:r>
    </w:p>
    <w:p>
      <w:pPr>
        <w:spacing w:after="0"/>
        <w:tabs>
          <w:tab w:leader="none" w:pos="200" w:val="left"/>
        </w:tabs>
        <w:rPr>
          <w:sz w:val="20"/>
          <w:szCs w:val="20"/>
          <w:color w:val="auto"/>
        </w:rPr>
      </w:pPr>
      <w:r>
        <w:rPr>
          <w:rFonts w:ascii="Arial" w:cs="Arial" w:eastAsia="Arial" w:hAnsi="Arial"/>
          <w:sz w:val="18"/>
          <w:szCs w:val="18"/>
          <w:color w:val="231F20"/>
        </w:rPr>
        <w:t>(</w:t>
      </w:r>
      <w:r>
        <w:rPr>
          <w:sz w:val="20"/>
          <w:szCs w:val="20"/>
          <w:color w:val="auto"/>
        </w:rPr>
        <w:tab/>
      </w:r>
      <w:r>
        <w:rPr>
          <w:rFonts w:ascii="Arial" w:cs="Arial" w:eastAsia="Arial" w:hAnsi="Arial"/>
          <w:sz w:val="18"/>
          <w:szCs w:val="18"/>
          <w:color w:val="231F20"/>
        </w:rPr>
        <w:t>m ll o 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(Unaudited)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54610</wp:posOffset>
                </wp:positionV>
                <wp:extent cx="651256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50">
                          <a:solidFill>
                            <a:srgbClr val="231F2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3pt" to="512.4pt,4.3pt" o:allowincell="f" strokecolor="#231F20" strokeweight="0.3031pt"/>
            </w:pict>
          </mc:Fallback>
        </mc:AlternateConten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40" w:type="dxa"/>
            <w:vAlign w:val="bottom"/>
            <w:gridSpan w:val="2"/>
          </w:tcPr>
          <w:p>
            <w:pPr>
              <w:jc w:val="right"/>
              <w:ind w:right="99"/>
              <w:spacing w:after="0"/>
              <w:rPr>
                <w:sz w:val="20"/>
                <w:szCs w:val="20"/>
                <w:color w:val="auto"/>
              </w:rPr>
            </w:pPr>
            <w:r>
              <w:rPr>
                <w:rFonts w:ascii="Arial" w:cs="Arial" w:eastAsia="Arial" w:hAnsi="Arial"/>
                <w:sz w:val="16"/>
                <w:szCs w:val="16"/>
                <w:color w:val="231F20"/>
              </w:rPr>
              <w:t>Fifty-two Weeks Ended</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Twelve Months Ended</w:t>
            </w:r>
          </w:p>
        </w:tc>
        <w:tc>
          <w:tcPr>
            <w:tcW w:w="1060" w:type="dxa"/>
            <w:vAlign w:val="bottom"/>
          </w:tcPr>
          <w:p>
            <w:pPr>
              <w:spacing w:after="0"/>
              <w:rPr>
                <w:sz w:val="16"/>
                <w:szCs w:val="16"/>
                <w:color w:val="auto"/>
              </w:rPr>
            </w:pPr>
          </w:p>
        </w:tc>
      </w:tr>
      <w:tr>
        <w:trPr>
          <w:trHeight w:val="202"/>
        </w:trPr>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December 30,</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December 31,</w:t>
            </w:r>
          </w:p>
        </w:tc>
        <w:tc>
          <w:tcPr>
            <w:tcW w:w="1060" w:type="dxa"/>
            <w:vAlign w:val="bottom"/>
          </w:tcPr>
          <w:p>
            <w:pPr>
              <w:spacing w:after="0"/>
              <w:rPr>
                <w:sz w:val="17"/>
                <w:szCs w:val="17"/>
                <w:color w:val="auto"/>
              </w:rPr>
            </w:pPr>
          </w:p>
        </w:tc>
      </w:tr>
      <w:tr>
        <w:trPr>
          <w:trHeight w:val="57"/>
        </w:trPr>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20" w:type="dxa"/>
            <w:vAlign w:val="bottom"/>
            <w:tcBorders>
              <w:bottom w:val="single" w:sz="8" w:color="231F20"/>
            </w:tcBorders>
          </w:tcPr>
          <w:p>
            <w:pPr>
              <w:spacing w:after="0"/>
              <w:rPr>
                <w:sz w:val="5"/>
                <w:szCs w:val="5"/>
                <w:color w:val="auto"/>
              </w:rPr>
            </w:pPr>
          </w:p>
        </w:tc>
        <w:tc>
          <w:tcPr>
            <w:tcW w:w="1320" w:type="dxa"/>
            <w:vAlign w:val="bottom"/>
            <w:tcBorders>
              <w:bottom w:val="single" w:sz="8" w:color="231F20"/>
            </w:tcBorders>
          </w:tcPr>
          <w:p>
            <w:pPr>
              <w:spacing w:after="0"/>
              <w:rPr>
                <w:sz w:val="5"/>
                <w:szCs w:val="5"/>
                <w:color w:val="auto"/>
              </w:rPr>
            </w:pPr>
          </w:p>
        </w:tc>
        <w:tc>
          <w:tcPr>
            <w:tcW w:w="1960" w:type="dxa"/>
            <w:vAlign w:val="bottom"/>
            <w:tcBorders>
              <w:bottom w:val="single" w:sz="8" w:color="231F20"/>
            </w:tcBorders>
          </w:tcPr>
          <w:p>
            <w:pPr>
              <w:spacing w:after="0"/>
              <w:rPr>
                <w:sz w:val="5"/>
                <w:szCs w:val="5"/>
                <w:color w:val="auto"/>
              </w:rPr>
            </w:pPr>
          </w:p>
        </w:tc>
        <w:tc>
          <w:tcPr>
            <w:tcW w:w="1060" w:type="dxa"/>
            <w:vAlign w:val="bottom"/>
            <w:tcBorders>
              <w:bottom w:val="single" w:sz="8" w:color="231F20"/>
            </w:tcBorders>
          </w:tcPr>
          <w:p>
            <w:pPr>
              <w:spacing w:after="0"/>
              <w:rPr>
                <w:sz w:val="5"/>
                <w:szCs w:val="5"/>
                <w:color w:val="auto"/>
              </w:rPr>
            </w:pPr>
          </w:p>
        </w:tc>
      </w:tr>
      <w:tr>
        <w:trPr>
          <w:trHeight w:val="321"/>
        </w:trPr>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2023</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2022</w:t>
            </w:r>
          </w:p>
        </w:tc>
        <w:tc>
          <w:tcPr>
            <w:tcW w:w="1060" w:type="dxa"/>
            <w:vAlign w:val="bottom"/>
          </w:tcPr>
          <w:p>
            <w:pPr>
              <w:jc w:val="right"/>
              <w:spacing w:after="0"/>
              <w:rPr>
                <w:sz w:val="20"/>
                <w:szCs w:val="20"/>
                <w:color w:val="auto"/>
              </w:rPr>
            </w:pPr>
            <w:r>
              <w:rPr>
                <w:rFonts w:ascii="Arial" w:cs="Arial" w:eastAsia="Arial" w:hAnsi="Arial"/>
                <w:sz w:val="16"/>
                <w:szCs w:val="16"/>
                <w:color w:val="231F20"/>
              </w:rPr>
              <w:t>% Change</w:t>
            </w:r>
          </w:p>
        </w:tc>
      </w:tr>
      <w:tr>
        <w:trPr>
          <w:trHeight w:val="23"/>
        </w:trPr>
        <w:tc>
          <w:tcPr>
            <w:tcW w:w="72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204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196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r>
      <w:tr>
        <w:trPr>
          <w:trHeight w:val="240"/>
        </w:trPr>
        <w:tc>
          <w:tcPr>
            <w:tcW w:w="720" w:type="dxa"/>
            <w:vAlign w:val="bottom"/>
          </w:tcPr>
          <w:p>
            <w:pPr>
              <w:spacing w:after="0"/>
              <w:rPr>
                <w:sz w:val="20"/>
                <w:szCs w:val="20"/>
                <w:color w:val="auto"/>
              </w:rPr>
            </w:pPr>
            <w:r>
              <w:rPr>
                <w:rFonts w:ascii="Arial" w:cs="Arial" w:eastAsia="Arial" w:hAnsi="Arial"/>
                <w:sz w:val="16"/>
                <w:szCs w:val="16"/>
                <w:b w:val="1"/>
                <w:bCs w:val="1"/>
                <w:color w:val="231F20"/>
              </w:rPr>
              <w:t>WATER</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8"/>
        </w:trPr>
        <w:tc>
          <w:tcPr>
            <w:tcW w:w="3040" w:type="dxa"/>
            <w:vAlign w:val="bottom"/>
            <w:gridSpan w:val="5"/>
          </w:tcPr>
          <w:p>
            <w:pPr>
              <w:spacing w:after="0"/>
              <w:rPr>
                <w:sz w:val="20"/>
                <w:szCs w:val="20"/>
                <w:color w:val="auto"/>
              </w:rPr>
            </w:pPr>
            <w:r>
              <w:rPr>
                <w:rFonts w:ascii="Arial" w:cs="Arial" w:eastAsia="Arial" w:hAnsi="Arial"/>
                <w:sz w:val="16"/>
                <w:szCs w:val="16"/>
                <w:b w:val="1"/>
                <w:bCs w:val="1"/>
                <w:color w:val="231F20"/>
              </w:rPr>
              <w:t>Operating income (GAAP)</w:t>
            </w:r>
          </w:p>
        </w:tc>
        <w:tc>
          <w:tcPr>
            <w:tcW w:w="2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$574.3</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$614.6</w:t>
            </w:r>
          </w:p>
        </w:tc>
        <w:tc>
          <w:tcPr>
            <w:tcW w:w="1060" w:type="dxa"/>
            <w:vAlign w:val="bottom"/>
          </w:tcPr>
          <w:p>
            <w:pPr>
              <w:jc w:val="right"/>
              <w:spacing w:after="0"/>
              <w:rPr>
                <w:sz w:val="20"/>
                <w:szCs w:val="20"/>
                <w:color w:val="auto"/>
              </w:rPr>
            </w:pPr>
            <w:r>
              <w:rPr>
                <w:rFonts w:ascii="Arial" w:cs="Arial" w:eastAsia="Arial" w:hAnsi="Arial"/>
                <w:sz w:val="16"/>
                <w:szCs w:val="16"/>
                <w:color w:val="231F20"/>
              </w:rPr>
              <w:t>(7)</w:t>
            </w:r>
          </w:p>
        </w:tc>
      </w:tr>
      <w:tr>
        <w:trPr>
          <w:trHeight w:val="190"/>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Restructuring charges</w:t>
            </w:r>
          </w:p>
        </w:tc>
        <w:tc>
          <w:tcPr>
            <w:tcW w:w="2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2.2</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6.3</w:t>
            </w:r>
          </w:p>
        </w:tc>
        <w:tc>
          <w:tcPr>
            <w:tcW w:w="1060" w:type="dxa"/>
            <w:vAlign w:val="bottom"/>
          </w:tcPr>
          <w:p>
            <w:pPr>
              <w:jc w:val="right"/>
              <w:spacing w:after="0"/>
              <w:rPr>
                <w:sz w:val="20"/>
                <w:szCs w:val="20"/>
                <w:color w:val="auto"/>
              </w:rPr>
            </w:pPr>
            <w:r>
              <w:rPr>
                <w:rFonts w:ascii="Arial" w:cs="Arial" w:eastAsia="Arial" w:hAnsi="Arial"/>
                <w:sz w:val="16"/>
                <w:szCs w:val="16"/>
                <w:color w:val="231F20"/>
              </w:rPr>
              <w:t>(65)</w:t>
            </w:r>
          </w:p>
        </w:tc>
      </w:tr>
      <w:tr>
        <w:trPr>
          <w:trHeight w:val="212"/>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Other charges/(gains)</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960" w:type="dxa"/>
            <w:vAlign w:val="bottom"/>
            <w:gridSpan w:val="2"/>
          </w:tcPr>
          <w:p>
            <w:pPr>
              <w:ind w:left="360"/>
              <w:spacing w:after="0"/>
              <w:rPr>
                <w:sz w:val="20"/>
                <w:szCs w:val="20"/>
                <w:color w:val="auto"/>
              </w:rPr>
            </w:pPr>
            <w:r>
              <w:rPr>
                <w:rFonts w:ascii="Arial" w:cs="Arial" w:eastAsia="Arial" w:hAnsi="Arial"/>
                <w:sz w:val="16"/>
                <w:szCs w:val="16"/>
                <w:color w:val="231F20"/>
              </w:rPr>
              <w:t>Cost of</w:t>
            </w:r>
          </w:p>
        </w:tc>
        <w:tc>
          <w:tcPr>
            <w:tcW w:w="2080" w:type="dxa"/>
            <w:vAlign w:val="bottom"/>
            <w:gridSpan w:val="3"/>
          </w:tcPr>
          <w:p>
            <w:pPr>
              <w:jc w:val="center"/>
              <w:ind w:right="1050"/>
              <w:spacing w:after="0"/>
              <w:rPr>
                <w:sz w:val="20"/>
                <w:szCs w:val="20"/>
                <w:color w:val="auto"/>
              </w:rPr>
            </w:pPr>
            <w:r>
              <w:rPr>
                <w:rFonts w:ascii="Arial" w:cs="Arial" w:eastAsia="Arial" w:hAnsi="Arial"/>
                <w:sz w:val="16"/>
                <w:szCs w:val="16"/>
                <w:color w:val="231F20"/>
              </w:rPr>
              <w:t>roducts so d</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2.6</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(0.2)</w:t>
            </w:r>
          </w:p>
        </w:tc>
        <w:tc>
          <w:tcPr>
            <w:tcW w:w="1060" w:type="dxa"/>
            <w:vAlign w:val="bottom"/>
          </w:tcPr>
          <w:p>
            <w:pPr>
              <w:jc w:val="right"/>
              <w:spacing w:after="0"/>
              <w:rPr>
                <w:sz w:val="20"/>
                <w:szCs w:val="20"/>
                <w:color w:val="auto"/>
              </w:rPr>
            </w:pPr>
            <w:r>
              <w:rPr>
                <w:rFonts w:ascii="Arial" w:cs="Arial" w:eastAsia="Arial" w:hAnsi="Arial"/>
                <w:sz w:val="16"/>
                <w:szCs w:val="16"/>
                <w:color w:val="231F20"/>
              </w:rPr>
              <w:t>(1,400)</w:t>
            </w:r>
          </w:p>
        </w:tc>
      </w:tr>
      <w:tr>
        <w:trPr>
          <w:trHeight w:val="212"/>
        </w:trPr>
        <w:tc>
          <w:tcPr>
            <w:tcW w:w="720" w:type="dxa"/>
            <w:vAlign w:val="bottom"/>
          </w:tcPr>
          <w:p>
            <w:pPr>
              <w:ind w:left="360"/>
              <w:spacing w:after="0"/>
              <w:rPr>
                <w:sz w:val="20"/>
                <w:szCs w:val="20"/>
                <w:color w:val="auto"/>
              </w:rPr>
            </w:pPr>
            <w:r>
              <w:rPr>
                <w:rFonts w:ascii="Arial" w:cs="Arial" w:eastAsia="Arial" w:hAnsi="Arial"/>
                <w:sz w:val="16"/>
                <w:szCs w:val="16"/>
                <w:color w:val="231F20"/>
                <w:w w:val="86"/>
              </w:rPr>
              <w:t>Sellin</w:t>
            </w:r>
          </w:p>
        </w:tc>
        <w:tc>
          <w:tcPr>
            <w:tcW w:w="240" w:type="dxa"/>
            <w:vAlign w:val="bottom"/>
          </w:tcPr>
          <w:p>
            <w:pPr>
              <w:jc w:val="center"/>
              <w:spacing w:after="0"/>
              <w:rPr>
                <w:sz w:val="20"/>
                <w:szCs w:val="20"/>
                <w:color w:val="auto"/>
              </w:rPr>
            </w:pPr>
            <w:r>
              <w:rPr>
                <w:rFonts w:ascii="Arial" w:cs="Arial" w:eastAsia="Arial" w:hAnsi="Arial"/>
                <w:sz w:val="16"/>
                <w:szCs w:val="16"/>
                <w:color w:val="231F20"/>
                <w:w w:val="88"/>
              </w:rPr>
              <w:t>,</w:t>
            </w:r>
          </w:p>
        </w:tc>
        <w:tc>
          <w:tcPr>
            <w:tcW w:w="580" w:type="dxa"/>
            <w:vAlign w:val="bottom"/>
            <w:gridSpan w:val="2"/>
          </w:tcPr>
          <w:p>
            <w:pPr>
              <w:spacing w:after="0"/>
              <w:rPr>
                <w:sz w:val="20"/>
                <w:szCs w:val="20"/>
                <w:color w:val="auto"/>
              </w:rPr>
            </w:pPr>
            <w:r>
              <w:rPr>
                <w:rFonts w:ascii="Arial" w:cs="Arial" w:eastAsia="Arial" w:hAnsi="Arial"/>
                <w:sz w:val="16"/>
                <w:szCs w:val="16"/>
                <w:color w:val="231F20"/>
                <w:w w:val="96"/>
              </w:rPr>
              <w:t>eneral a</w:t>
            </w:r>
          </w:p>
        </w:tc>
        <w:tc>
          <w:tcPr>
            <w:tcW w:w="1500" w:type="dxa"/>
            <w:vAlign w:val="bottom"/>
          </w:tcPr>
          <w:p>
            <w:pPr>
              <w:ind w:left="40"/>
              <w:spacing w:after="0"/>
              <w:rPr>
                <w:sz w:val="20"/>
                <w:szCs w:val="20"/>
                <w:color w:val="auto"/>
              </w:rPr>
            </w:pPr>
            <w:r>
              <w:rPr>
                <w:rFonts w:ascii="Arial" w:cs="Arial" w:eastAsia="Arial" w:hAnsi="Arial"/>
                <w:sz w:val="16"/>
                <w:szCs w:val="16"/>
                <w:color w:val="231F20"/>
                <w:w w:val="94"/>
              </w:rPr>
              <w:t>d adm nistrat ve expe</w:t>
            </w:r>
          </w:p>
        </w:tc>
        <w:tc>
          <w:tcPr>
            <w:tcW w:w="2860" w:type="dxa"/>
            <w:vAlign w:val="bottom"/>
            <w:gridSpan w:val="2"/>
          </w:tcPr>
          <w:p>
            <w:pPr>
              <w:ind w:left="40"/>
              <w:spacing w:after="0"/>
              <w:rPr>
                <w:sz w:val="20"/>
                <w:szCs w:val="20"/>
                <w:color w:val="auto"/>
              </w:rPr>
            </w:pPr>
            <w:r>
              <w:rPr>
                <w:rFonts w:ascii="Arial" w:cs="Arial" w:eastAsia="Arial" w:hAnsi="Arial"/>
                <w:sz w:val="16"/>
                <w:szCs w:val="16"/>
                <w:color w:val="231F20"/>
              </w:rPr>
              <w:t>se</w:t>
            </w: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0.8</w:t>
            </w:r>
          </w:p>
        </w:tc>
        <w:tc>
          <w:tcPr>
            <w:tcW w:w="1060" w:type="dxa"/>
            <w:vAlign w:val="bottom"/>
          </w:tcPr>
          <w:p>
            <w:pPr>
              <w:jc w:val="right"/>
              <w:spacing w:after="0"/>
              <w:rPr>
                <w:sz w:val="20"/>
                <w:szCs w:val="20"/>
                <w:color w:val="auto"/>
              </w:rPr>
            </w:pPr>
            <w:r>
              <w:rPr>
                <w:rFonts w:ascii="Arial" w:cs="Arial" w:eastAsia="Arial" w:hAnsi="Arial"/>
                <w:sz w:val="16"/>
                <w:szCs w:val="16"/>
                <w:color w:val="231F20"/>
              </w:rPr>
              <w:t>(100)</w:t>
            </w:r>
          </w:p>
        </w:tc>
      </w:tr>
      <w:tr>
        <w:trPr>
          <w:trHeight w:val="234"/>
        </w:trPr>
        <w:tc>
          <w:tcPr>
            <w:tcW w:w="3040" w:type="dxa"/>
            <w:vAlign w:val="bottom"/>
            <w:tcBorders>
              <w:bottom w:val="single" w:sz="8" w:color="231F20"/>
            </w:tcBorders>
            <w:gridSpan w:val="5"/>
          </w:tcPr>
          <w:p>
            <w:pPr>
              <w:ind w:left="180"/>
              <w:spacing w:after="0"/>
              <w:rPr>
                <w:sz w:val="20"/>
                <w:szCs w:val="20"/>
                <w:color w:val="auto"/>
              </w:rPr>
            </w:pPr>
            <w:r>
              <w:rPr>
                <w:rFonts w:ascii="Arial" w:cs="Arial" w:eastAsia="Arial" w:hAnsi="Arial"/>
                <w:sz w:val="16"/>
                <w:szCs w:val="16"/>
                <w:color w:val="231F20"/>
              </w:rPr>
              <w:t xml:space="preserve">Amortization of nventory step-up </w:t>
            </w:r>
            <w:r>
              <w:rPr>
                <w:rFonts w:ascii="Arial" w:cs="Arial" w:eastAsia="Arial" w:hAnsi="Arial"/>
                <w:sz w:val="9"/>
                <w:szCs w:val="9"/>
                <w:color w:val="231F20"/>
              </w:rPr>
              <w:t>(</w:t>
            </w:r>
            <w:r>
              <w:rPr>
                <w:rFonts w:ascii="Arial" w:cs="Arial" w:eastAsia="Arial" w:hAnsi="Arial"/>
                <w:sz w:val="18"/>
                <w:szCs w:val="18"/>
                <w:color w:val="231F20"/>
                <w:vertAlign w:val="superscript"/>
              </w:rPr>
              <w:t>f</w:t>
            </w:r>
            <w:r>
              <w:rPr>
                <w:rFonts w:ascii="Arial" w:cs="Arial" w:eastAsia="Arial" w:hAnsi="Arial"/>
                <w:sz w:val="9"/>
                <w:szCs w:val="9"/>
                <w:color w:val="231F20"/>
              </w:rPr>
              <w:t>)</w:t>
            </w:r>
          </w:p>
        </w:tc>
        <w:tc>
          <w:tcPr>
            <w:tcW w:w="204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ind w:right="79"/>
              <w:spacing w:after="0"/>
              <w:rPr>
                <w:sz w:val="20"/>
                <w:szCs w:val="20"/>
                <w:color w:val="auto"/>
              </w:rPr>
            </w:pPr>
            <w:r>
              <w:rPr>
                <w:rFonts w:ascii="Arial" w:cs="Arial" w:eastAsia="Arial" w:hAnsi="Arial"/>
                <w:sz w:val="16"/>
                <w:szCs w:val="16"/>
                <w:color w:val="231F20"/>
              </w:rPr>
              <w:t>3.5</w:t>
            </w:r>
          </w:p>
        </w:tc>
        <w:tc>
          <w:tcPr>
            <w:tcW w:w="1960" w:type="dxa"/>
            <w:vAlign w:val="bottom"/>
            <w:tcBorders>
              <w:bottom w:val="single" w:sz="8" w:color="231F20"/>
            </w:tcBorders>
          </w:tcPr>
          <w:p>
            <w:pPr>
              <w:jc w:val="right"/>
              <w:ind w:right="159"/>
              <w:spacing w:after="0"/>
              <w:rPr>
                <w:sz w:val="20"/>
                <w:szCs w:val="20"/>
                <w:color w:val="auto"/>
              </w:rPr>
            </w:pPr>
            <w:r>
              <w:rPr>
                <w:rFonts w:ascii="Arial" w:cs="Arial" w:eastAsia="Arial" w:hAnsi="Arial"/>
                <w:sz w:val="16"/>
                <w:szCs w:val="16"/>
                <w:color w:val="231F20"/>
              </w:rPr>
              <w:t>1.3</w:t>
            </w: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169</w:t>
            </w:r>
          </w:p>
        </w:tc>
      </w:tr>
      <w:tr>
        <w:trPr>
          <w:trHeight w:val="223"/>
        </w:trPr>
        <w:tc>
          <w:tcPr>
            <w:tcW w:w="5900" w:type="dxa"/>
            <w:vAlign w:val="bottom"/>
            <w:gridSpan w:val="7"/>
          </w:tcPr>
          <w:p>
            <w:pPr>
              <w:spacing w:after="0"/>
              <w:rPr>
                <w:sz w:val="20"/>
                <w:szCs w:val="20"/>
                <w:color w:val="auto"/>
              </w:rPr>
            </w:pPr>
            <w:r>
              <w:rPr>
                <w:rFonts w:ascii="Arial" w:cs="Arial" w:eastAsia="Arial" w:hAnsi="Arial"/>
                <w:sz w:val="16"/>
                <w:szCs w:val="16"/>
                <w:b w:val="1"/>
                <w:bCs w:val="1"/>
                <w:color w:val="231F20"/>
              </w:rPr>
              <w:t xml:space="preserve">Operating income before cha rges/gains </w:t>
            </w:r>
            <w:r>
              <w:rPr>
                <w:rFonts w:ascii="Arial" w:cs="Arial" w:eastAsia="Arial" w:hAnsi="Arial"/>
                <w:sz w:val="18"/>
                <w:szCs w:val="18"/>
                <w:b w:val="1"/>
                <w:bCs w:val="1"/>
                <w:color w:val="231F20"/>
                <w:vertAlign w:val="superscript"/>
              </w:rPr>
              <w:t>(a)</w:t>
            </w: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$582.6</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$622.8</w:t>
            </w:r>
          </w:p>
        </w:tc>
        <w:tc>
          <w:tcPr>
            <w:tcW w:w="1060" w:type="dxa"/>
            <w:vAlign w:val="bottom"/>
          </w:tcPr>
          <w:p>
            <w:pPr>
              <w:jc w:val="right"/>
              <w:spacing w:after="0"/>
              <w:rPr>
                <w:sz w:val="20"/>
                <w:szCs w:val="20"/>
                <w:color w:val="auto"/>
              </w:rPr>
            </w:pPr>
            <w:r>
              <w:rPr>
                <w:rFonts w:ascii="Arial" w:cs="Arial" w:eastAsia="Arial" w:hAnsi="Arial"/>
                <w:sz w:val="16"/>
                <w:szCs w:val="16"/>
                <w:color w:val="231F20"/>
              </w:rPr>
              <w:t>(6)</w:t>
            </w:r>
          </w:p>
        </w:tc>
      </w:tr>
      <w:tr>
        <w:trPr>
          <w:trHeight w:val="35"/>
        </w:trPr>
        <w:tc>
          <w:tcPr>
            <w:tcW w:w="960" w:type="dxa"/>
            <w:vAlign w:val="bottom"/>
            <w:tcBorders>
              <w:bottom w:val="single" w:sz="8" w:color="231F20"/>
            </w:tcBorders>
            <w:gridSpan w:val="2"/>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1500" w:type="dxa"/>
            <w:vAlign w:val="bottom"/>
            <w:tcBorders>
              <w:bottom w:val="single" w:sz="8" w:color="231F20"/>
            </w:tcBorders>
          </w:tcPr>
          <w:p>
            <w:pPr>
              <w:spacing w:after="0"/>
              <w:rPr>
                <w:sz w:val="3"/>
                <w:szCs w:val="3"/>
                <w:color w:val="auto"/>
              </w:rPr>
            </w:pPr>
          </w:p>
        </w:tc>
        <w:tc>
          <w:tcPr>
            <w:tcW w:w="204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1320" w:type="dxa"/>
            <w:vAlign w:val="bottom"/>
            <w:tcBorders>
              <w:bottom w:val="single" w:sz="8" w:color="231F20"/>
            </w:tcBorders>
          </w:tcPr>
          <w:p>
            <w:pPr>
              <w:spacing w:after="0"/>
              <w:rPr>
                <w:sz w:val="3"/>
                <w:szCs w:val="3"/>
                <w:color w:val="auto"/>
              </w:rPr>
            </w:pPr>
          </w:p>
        </w:tc>
        <w:tc>
          <w:tcPr>
            <w:tcW w:w="1960" w:type="dxa"/>
            <w:vAlign w:val="bottom"/>
            <w:tcBorders>
              <w:bottom w:val="single" w:sz="8" w:color="231F20"/>
            </w:tcBorders>
          </w:tcPr>
          <w:p>
            <w:pPr>
              <w:spacing w:after="0"/>
              <w:rPr>
                <w:sz w:val="3"/>
                <w:szCs w:val="3"/>
                <w:color w:val="auto"/>
              </w:rPr>
            </w:pPr>
          </w:p>
        </w:tc>
        <w:tc>
          <w:tcPr>
            <w:tcW w:w="1060" w:type="dxa"/>
            <w:vAlign w:val="bottom"/>
            <w:tcBorders>
              <w:bottom w:val="single" w:sz="8" w:color="231F20"/>
            </w:tcBorders>
          </w:tcPr>
          <w:p>
            <w:pPr>
              <w:spacing w:after="0"/>
              <w:rPr>
                <w:sz w:val="3"/>
                <w:szCs w:val="3"/>
                <w:color w:val="auto"/>
              </w:rPr>
            </w:pPr>
          </w:p>
        </w:tc>
      </w:tr>
      <w:tr>
        <w:trPr>
          <w:trHeight w:val="309"/>
        </w:trPr>
        <w:tc>
          <w:tcPr>
            <w:tcW w:w="960" w:type="dxa"/>
            <w:vAlign w:val="bottom"/>
            <w:gridSpan w:val="2"/>
          </w:tcPr>
          <w:p>
            <w:pPr>
              <w:spacing w:after="0"/>
              <w:rPr>
                <w:sz w:val="20"/>
                <w:szCs w:val="20"/>
                <w:color w:val="auto"/>
              </w:rPr>
            </w:pPr>
            <w:r>
              <w:rPr>
                <w:rFonts w:ascii="Arial" w:cs="Arial" w:eastAsia="Arial" w:hAnsi="Arial"/>
                <w:sz w:val="16"/>
                <w:szCs w:val="16"/>
                <w:b w:val="1"/>
                <w:bCs w:val="1"/>
                <w:color w:val="231F20"/>
              </w:rPr>
              <w:t>OUTDOORS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1"/>
        </w:trPr>
        <w:tc>
          <w:tcPr>
            <w:tcW w:w="3040" w:type="dxa"/>
            <w:vAlign w:val="bottom"/>
            <w:gridSpan w:val="5"/>
          </w:tcPr>
          <w:p>
            <w:pPr>
              <w:spacing w:after="0"/>
              <w:rPr>
                <w:sz w:val="20"/>
                <w:szCs w:val="20"/>
                <w:color w:val="auto"/>
              </w:rPr>
            </w:pPr>
            <w:r>
              <w:rPr>
                <w:rFonts w:ascii="Arial" w:cs="Arial" w:eastAsia="Arial" w:hAnsi="Arial"/>
                <w:sz w:val="16"/>
                <w:szCs w:val="16"/>
                <w:b w:val="1"/>
                <w:bCs w:val="1"/>
                <w:color w:val="231F20"/>
              </w:rPr>
              <w:t>Operating income (GAAP)</w:t>
            </w:r>
          </w:p>
        </w:tc>
        <w:tc>
          <w:tcPr>
            <w:tcW w:w="2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$133.5</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$194.2</w:t>
            </w:r>
          </w:p>
        </w:tc>
        <w:tc>
          <w:tcPr>
            <w:tcW w:w="1060" w:type="dxa"/>
            <w:vAlign w:val="bottom"/>
          </w:tcPr>
          <w:p>
            <w:pPr>
              <w:jc w:val="right"/>
              <w:spacing w:after="0"/>
              <w:rPr>
                <w:sz w:val="20"/>
                <w:szCs w:val="20"/>
                <w:color w:val="auto"/>
              </w:rPr>
            </w:pPr>
            <w:r>
              <w:rPr>
                <w:rFonts w:ascii="Arial" w:cs="Arial" w:eastAsia="Arial" w:hAnsi="Arial"/>
                <w:sz w:val="16"/>
                <w:szCs w:val="16"/>
                <w:color w:val="231F20"/>
              </w:rPr>
              <w:t>(31)</w:t>
            </w:r>
          </w:p>
        </w:tc>
      </w:tr>
      <w:tr>
        <w:trPr>
          <w:trHeight w:val="212"/>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Restructur n  charges</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231F20"/>
              </w:rPr>
              <w:t>4.3</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24.5</w:t>
            </w:r>
          </w:p>
        </w:tc>
        <w:tc>
          <w:tcPr>
            <w:tcW w:w="1060" w:type="dxa"/>
            <w:vAlign w:val="bottom"/>
          </w:tcPr>
          <w:p>
            <w:pPr>
              <w:jc w:val="right"/>
              <w:spacing w:after="0"/>
              <w:rPr>
                <w:sz w:val="20"/>
                <w:szCs w:val="20"/>
                <w:color w:val="auto"/>
              </w:rPr>
            </w:pPr>
            <w:r>
              <w:rPr>
                <w:rFonts w:ascii="Arial" w:cs="Arial" w:eastAsia="Arial" w:hAnsi="Arial"/>
                <w:sz w:val="16"/>
                <w:szCs w:val="16"/>
                <w:color w:val="231F20"/>
              </w:rPr>
              <w:t>(82)</w:t>
            </w:r>
          </w:p>
        </w:tc>
      </w:tr>
      <w:tr>
        <w:trPr>
          <w:trHeight w:val="212"/>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Other charges/(gains)</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720" w:type="dxa"/>
            <w:vAlign w:val="bottom"/>
          </w:tcPr>
          <w:p>
            <w:pPr>
              <w:ind w:left="360"/>
              <w:spacing w:after="0"/>
              <w:rPr>
                <w:sz w:val="20"/>
                <w:szCs w:val="20"/>
                <w:color w:val="auto"/>
              </w:rPr>
            </w:pPr>
            <w:r>
              <w:rPr>
                <w:rFonts w:ascii="Arial" w:cs="Arial" w:eastAsia="Arial" w:hAnsi="Arial"/>
                <w:sz w:val="16"/>
                <w:szCs w:val="16"/>
                <w:color w:val="231F20"/>
              </w:rPr>
              <w:t>Cost</w:t>
            </w:r>
          </w:p>
        </w:tc>
        <w:tc>
          <w:tcPr>
            <w:tcW w:w="240" w:type="dxa"/>
            <w:vAlign w:val="bottom"/>
          </w:tcPr>
          <w:p>
            <w:pPr>
              <w:jc w:val="center"/>
              <w:spacing w:after="0"/>
              <w:rPr>
                <w:sz w:val="20"/>
                <w:szCs w:val="20"/>
                <w:color w:val="auto"/>
              </w:rPr>
            </w:pPr>
            <w:r>
              <w:rPr>
                <w:rFonts w:ascii="Arial" w:cs="Arial" w:eastAsia="Arial" w:hAnsi="Arial"/>
                <w:sz w:val="16"/>
                <w:szCs w:val="16"/>
                <w:color w:val="231F20"/>
                <w:w w:val="89"/>
              </w:rPr>
              <w:t>of</w:t>
            </w:r>
          </w:p>
        </w:tc>
        <w:tc>
          <w:tcPr>
            <w:tcW w:w="2080" w:type="dxa"/>
            <w:vAlign w:val="bottom"/>
            <w:gridSpan w:val="3"/>
          </w:tcPr>
          <w:p>
            <w:pPr>
              <w:jc w:val="center"/>
              <w:ind w:right="1050"/>
              <w:spacing w:after="0"/>
              <w:rPr>
                <w:sz w:val="20"/>
                <w:szCs w:val="20"/>
                <w:color w:val="auto"/>
              </w:rPr>
            </w:pPr>
            <w:r>
              <w:rPr>
                <w:rFonts w:ascii="Arial" w:cs="Arial" w:eastAsia="Arial" w:hAnsi="Arial"/>
                <w:sz w:val="16"/>
                <w:szCs w:val="16"/>
                <w:color w:val="231F20"/>
              </w:rPr>
              <w:t>roducts so d</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231F20"/>
              </w:rPr>
              <w:t>(0.1)</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(5.4)</w:t>
            </w:r>
          </w:p>
        </w:tc>
        <w:tc>
          <w:tcPr>
            <w:tcW w:w="1060" w:type="dxa"/>
            <w:vAlign w:val="bottom"/>
          </w:tcPr>
          <w:p>
            <w:pPr>
              <w:jc w:val="right"/>
              <w:spacing w:after="0"/>
              <w:rPr>
                <w:sz w:val="20"/>
                <w:szCs w:val="20"/>
                <w:color w:val="auto"/>
              </w:rPr>
            </w:pPr>
            <w:r>
              <w:rPr>
                <w:rFonts w:ascii="Arial" w:cs="Arial" w:eastAsia="Arial" w:hAnsi="Arial"/>
                <w:sz w:val="16"/>
                <w:szCs w:val="16"/>
                <w:color w:val="231F20"/>
              </w:rPr>
              <w:t>(98)</w:t>
            </w:r>
          </w:p>
        </w:tc>
      </w:tr>
      <w:tr>
        <w:trPr>
          <w:trHeight w:val="213"/>
        </w:trPr>
        <w:tc>
          <w:tcPr>
            <w:tcW w:w="720" w:type="dxa"/>
            <w:vAlign w:val="bottom"/>
          </w:tcPr>
          <w:p>
            <w:pPr>
              <w:ind w:left="360"/>
              <w:spacing w:after="0"/>
              <w:rPr>
                <w:sz w:val="20"/>
                <w:szCs w:val="20"/>
                <w:color w:val="auto"/>
              </w:rPr>
            </w:pPr>
            <w:r>
              <w:rPr>
                <w:rFonts w:ascii="Arial" w:cs="Arial" w:eastAsia="Arial" w:hAnsi="Arial"/>
                <w:sz w:val="16"/>
                <w:szCs w:val="16"/>
                <w:color w:val="231F20"/>
                <w:w w:val="86"/>
              </w:rPr>
              <w:t>Sellin</w:t>
            </w:r>
          </w:p>
        </w:tc>
        <w:tc>
          <w:tcPr>
            <w:tcW w:w="240" w:type="dxa"/>
            <w:vAlign w:val="bottom"/>
          </w:tcPr>
          <w:p>
            <w:pPr>
              <w:jc w:val="center"/>
              <w:spacing w:after="0"/>
              <w:rPr>
                <w:sz w:val="20"/>
                <w:szCs w:val="20"/>
                <w:color w:val="auto"/>
              </w:rPr>
            </w:pPr>
            <w:r>
              <w:rPr>
                <w:rFonts w:ascii="Arial" w:cs="Arial" w:eastAsia="Arial" w:hAnsi="Arial"/>
                <w:sz w:val="16"/>
                <w:szCs w:val="16"/>
                <w:color w:val="231F20"/>
                <w:w w:val="88"/>
              </w:rPr>
              <w:t>,</w:t>
            </w:r>
          </w:p>
        </w:tc>
        <w:tc>
          <w:tcPr>
            <w:tcW w:w="580" w:type="dxa"/>
            <w:vAlign w:val="bottom"/>
            <w:gridSpan w:val="2"/>
          </w:tcPr>
          <w:p>
            <w:pPr>
              <w:spacing w:after="0"/>
              <w:rPr>
                <w:sz w:val="20"/>
                <w:szCs w:val="20"/>
                <w:color w:val="auto"/>
              </w:rPr>
            </w:pPr>
            <w:r>
              <w:rPr>
                <w:rFonts w:ascii="Arial" w:cs="Arial" w:eastAsia="Arial" w:hAnsi="Arial"/>
                <w:sz w:val="16"/>
                <w:szCs w:val="16"/>
                <w:color w:val="231F20"/>
                <w:w w:val="96"/>
              </w:rPr>
              <w:t>eneral a</w:t>
            </w:r>
          </w:p>
        </w:tc>
        <w:tc>
          <w:tcPr>
            <w:tcW w:w="1500" w:type="dxa"/>
            <w:vAlign w:val="bottom"/>
          </w:tcPr>
          <w:p>
            <w:pPr>
              <w:ind w:left="40"/>
              <w:spacing w:after="0"/>
              <w:rPr>
                <w:sz w:val="20"/>
                <w:szCs w:val="20"/>
                <w:color w:val="auto"/>
              </w:rPr>
            </w:pPr>
            <w:r>
              <w:rPr>
                <w:rFonts w:ascii="Arial" w:cs="Arial" w:eastAsia="Arial" w:hAnsi="Arial"/>
                <w:sz w:val="16"/>
                <w:szCs w:val="16"/>
                <w:color w:val="231F20"/>
                <w:w w:val="94"/>
              </w:rPr>
              <w:t>d adm nistrat ve expe</w:t>
            </w:r>
          </w:p>
        </w:tc>
        <w:tc>
          <w:tcPr>
            <w:tcW w:w="2860" w:type="dxa"/>
            <w:vAlign w:val="bottom"/>
            <w:gridSpan w:val="2"/>
          </w:tcPr>
          <w:p>
            <w:pPr>
              <w:ind w:left="40"/>
              <w:spacing w:after="0"/>
              <w:rPr>
                <w:sz w:val="20"/>
                <w:szCs w:val="20"/>
                <w:color w:val="auto"/>
              </w:rPr>
            </w:pPr>
            <w:r>
              <w:rPr>
                <w:rFonts w:ascii="Arial" w:cs="Arial" w:eastAsia="Arial" w:hAnsi="Arial"/>
                <w:sz w:val="16"/>
                <w:szCs w:val="16"/>
                <w:color w:val="231F20"/>
              </w:rPr>
              <w:t>se</w:t>
            </w: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0.1</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0.2</w:t>
            </w:r>
          </w:p>
        </w:tc>
        <w:tc>
          <w:tcPr>
            <w:tcW w:w="1060" w:type="dxa"/>
            <w:vAlign w:val="bottom"/>
          </w:tcPr>
          <w:p>
            <w:pPr>
              <w:jc w:val="right"/>
              <w:spacing w:after="0"/>
              <w:rPr>
                <w:sz w:val="20"/>
                <w:szCs w:val="20"/>
                <w:color w:val="auto"/>
              </w:rPr>
            </w:pPr>
            <w:r>
              <w:rPr>
                <w:rFonts w:ascii="Arial" w:cs="Arial" w:eastAsia="Arial" w:hAnsi="Arial"/>
                <w:sz w:val="16"/>
                <w:szCs w:val="16"/>
                <w:color w:val="231F20"/>
              </w:rPr>
              <w:t>(50)</w:t>
            </w:r>
          </w:p>
        </w:tc>
      </w:tr>
      <w:tr>
        <w:trPr>
          <w:trHeight w:val="212"/>
        </w:trPr>
        <w:tc>
          <w:tcPr>
            <w:tcW w:w="1540" w:type="dxa"/>
            <w:vAlign w:val="bottom"/>
            <w:gridSpan w:val="4"/>
          </w:tcPr>
          <w:p>
            <w:pPr>
              <w:ind w:left="180"/>
              <w:spacing w:after="0"/>
              <w:rPr>
                <w:sz w:val="20"/>
                <w:szCs w:val="20"/>
                <w:color w:val="auto"/>
              </w:rPr>
            </w:pPr>
            <w:r>
              <w:rPr>
                <w:rFonts w:ascii="Arial" w:cs="Arial" w:eastAsia="Arial" w:hAnsi="Arial"/>
                <w:sz w:val="16"/>
                <w:szCs w:val="16"/>
                <w:color w:val="231F20"/>
              </w:rPr>
              <w:t>Solar compensatio</w:t>
            </w:r>
          </w:p>
        </w:tc>
        <w:tc>
          <w:tcPr>
            <w:tcW w:w="1500" w:type="dxa"/>
            <w:vAlign w:val="bottom"/>
          </w:tcPr>
          <w:p>
            <w:pPr>
              <w:ind w:left="100"/>
              <w:spacing w:after="0"/>
              <w:rPr>
                <w:sz w:val="20"/>
                <w:szCs w:val="20"/>
                <w:color w:val="auto"/>
              </w:rPr>
            </w:pPr>
            <w:r>
              <w:rPr>
                <w:rFonts w:ascii="Arial" w:cs="Arial" w:eastAsia="Arial" w:hAnsi="Arial"/>
                <w:sz w:val="9"/>
                <w:szCs w:val="9"/>
                <w:color w:val="231F20"/>
              </w:rPr>
              <w:t>(e)</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2.7</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2.1</w:t>
            </w:r>
          </w:p>
        </w:tc>
        <w:tc>
          <w:tcPr>
            <w:tcW w:w="1060" w:type="dxa"/>
            <w:vAlign w:val="bottom"/>
          </w:tcPr>
          <w:p>
            <w:pPr>
              <w:jc w:val="right"/>
              <w:spacing w:after="0"/>
              <w:rPr>
                <w:sz w:val="20"/>
                <w:szCs w:val="20"/>
                <w:color w:val="auto"/>
              </w:rPr>
            </w:pPr>
            <w:r>
              <w:rPr>
                <w:rFonts w:ascii="Arial" w:cs="Arial" w:eastAsia="Arial" w:hAnsi="Arial"/>
                <w:sz w:val="16"/>
                <w:szCs w:val="16"/>
                <w:color w:val="231F20"/>
              </w:rPr>
              <w:t>29</w:t>
            </w:r>
          </w:p>
        </w:tc>
      </w:tr>
      <w:tr>
        <w:trPr>
          <w:trHeight w:val="212"/>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 xml:space="preserve">Asset impairment charges </w:t>
            </w:r>
            <w:r>
              <w:rPr>
                <w:rFonts w:ascii="Arial" w:cs="Arial" w:eastAsia="Arial" w:hAnsi="Arial"/>
                <w:sz w:val="9"/>
                <w:szCs w:val="9"/>
                <w:color w:val="231F20"/>
              </w:rPr>
              <w:t>(g)</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33.5</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w:t>
            </w:r>
          </w:p>
        </w:tc>
        <w:tc>
          <w:tcPr>
            <w:tcW w:w="1060" w:type="dxa"/>
            <w:vAlign w:val="bottom"/>
          </w:tcPr>
          <w:p>
            <w:pPr>
              <w:jc w:val="right"/>
              <w:spacing w:after="0"/>
              <w:rPr>
                <w:sz w:val="20"/>
                <w:szCs w:val="20"/>
                <w:color w:val="auto"/>
              </w:rPr>
            </w:pPr>
            <w:r>
              <w:rPr>
                <w:rFonts w:ascii="Arial" w:cs="Arial" w:eastAsia="Arial" w:hAnsi="Arial"/>
                <w:sz w:val="16"/>
                <w:szCs w:val="16"/>
                <w:color w:val="231F20"/>
              </w:rPr>
              <w:t>NM</w:t>
            </w:r>
          </w:p>
        </w:tc>
      </w:tr>
      <w:tr>
        <w:trPr>
          <w:trHeight w:val="22"/>
        </w:trPr>
        <w:tc>
          <w:tcPr>
            <w:tcW w:w="5900" w:type="dxa"/>
            <w:vAlign w:val="bottom"/>
            <w:tcBorders>
              <w:bottom w:val="single" w:sz="8" w:color="231F20"/>
            </w:tcBorders>
            <w:gridSpan w:val="7"/>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9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r>
      <w:tr>
        <w:trPr>
          <w:trHeight w:val="223"/>
        </w:trPr>
        <w:tc>
          <w:tcPr>
            <w:tcW w:w="5900" w:type="dxa"/>
            <w:vAlign w:val="bottom"/>
            <w:gridSpan w:val="7"/>
          </w:tcPr>
          <w:p>
            <w:pPr>
              <w:spacing w:after="0"/>
              <w:rPr>
                <w:sz w:val="20"/>
                <w:szCs w:val="20"/>
                <w:color w:val="auto"/>
              </w:rPr>
            </w:pPr>
            <w:r>
              <w:rPr>
                <w:rFonts w:ascii="Arial" w:cs="Arial" w:eastAsia="Arial" w:hAnsi="Arial"/>
                <w:sz w:val="16"/>
                <w:szCs w:val="16"/>
                <w:b w:val="1"/>
                <w:bCs w:val="1"/>
                <w:color w:val="231F20"/>
              </w:rPr>
              <w:t xml:space="preserve">Operating income before charges/gains </w:t>
            </w:r>
            <w:r>
              <w:rPr>
                <w:rFonts w:ascii="Arial" w:cs="Arial" w:eastAsia="Arial" w:hAnsi="Arial"/>
                <w:sz w:val="18"/>
                <w:szCs w:val="18"/>
                <w:b w:val="1"/>
                <w:bCs w:val="1"/>
                <w:color w:val="231F20"/>
                <w:vertAlign w:val="superscript"/>
              </w:rPr>
              <w:t>(a)</w:t>
            </w: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$174.0</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$215.6</w:t>
            </w:r>
          </w:p>
        </w:tc>
        <w:tc>
          <w:tcPr>
            <w:tcW w:w="1060" w:type="dxa"/>
            <w:vAlign w:val="bottom"/>
          </w:tcPr>
          <w:p>
            <w:pPr>
              <w:jc w:val="right"/>
              <w:spacing w:after="0"/>
              <w:rPr>
                <w:sz w:val="20"/>
                <w:szCs w:val="20"/>
                <w:color w:val="auto"/>
              </w:rPr>
            </w:pPr>
            <w:r>
              <w:rPr>
                <w:rFonts w:ascii="Arial" w:cs="Arial" w:eastAsia="Arial" w:hAnsi="Arial"/>
                <w:sz w:val="16"/>
                <w:szCs w:val="16"/>
                <w:color w:val="231F20"/>
              </w:rPr>
              <w:t>(19)</w:t>
            </w:r>
          </w:p>
        </w:tc>
      </w:tr>
      <w:tr>
        <w:trPr>
          <w:trHeight w:val="35"/>
        </w:trPr>
        <w:tc>
          <w:tcPr>
            <w:tcW w:w="960" w:type="dxa"/>
            <w:vAlign w:val="bottom"/>
            <w:tcBorders>
              <w:bottom w:val="single" w:sz="8" w:color="231F20"/>
            </w:tcBorders>
            <w:gridSpan w:val="2"/>
          </w:tcPr>
          <w:p>
            <w:pPr>
              <w:spacing w:after="0"/>
              <w:rPr>
                <w:sz w:val="3"/>
                <w:szCs w:val="3"/>
                <w:color w:val="auto"/>
              </w:rPr>
            </w:pPr>
          </w:p>
        </w:tc>
        <w:tc>
          <w:tcPr>
            <w:tcW w:w="460" w:type="dxa"/>
            <w:vAlign w:val="bottom"/>
            <w:tcBorders>
              <w:bottom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1500" w:type="dxa"/>
            <w:vAlign w:val="bottom"/>
            <w:tcBorders>
              <w:bottom w:val="single" w:sz="8" w:color="231F20"/>
            </w:tcBorders>
          </w:tcPr>
          <w:p>
            <w:pPr>
              <w:spacing w:after="0"/>
              <w:rPr>
                <w:sz w:val="3"/>
                <w:szCs w:val="3"/>
                <w:color w:val="auto"/>
              </w:rPr>
            </w:pPr>
          </w:p>
        </w:tc>
        <w:tc>
          <w:tcPr>
            <w:tcW w:w="204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1320" w:type="dxa"/>
            <w:vAlign w:val="bottom"/>
            <w:tcBorders>
              <w:bottom w:val="single" w:sz="8" w:color="231F20"/>
            </w:tcBorders>
          </w:tcPr>
          <w:p>
            <w:pPr>
              <w:spacing w:after="0"/>
              <w:rPr>
                <w:sz w:val="3"/>
                <w:szCs w:val="3"/>
                <w:color w:val="auto"/>
              </w:rPr>
            </w:pPr>
          </w:p>
        </w:tc>
        <w:tc>
          <w:tcPr>
            <w:tcW w:w="1960" w:type="dxa"/>
            <w:vAlign w:val="bottom"/>
            <w:tcBorders>
              <w:bottom w:val="single" w:sz="8" w:color="231F20"/>
            </w:tcBorders>
          </w:tcPr>
          <w:p>
            <w:pPr>
              <w:spacing w:after="0"/>
              <w:rPr>
                <w:sz w:val="3"/>
                <w:szCs w:val="3"/>
                <w:color w:val="auto"/>
              </w:rPr>
            </w:pPr>
          </w:p>
        </w:tc>
        <w:tc>
          <w:tcPr>
            <w:tcW w:w="1060" w:type="dxa"/>
            <w:vAlign w:val="bottom"/>
            <w:tcBorders>
              <w:bottom w:val="single" w:sz="8" w:color="231F20"/>
            </w:tcBorders>
          </w:tcPr>
          <w:p>
            <w:pPr>
              <w:spacing w:after="0"/>
              <w:rPr>
                <w:sz w:val="3"/>
                <w:szCs w:val="3"/>
                <w:color w:val="auto"/>
              </w:rPr>
            </w:pPr>
          </w:p>
        </w:tc>
      </w:tr>
      <w:tr>
        <w:trPr>
          <w:trHeight w:val="331"/>
        </w:trPr>
        <w:tc>
          <w:tcPr>
            <w:tcW w:w="960" w:type="dxa"/>
            <w:vAlign w:val="bottom"/>
            <w:gridSpan w:val="2"/>
          </w:tcPr>
          <w:p>
            <w:pPr>
              <w:spacing w:after="0"/>
              <w:rPr>
                <w:sz w:val="20"/>
                <w:szCs w:val="20"/>
                <w:color w:val="auto"/>
              </w:rPr>
            </w:pPr>
            <w:r>
              <w:rPr>
                <w:rFonts w:ascii="Arial" w:cs="Arial" w:eastAsia="Arial" w:hAnsi="Arial"/>
                <w:sz w:val="16"/>
                <w:szCs w:val="16"/>
                <w:b w:val="1"/>
                <w:bCs w:val="1"/>
                <w:color w:val="231F20"/>
              </w:rPr>
              <w:t>SECURITY</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8"/>
        </w:trPr>
        <w:tc>
          <w:tcPr>
            <w:tcW w:w="3040" w:type="dxa"/>
            <w:vAlign w:val="bottom"/>
            <w:gridSpan w:val="5"/>
          </w:tcPr>
          <w:p>
            <w:pPr>
              <w:spacing w:after="0"/>
              <w:rPr>
                <w:sz w:val="20"/>
                <w:szCs w:val="20"/>
                <w:color w:val="auto"/>
              </w:rPr>
            </w:pPr>
            <w:r>
              <w:rPr>
                <w:rFonts w:ascii="Arial" w:cs="Arial" w:eastAsia="Arial" w:hAnsi="Arial"/>
                <w:sz w:val="16"/>
                <w:szCs w:val="16"/>
                <w:b w:val="1"/>
                <w:bCs w:val="1"/>
                <w:color w:val="231F20"/>
              </w:rPr>
              <w:t>Operating income (GAAP)</w:t>
            </w:r>
          </w:p>
        </w:tc>
        <w:tc>
          <w:tcPr>
            <w:tcW w:w="2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$62.4</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$95.4</w:t>
            </w:r>
          </w:p>
        </w:tc>
        <w:tc>
          <w:tcPr>
            <w:tcW w:w="1060" w:type="dxa"/>
            <w:vAlign w:val="bottom"/>
          </w:tcPr>
          <w:p>
            <w:pPr>
              <w:jc w:val="right"/>
              <w:spacing w:after="0"/>
              <w:rPr>
                <w:sz w:val="20"/>
                <w:szCs w:val="20"/>
                <w:color w:val="auto"/>
              </w:rPr>
            </w:pPr>
            <w:r>
              <w:rPr>
                <w:rFonts w:ascii="Arial" w:cs="Arial" w:eastAsia="Arial" w:hAnsi="Arial"/>
                <w:sz w:val="16"/>
                <w:szCs w:val="16"/>
                <w:color w:val="231F20"/>
              </w:rPr>
              <w:t>(35)</w:t>
            </w:r>
          </w:p>
        </w:tc>
      </w:tr>
      <w:tr>
        <w:trPr>
          <w:trHeight w:val="190"/>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Restructur n  charges</w:t>
            </w:r>
          </w:p>
        </w:tc>
        <w:tc>
          <w:tcPr>
            <w:tcW w:w="2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25.3</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0.6</w:t>
            </w:r>
          </w:p>
        </w:tc>
        <w:tc>
          <w:tcPr>
            <w:tcW w:w="1060" w:type="dxa"/>
            <w:vAlign w:val="bottom"/>
          </w:tcPr>
          <w:p>
            <w:pPr>
              <w:jc w:val="right"/>
              <w:spacing w:after="0"/>
              <w:rPr>
                <w:sz w:val="20"/>
                <w:szCs w:val="20"/>
                <w:color w:val="auto"/>
              </w:rPr>
            </w:pPr>
            <w:r>
              <w:rPr>
                <w:rFonts w:ascii="Arial" w:cs="Arial" w:eastAsia="Arial" w:hAnsi="Arial"/>
                <w:sz w:val="16"/>
                <w:szCs w:val="16"/>
                <w:color w:val="231F20"/>
              </w:rPr>
              <w:t>4,117</w:t>
            </w:r>
          </w:p>
        </w:tc>
      </w:tr>
      <w:tr>
        <w:trPr>
          <w:trHeight w:val="212"/>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Other charges/(gains)</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960" w:type="dxa"/>
            <w:vAlign w:val="bottom"/>
            <w:gridSpan w:val="2"/>
          </w:tcPr>
          <w:p>
            <w:pPr>
              <w:ind w:left="360"/>
              <w:spacing w:after="0"/>
              <w:rPr>
                <w:sz w:val="20"/>
                <w:szCs w:val="20"/>
                <w:color w:val="auto"/>
              </w:rPr>
            </w:pPr>
            <w:r>
              <w:rPr>
                <w:rFonts w:ascii="Arial" w:cs="Arial" w:eastAsia="Arial" w:hAnsi="Arial"/>
                <w:sz w:val="16"/>
                <w:szCs w:val="16"/>
                <w:color w:val="231F20"/>
              </w:rPr>
              <w:t>Cost of</w:t>
            </w:r>
          </w:p>
        </w:tc>
        <w:tc>
          <w:tcPr>
            <w:tcW w:w="2080" w:type="dxa"/>
            <w:vAlign w:val="bottom"/>
            <w:gridSpan w:val="3"/>
          </w:tcPr>
          <w:p>
            <w:pPr>
              <w:jc w:val="center"/>
              <w:ind w:right="1050"/>
              <w:spacing w:after="0"/>
              <w:rPr>
                <w:sz w:val="20"/>
                <w:szCs w:val="20"/>
                <w:color w:val="auto"/>
              </w:rPr>
            </w:pPr>
            <w:r>
              <w:rPr>
                <w:rFonts w:ascii="Arial" w:cs="Arial" w:eastAsia="Arial" w:hAnsi="Arial"/>
                <w:sz w:val="16"/>
                <w:szCs w:val="16"/>
                <w:color w:val="231F20"/>
              </w:rPr>
              <w:t>roducts so d</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19.2</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w:t>
            </w:r>
          </w:p>
        </w:tc>
        <w:tc>
          <w:tcPr>
            <w:tcW w:w="1060" w:type="dxa"/>
            <w:vAlign w:val="bottom"/>
          </w:tcPr>
          <w:p>
            <w:pPr>
              <w:jc w:val="right"/>
              <w:spacing w:after="0"/>
              <w:rPr>
                <w:sz w:val="20"/>
                <w:szCs w:val="20"/>
                <w:color w:val="auto"/>
              </w:rPr>
            </w:pPr>
            <w:r>
              <w:rPr>
                <w:rFonts w:ascii="Arial" w:cs="Arial" w:eastAsia="Arial" w:hAnsi="Arial"/>
                <w:sz w:val="16"/>
                <w:szCs w:val="16"/>
                <w:color w:val="231F20"/>
              </w:rPr>
              <w:t>NM</w:t>
            </w:r>
          </w:p>
        </w:tc>
      </w:tr>
      <w:tr>
        <w:trPr>
          <w:trHeight w:val="235"/>
        </w:trPr>
        <w:tc>
          <w:tcPr>
            <w:tcW w:w="3040" w:type="dxa"/>
            <w:vAlign w:val="bottom"/>
            <w:tcBorders>
              <w:bottom w:val="single" w:sz="8" w:color="231F20"/>
            </w:tcBorders>
            <w:gridSpan w:val="5"/>
          </w:tcPr>
          <w:p>
            <w:pPr>
              <w:ind w:left="180"/>
              <w:spacing w:after="0"/>
              <w:rPr>
                <w:sz w:val="20"/>
                <w:szCs w:val="20"/>
                <w:color w:val="auto"/>
              </w:rPr>
            </w:pPr>
            <w:r>
              <w:rPr>
                <w:rFonts w:ascii="Arial" w:cs="Arial" w:eastAsia="Arial" w:hAnsi="Arial"/>
                <w:sz w:val="16"/>
                <w:szCs w:val="16"/>
                <w:color w:val="231F20"/>
              </w:rPr>
              <w:t xml:space="preserve">Amortization of nventory step-up </w:t>
            </w:r>
            <w:r>
              <w:rPr>
                <w:rFonts w:ascii="Arial" w:cs="Arial" w:eastAsia="Arial" w:hAnsi="Arial"/>
                <w:sz w:val="9"/>
                <w:szCs w:val="9"/>
                <w:color w:val="231F20"/>
              </w:rPr>
              <w:t>(</w:t>
            </w:r>
            <w:r>
              <w:rPr>
                <w:rFonts w:ascii="Arial" w:cs="Arial" w:eastAsia="Arial" w:hAnsi="Arial"/>
                <w:sz w:val="18"/>
                <w:szCs w:val="18"/>
                <w:color w:val="231F20"/>
                <w:vertAlign w:val="superscript"/>
              </w:rPr>
              <w:t>f</w:t>
            </w:r>
            <w:r>
              <w:rPr>
                <w:rFonts w:ascii="Arial" w:cs="Arial" w:eastAsia="Arial" w:hAnsi="Arial"/>
                <w:sz w:val="9"/>
                <w:szCs w:val="9"/>
                <w:color w:val="231F20"/>
              </w:rPr>
              <w:t>)</w:t>
            </w:r>
          </w:p>
        </w:tc>
        <w:tc>
          <w:tcPr>
            <w:tcW w:w="204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ind w:right="79"/>
              <w:spacing w:after="0"/>
              <w:rPr>
                <w:sz w:val="20"/>
                <w:szCs w:val="20"/>
                <w:color w:val="auto"/>
              </w:rPr>
            </w:pPr>
            <w:r>
              <w:rPr>
                <w:rFonts w:ascii="Arial" w:cs="Arial" w:eastAsia="Arial" w:hAnsi="Arial"/>
                <w:sz w:val="16"/>
                <w:szCs w:val="16"/>
                <w:color w:val="231F20"/>
              </w:rPr>
              <w:t>8.9</w:t>
            </w:r>
          </w:p>
        </w:tc>
        <w:tc>
          <w:tcPr>
            <w:tcW w:w="1960" w:type="dxa"/>
            <w:vAlign w:val="bottom"/>
            <w:tcBorders>
              <w:bottom w:val="single" w:sz="8" w:color="231F20"/>
            </w:tcBorders>
          </w:tcPr>
          <w:p>
            <w:pPr>
              <w:jc w:val="right"/>
              <w:ind w:right="159"/>
              <w:spacing w:after="0"/>
              <w:rPr>
                <w:sz w:val="20"/>
                <w:szCs w:val="20"/>
                <w:color w:val="auto"/>
              </w:rPr>
            </w:pPr>
            <w:r>
              <w:rPr>
                <w:rFonts w:ascii="Arial" w:cs="Arial" w:eastAsia="Arial" w:hAnsi="Arial"/>
                <w:sz w:val="16"/>
                <w:szCs w:val="16"/>
                <w:color w:val="231F20"/>
              </w:rPr>
              <w:t>–</w:t>
            </w: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N M</w:t>
            </w:r>
          </w:p>
        </w:tc>
      </w:tr>
      <w:tr>
        <w:trPr>
          <w:trHeight w:val="223"/>
        </w:trPr>
        <w:tc>
          <w:tcPr>
            <w:tcW w:w="5900" w:type="dxa"/>
            <w:vAlign w:val="bottom"/>
            <w:gridSpan w:val="7"/>
          </w:tcPr>
          <w:p>
            <w:pPr>
              <w:spacing w:after="0"/>
              <w:rPr>
                <w:sz w:val="20"/>
                <w:szCs w:val="20"/>
                <w:color w:val="auto"/>
              </w:rPr>
            </w:pPr>
            <w:r>
              <w:rPr>
                <w:rFonts w:ascii="Arial" w:cs="Arial" w:eastAsia="Arial" w:hAnsi="Arial"/>
                <w:sz w:val="16"/>
                <w:szCs w:val="16"/>
                <w:b w:val="1"/>
                <w:bCs w:val="1"/>
                <w:color w:val="231F20"/>
              </w:rPr>
              <w:t xml:space="preserve">Operating income before charges/gains </w:t>
            </w:r>
            <w:r>
              <w:rPr>
                <w:rFonts w:ascii="Arial" w:cs="Arial" w:eastAsia="Arial" w:hAnsi="Arial"/>
                <w:sz w:val="18"/>
                <w:szCs w:val="18"/>
                <w:b w:val="1"/>
                <w:bCs w:val="1"/>
                <w:color w:val="231F20"/>
                <w:vertAlign w:val="superscript"/>
              </w:rPr>
              <w:t>(a)</w:t>
            </w: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$115.8</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$96.0</w:t>
            </w:r>
          </w:p>
        </w:tc>
        <w:tc>
          <w:tcPr>
            <w:tcW w:w="1060" w:type="dxa"/>
            <w:vAlign w:val="bottom"/>
          </w:tcPr>
          <w:p>
            <w:pPr>
              <w:jc w:val="right"/>
              <w:spacing w:after="0"/>
              <w:rPr>
                <w:sz w:val="20"/>
                <w:szCs w:val="20"/>
                <w:color w:val="auto"/>
              </w:rPr>
            </w:pPr>
            <w:r>
              <w:rPr>
                <w:rFonts w:ascii="Arial" w:cs="Arial" w:eastAsia="Arial" w:hAnsi="Arial"/>
                <w:sz w:val="16"/>
                <w:szCs w:val="16"/>
                <w:color w:val="231F20"/>
              </w:rPr>
              <w:t>21</w:t>
            </w:r>
          </w:p>
        </w:tc>
      </w:tr>
      <w:tr>
        <w:trPr>
          <w:trHeight w:val="35"/>
        </w:trPr>
        <w:tc>
          <w:tcPr>
            <w:tcW w:w="1420" w:type="dxa"/>
            <w:vAlign w:val="bottom"/>
            <w:tcBorders>
              <w:bottom w:val="single" w:sz="8" w:color="231F20"/>
            </w:tcBorders>
            <w:gridSpan w:val="3"/>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1500" w:type="dxa"/>
            <w:vAlign w:val="bottom"/>
            <w:tcBorders>
              <w:bottom w:val="single" w:sz="8" w:color="231F20"/>
            </w:tcBorders>
          </w:tcPr>
          <w:p>
            <w:pPr>
              <w:spacing w:after="0"/>
              <w:rPr>
                <w:sz w:val="3"/>
                <w:szCs w:val="3"/>
                <w:color w:val="auto"/>
              </w:rPr>
            </w:pPr>
          </w:p>
        </w:tc>
        <w:tc>
          <w:tcPr>
            <w:tcW w:w="204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1320" w:type="dxa"/>
            <w:vAlign w:val="bottom"/>
            <w:tcBorders>
              <w:bottom w:val="single" w:sz="8" w:color="231F20"/>
            </w:tcBorders>
          </w:tcPr>
          <w:p>
            <w:pPr>
              <w:spacing w:after="0"/>
              <w:rPr>
                <w:sz w:val="3"/>
                <w:szCs w:val="3"/>
                <w:color w:val="auto"/>
              </w:rPr>
            </w:pPr>
          </w:p>
        </w:tc>
        <w:tc>
          <w:tcPr>
            <w:tcW w:w="1960" w:type="dxa"/>
            <w:vAlign w:val="bottom"/>
            <w:tcBorders>
              <w:bottom w:val="single" w:sz="8" w:color="231F20"/>
            </w:tcBorders>
          </w:tcPr>
          <w:p>
            <w:pPr>
              <w:spacing w:after="0"/>
              <w:rPr>
                <w:sz w:val="3"/>
                <w:szCs w:val="3"/>
                <w:color w:val="auto"/>
              </w:rPr>
            </w:pPr>
          </w:p>
        </w:tc>
        <w:tc>
          <w:tcPr>
            <w:tcW w:w="1060" w:type="dxa"/>
            <w:vAlign w:val="bottom"/>
            <w:tcBorders>
              <w:bottom w:val="single" w:sz="8" w:color="231F20"/>
            </w:tcBorders>
          </w:tcPr>
          <w:p>
            <w:pPr>
              <w:spacing w:after="0"/>
              <w:rPr>
                <w:sz w:val="3"/>
                <w:szCs w:val="3"/>
                <w:color w:val="auto"/>
              </w:rPr>
            </w:pPr>
          </w:p>
        </w:tc>
      </w:tr>
      <w:tr>
        <w:trPr>
          <w:trHeight w:val="309"/>
        </w:trPr>
        <w:tc>
          <w:tcPr>
            <w:tcW w:w="1420" w:type="dxa"/>
            <w:vAlign w:val="bottom"/>
            <w:gridSpan w:val="3"/>
          </w:tcPr>
          <w:p>
            <w:pPr>
              <w:spacing w:after="0"/>
              <w:rPr>
                <w:sz w:val="20"/>
                <w:szCs w:val="20"/>
                <w:color w:val="auto"/>
              </w:rPr>
            </w:pPr>
            <w:r>
              <w:rPr>
                <w:rFonts w:ascii="Arial" w:cs="Arial" w:eastAsia="Arial" w:hAnsi="Arial"/>
                <w:sz w:val="16"/>
                <w:szCs w:val="16"/>
                <w:b w:val="1"/>
                <w:bCs w:val="1"/>
                <w:color w:val="231F20"/>
              </w:rPr>
              <w:t>CORPORATE</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7"/>
        </w:trPr>
        <w:tc>
          <w:tcPr>
            <w:tcW w:w="3040" w:type="dxa"/>
            <w:vAlign w:val="bottom"/>
            <w:gridSpan w:val="5"/>
          </w:tcPr>
          <w:p>
            <w:pPr>
              <w:spacing w:after="0"/>
              <w:rPr>
                <w:sz w:val="20"/>
                <w:szCs w:val="20"/>
                <w:color w:val="auto"/>
              </w:rPr>
            </w:pPr>
            <w:r>
              <w:rPr>
                <w:rFonts w:ascii="Arial" w:cs="Arial" w:eastAsia="Arial" w:hAnsi="Arial"/>
                <w:sz w:val="16"/>
                <w:szCs w:val="16"/>
                <w:b w:val="1"/>
                <w:bCs w:val="1"/>
                <w:color w:val="231F20"/>
              </w:rPr>
              <w:t>Corporate expenses (GAAP)</w:t>
            </w:r>
          </w:p>
        </w:tc>
        <w:tc>
          <w:tcPr>
            <w:tcW w:w="2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231F20"/>
              </w:rPr>
              <w:t>$(155.3)</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$(129.9)</w:t>
            </w:r>
          </w:p>
        </w:tc>
        <w:tc>
          <w:tcPr>
            <w:tcW w:w="1060" w:type="dxa"/>
            <w:vAlign w:val="bottom"/>
          </w:tcPr>
          <w:p>
            <w:pPr>
              <w:jc w:val="right"/>
              <w:spacing w:after="0"/>
              <w:rPr>
                <w:sz w:val="20"/>
                <w:szCs w:val="20"/>
                <w:color w:val="auto"/>
              </w:rPr>
            </w:pPr>
            <w:r>
              <w:rPr>
                <w:rFonts w:ascii="Arial" w:cs="Arial" w:eastAsia="Arial" w:hAnsi="Arial"/>
                <w:sz w:val="16"/>
                <w:szCs w:val="16"/>
                <w:color w:val="231F20"/>
              </w:rPr>
              <w:t>20</w:t>
            </w:r>
          </w:p>
        </w:tc>
      </w:tr>
      <w:tr>
        <w:trPr>
          <w:trHeight w:val="212"/>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Restructur n  charges</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0.7</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1.0</w:t>
            </w:r>
          </w:p>
        </w:tc>
        <w:tc>
          <w:tcPr>
            <w:tcW w:w="1060" w:type="dxa"/>
            <w:vAlign w:val="bottom"/>
          </w:tcPr>
          <w:p>
            <w:pPr>
              <w:jc w:val="right"/>
              <w:spacing w:after="0"/>
              <w:rPr>
                <w:sz w:val="20"/>
                <w:szCs w:val="20"/>
                <w:color w:val="auto"/>
              </w:rPr>
            </w:pPr>
            <w:r>
              <w:rPr>
                <w:rFonts w:ascii="Arial" w:cs="Arial" w:eastAsia="Arial" w:hAnsi="Arial"/>
                <w:sz w:val="16"/>
                <w:szCs w:val="16"/>
                <w:color w:val="231F20"/>
              </w:rPr>
              <w:t>(30)</w:t>
            </w:r>
          </w:p>
        </w:tc>
      </w:tr>
      <w:tr>
        <w:trPr>
          <w:trHeight w:val="212"/>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Other charges/(gains)</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3"/>
        </w:trPr>
        <w:tc>
          <w:tcPr>
            <w:tcW w:w="1420" w:type="dxa"/>
            <w:vAlign w:val="bottom"/>
            <w:gridSpan w:val="3"/>
          </w:tcPr>
          <w:p>
            <w:pPr>
              <w:ind w:left="360"/>
              <w:spacing w:after="0"/>
              <w:rPr>
                <w:sz w:val="20"/>
                <w:szCs w:val="20"/>
                <w:color w:val="auto"/>
              </w:rPr>
            </w:pPr>
            <w:r>
              <w:rPr>
                <w:rFonts w:ascii="Arial" w:cs="Arial" w:eastAsia="Arial" w:hAnsi="Arial"/>
                <w:sz w:val="16"/>
                <w:szCs w:val="16"/>
                <w:color w:val="231F20"/>
                <w:w w:val="95"/>
              </w:rPr>
              <w:t>Se l ng, genera</w:t>
            </w:r>
          </w:p>
        </w:tc>
        <w:tc>
          <w:tcPr>
            <w:tcW w:w="120" w:type="dxa"/>
            <w:vAlign w:val="bottom"/>
          </w:tcPr>
          <w:p>
            <w:pPr>
              <w:jc w:val="center"/>
              <w:spacing w:after="0"/>
              <w:rPr>
                <w:sz w:val="20"/>
                <w:szCs w:val="20"/>
                <w:color w:val="auto"/>
              </w:rPr>
            </w:pPr>
            <w:r>
              <w:rPr>
                <w:rFonts w:ascii="Arial" w:cs="Arial" w:eastAsia="Arial" w:hAnsi="Arial"/>
                <w:sz w:val="16"/>
                <w:szCs w:val="16"/>
                <w:color w:val="231F20"/>
                <w:w w:val="89"/>
              </w:rPr>
              <w:t>a</w:t>
            </w:r>
          </w:p>
        </w:tc>
        <w:tc>
          <w:tcPr>
            <w:tcW w:w="1500" w:type="dxa"/>
            <w:vAlign w:val="bottom"/>
          </w:tcPr>
          <w:p>
            <w:pPr>
              <w:ind w:left="40"/>
              <w:spacing w:after="0"/>
              <w:rPr>
                <w:sz w:val="20"/>
                <w:szCs w:val="20"/>
                <w:color w:val="auto"/>
              </w:rPr>
            </w:pPr>
            <w:r>
              <w:rPr>
                <w:rFonts w:ascii="Arial" w:cs="Arial" w:eastAsia="Arial" w:hAnsi="Arial"/>
                <w:sz w:val="16"/>
                <w:szCs w:val="16"/>
                <w:color w:val="231F20"/>
                <w:w w:val="94"/>
              </w:rPr>
              <w:t>d adm nistrat ve expe</w:t>
            </w:r>
          </w:p>
        </w:tc>
        <w:tc>
          <w:tcPr>
            <w:tcW w:w="2860" w:type="dxa"/>
            <w:vAlign w:val="bottom"/>
            <w:gridSpan w:val="2"/>
          </w:tcPr>
          <w:p>
            <w:pPr>
              <w:ind w:left="40"/>
              <w:spacing w:after="0"/>
              <w:rPr>
                <w:sz w:val="20"/>
                <w:szCs w:val="20"/>
                <w:color w:val="auto"/>
              </w:rPr>
            </w:pPr>
            <w:r>
              <w:rPr>
                <w:rFonts w:ascii="Arial" w:cs="Arial" w:eastAsia="Arial" w:hAnsi="Arial"/>
                <w:sz w:val="16"/>
                <w:szCs w:val="16"/>
                <w:color w:val="231F20"/>
              </w:rPr>
              <w:t>se</w:t>
            </w: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0.5</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0.9</w:t>
            </w:r>
          </w:p>
        </w:tc>
        <w:tc>
          <w:tcPr>
            <w:tcW w:w="1060" w:type="dxa"/>
            <w:vAlign w:val="bottom"/>
          </w:tcPr>
          <w:p>
            <w:pPr>
              <w:jc w:val="right"/>
              <w:spacing w:after="0"/>
              <w:rPr>
                <w:sz w:val="20"/>
                <w:szCs w:val="20"/>
                <w:color w:val="auto"/>
              </w:rPr>
            </w:pPr>
            <w:r>
              <w:rPr>
                <w:rFonts w:ascii="Arial" w:cs="Arial" w:eastAsia="Arial" w:hAnsi="Arial"/>
                <w:sz w:val="16"/>
                <w:szCs w:val="16"/>
                <w:color w:val="231F20"/>
              </w:rPr>
              <w:t>(44)</w:t>
            </w:r>
          </w:p>
        </w:tc>
      </w:tr>
      <w:tr>
        <w:trPr>
          <w:trHeight w:val="231"/>
        </w:trPr>
        <w:tc>
          <w:tcPr>
            <w:tcW w:w="1420" w:type="dxa"/>
            <w:vAlign w:val="bottom"/>
            <w:tcBorders>
              <w:bottom w:val="single" w:sz="8" w:color="231F20"/>
            </w:tcBorders>
            <w:gridSpan w:val="3"/>
          </w:tcPr>
          <w:p>
            <w:pPr>
              <w:ind w:left="180"/>
              <w:spacing w:after="0"/>
              <w:rPr>
                <w:sz w:val="20"/>
                <w:szCs w:val="20"/>
                <w:color w:val="auto"/>
              </w:rPr>
            </w:pPr>
            <w:r>
              <w:rPr>
                <w:rFonts w:ascii="Arial" w:cs="Arial" w:eastAsia="Arial" w:hAnsi="Arial"/>
                <w:sz w:val="16"/>
                <w:szCs w:val="16"/>
                <w:color w:val="231F20"/>
              </w:rPr>
              <w:t>ASSA transactio</w:t>
            </w:r>
          </w:p>
        </w:tc>
        <w:tc>
          <w:tcPr>
            <w:tcW w:w="1620" w:type="dxa"/>
            <w:vAlign w:val="bottom"/>
            <w:tcBorders>
              <w:bottom w:val="single" w:sz="8" w:color="231F20"/>
            </w:tcBorders>
            <w:gridSpan w:val="2"/>
          </w:tcPr>
          <w:p>
            <w:pPr>
              <w:ind w:left="40"/>
              <w:spacing w:after="0"/>
              <w:rPr>
                <w:sz w:val="20"/>
                <w:szCs w:val="20"/>
                <w:color w:val="auto"/>
              </w:rPr>
            </w:pPr>
            <w:r>
              <w:rPr>
                <w:rFonts w:ascii="Arial" w:cs="Arial" w:eastAsia="Arial" w:hAnsi="Arial"/>
                <w:sz w:val="16"/>
                <w:szCs w:val="16"/>
                <w:color w:val="231F20"/>
              </w:rPr>
              <w:t xml:space="preserve">expenses </w:t>
            </w:r>
            <w:r>
              <w:rPr>
                <w:rFonts w:ascii="Arial" w:cs="Arial" w:eastAsia="Arial" w:hAnsi="Arial"/>
                <w:sz w:val="18"/>
                <w:szCs w:val="18"/>
                <w:color w:val="231F20"/>
                <w:vertAlign w:val="superscript"/>
              </w:rPr>
              <w:t>(d)</w:t>
            </w:r>
          </w:p>
        </w:tc>
        <w:tc>
          <w:tcPr>
            <w:tcW w:w="204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ind w:right="79"/>
              <w:spacing w:after="0"/>
              <w:rPr>
                <w:sz w:val="20"/>
                <w:szCs w:val="20"/>
                <w:color w:val="auto"/>
              </w:rPr>
            </w:pPr>
            <w:r>
              <w:rPr>
                <w:rFonts w:ascii="Arial" w:cs="Arial" w:eastAsia="Arial" w:hAnsi="Arial"/>
                <w:sz w:val="16"/>
                <w:szCs w:val="16"/>
                <w:color w:val="231F20"/>
              </w:rPr>
              <w:t>19.7</w:t>
            </w:r>
          </w:p>
        </w:tc>
        <w:tc>
          <w:tcPr>
            <w:tcW w:w="1960" w:type="dxa"/>
            <w:vAlign w:val="bottom"/>
            <w:tcBorders>
              <w:bottom w:val="single" w:sz="8" w:color="231F20"/>
            </w:tcBorders>
          </w:tcPr>
          <w:p>
            <w:pPr>
              <w:jc w:val="right"/>
              <w:ind w:right="159"/>
              <w:spacing w:after="0"/>
              <w:rPr>
                <w:sz w:val="20"/>
                <w:szCs w:val="20"/>
                <w:color w:val="auto"/>
              </w:rPr>
            </w:pPr>
            <w:r>
              <w:rPr>
                <w:rFonts w:ascii="Arial" w:cs="Arial" w:eastAsia="Arial" w:hAnsi="Arial"/>
                <w:sz w:val="16"/>
                <w:szCs w:val="16"/>
                <w:color w:val="231F20"/>
              </w:rPr>
              <w:t>3.3</w:t>
            </w: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497</w:t>
            </w:r>
          </w:p>
        </w:tc>
      </w:tr>
      <w:tr>
        <w:trPr>
          <w:trHeight w:val="223"/>
        </w:trPr>
        <w:tc>
          <w:tcPr>
            <w:tcW w:w="5900" w:type="dxa"/>
            <w:vAlign w:val="bottom"/>
            <w:gridSpan w:val="7"/>
          </w:tcPr>
          <w:p>
            <w:pPr>
              <w:spacing w:after="0"/>
              <w:rPr>
                <w:sz w:val="20"/>
                <w:szCs w:val="20"/>
                <w:color w:val="auto"/>
              </w:rPr>
            </w:pPr>
            <w:r>
              <w:rPr>
                <w:rFonts w:ascii="Arial" w:cs="Arial" w:eastAsia="Arial" w:hAnsi="Arial"/>
                <w:sz w:val="16"/>
                <w:szCs w:val="16"/>
                <w:b w:val="1"/>
                <w:bCs w:val="1"/>
                <w:color w:val="231F20"/>
              </w:rPr>
              <w:t xml:space="preserve">General and administrative expenses before ch arges/gai ns </w:t>
            </w:r>
            <w:r>
              <w:rPr>
                <w:rFonts w:ascii="Arial" w:cs="Arial" w:eastAsia="Arial" w:hAnsi="Arial"/>
                <w:sz w:val="18"/>
                <w:szCs w:val="18"/>
                <w:b w:val="1"/>
                <w:bCs w:val="1"/>
                <w:color w:val="231F20"/>
                <w:vertAlign w:val="superscript"/>
              </w:rPr>
              <w:t>(a)</w:t>
            </w: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$(134.4)</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$(124.7)</w:t>
            </w:r>
          </w:p>
        </w:tc>
        <w:tc>
          <w:tcPr>
            <w:tcW w:w="1060" w:type="dxa"/>
            <w:vAlign w:val="bottom"/>
          </w:tcPr>
          <w:p>
            <w:pPr>
              <w:jc w:val="right"/>
              <w:spacing w:after="0"/>
              <w:rPr>
                <w:sz w:val="20"/>
                <w:szCs w:val="20"/>
                <w:color w:val="auto"/>
              </w:rPr>
            </w:pPr>
            <w:r>
              <w:rPr>
                <w:rFonts w:ascii="Arial" w:cs="Arial" w:eastAsia="Arial" w:hAnsi="Arial"/>
                <w:sz w:val="16"/>
                <w:szCs w:val="16"/>
                <w:color w:val="231F20"/>
              </w:rPr>
              <w:t>8</w:t>
            </w:r>
          </w:p>
        </w:tc>
      </w:tr>
      <w:tr>
        <w:trPr>
          <w:trHeight w:val="35"/>
        </w:trPr>
        <w:tc>
          <w:tcPr>
            <w:tcW w:w="1420" w:type="dxa"/>
            <w:vAlign w:val="bottom"/>
            <w:tcBorders>
              <w:bottom w:val="single" w:sz="8" w:color="231F20"/>
            </w:tcBorders>
            <w:gridSpan w:val="3"/>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1500" w:type="dxa"/>
            <w:vAlign w:val="bottom"/>
            <w:tcBorders>
              <w:bottom w:val="single" w:sz="8" w:color="231F20"/>
            </w:tcBorders>
          </w:tcPr>
          <w:p>
            <w:pPr>
              <w:spacing w:after="0"/>
              <w:rPr>
                <w:sz w:val="3"/>
                <w:szCs w:val="3"/>
                <w:color w:val="auto"/>
              </w:rPr>
            </w:pPr>
          </w:p>
        </w:tc>
        <w:tc>
          <w:tcPr>
            <w:tcW w:w="204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1320" w:type="dxa"/>
            <w:vAlign w:val="bottom"/>
            <w:tcBorders>
              <w:bottom w:val="single" w:sz="8" w:color="231F20"/>
            </w:tcBorders>
          </w:tcPr>
          <w:p>
            <w:pPr>
              <w:spacing w:after="0"/>
              <w:rPr>
                <w:sz w:val="3"/>
                <w:szCs w:val="3"/>
                <w:color w:val="auto"/>
              </w:rPr>
            </w:pPr>
          </w:p>
        </w:tc>
        <w:tc>
          <w:tcPr>
            <w:tcW w:w="1960" w:type="dxa"/>
            <w:vAlign w:val="bottom"/>
            <w:tcBorders>
              <w:bottom w:val="single" w:sz="8" w:color="231F20"/>
            </w:tcBorders>
          </w:tcPr>
          <w:p>
            <w:pPr>
              <w:spacing w:after="0"/>
              <w:rPr>
                <w:sz w:val="3"/>
                <w:szCs w:val="3"/>
                <w:color w:val="auto"/>
              </w:rPr>
            </w:pPr>
          </w:p>
        </w:tc>
        <w:tc>
          <w:tcPr>
            <w:tcW w:w="1060" w:type="dxa"/>
            <w:vAlign w:val="bottom"/>
            <w:tcBorders>
              <w:bottom w:val="single" w:sz="8" w:color="231F20"/>
            </w:tcBorders>
          </w:tcPr>
          <w:p>
            <w:pPr>
              <w:spacing w:after="0"/>
              <w:rPr>
                <w:sz w:val="3"/>
                <w:szCs w:val="3"/>
                <w:color w:val="auto"/>
              </w:rPr>
            </w:pPr>
          </w:p>
        </w:tc>
      </w:tr>
      <w:tr>
        <w:trPr>
          <w:trHeight w:val="309"/>
        </w:trPr>
        <w:tc>
          <w:tcPr>
            <w:tcW w:w="1420" w:type="dxa"/>
            <w:vAlign w:val="bottom"/>
            <w:gridSpan w:val="3"/>
          </w:tcPr>
          <w:p>
            <w:pPr>
              <w:spacing w:after="0"/>
              <w:rPr>
                <w:sz w:val="20"/>
                <w:szCs w:val="20"/>
                <w:color w:val="auto"/>
              </w:rPr>
            </w:pPr>
            <w:r>
              <w:rPr>
                <w:rFonts w:ascii="Arial" w:cs="Arial" w:eastAsia="Arial" w:hAnsi="Arial"/>
                <w:sz w:val="16"/>
                <w:szCs w:val="16"/>
                <w:b w:val="1"/>
                <w:bCs w:val="1"/>
                <w:color w:val="231F20"/>
              </w:rPr>
              <w:t>TOTAL COMPANY</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7"/>
        </w:trPr>
        <w:tc>
          <w:tcPr>
            <w:tcW w:w="3040" w:type="dxa"/>
            <w:vAlign w:val="bottom"/>
            <w:gridSpan w:val="5"/>
          </w:tcPr>
          <w:p>
            <w:pPr>
              <w:spacing w:after="0"/>
              <w:rPr>
                <w:sz w:val="20"/>
                <w:szCs w:val="20"/>
                <w:color w:val="auto"/>
              </w:rPr>
            </w:pPr>
            <w:r>
              <w:rPr>
                <w:rFonts w:ascii="Arial" w:cs="Arial" w:eastAsia="Arial" w:hAnsi="Arial"/>
                <w:sz w:val="16"/>
                <w:szCs w:val="16"/>
                <w:b w:val="1"/>
                <w:bCs w:val="1"/>
                <w:color w:val="231F20"/>
              </w:rPr>
              <w:t>Operating income (GAAP)</w:t>
            </w:r>
          </w:p>
        </w:tc>
        <w:tc>
          <w:tcPr>
            <w:tcW w:w="2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$614.9</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$774.3</w:t>
            </w:r>
          </w:p>
        </w:tc>
        <w:tc>
          <w:tcPr>
            <w:tcW w:w="1060" w:type="dxa"/>
            <w:vAlign w:val="bottom"/>
          </w:tcPr>
          <w:p>
            <w:pPr>
              <w:jc w:val="right"/>
              <w:spacing w:after="0"/>
              <w:rPr>
                <w:sz w:val="20"/>
                <w:szCs w:val="20"/>
                <w:color w:val="auto"/>
              </w:rPr>
            </w:pPr>
            <w:r>
              <w:rPr>
                <w:rFonts w:ascii="Arial" w:cs="Arial" w:eastAsia="Arial" w:hAnsi="Arial"/>
                <w:sz w:val="16"/>
                <w:szCs w:val="16"/>
                <w:color w:val="231F20"/>
              </w:rPr>
              <w:t>(21)</w:t>
            </w:r>
          </w:p>
        </w:tc>
      </w:tr>
      <w:tr>
        <w:trPr>
          <w:trHeight w:val="225"/>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Restructurin  charges</w:t>
            </w:r>
          </w:p>
        </w:tc>
        <w:tc>
          <w:tcPr>
            <w:tcW w:w="2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231F20"/>
              </w:rPr>
              <w:t>32.5</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32.4</w:t>
            </w:r>
          </w:p>
        </w:tc>
        <w:tc>
          <w:tcPr>
            <w:tcW w:w="1060" w:type="dxa"/>
            <w:vAlign w:val="bottom"/>
          </w:tcPr>
          <w:p>
            <w:pPr>
              <w:spacing w:after="0"/>
              <w:rPr>
                <w:sz w:val="19"/>
                <w:szCs w:val="19"/>
                <w:color w:val="auto"/>
              </w:rPr>
            </w:pPr>
          </w:p>
        </w:tc>
      </w:tr>
      <w:tr>
        <w:trPr>
          <w:trHeight w:val="212"/>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Other charges/(gains)</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960" w:type="dxa"/>
            <w:vAlign w:val="bottom"/>
            <w:gridSpan w:val="2"/>
          </w:tcPr>
          <w:p>
            <w:pPr>
              <w:ind w:left="360"/>
              <w:spacing w:after="0"/>
              <w:rPr>
                <w:sz w:val="20"/>
                <w:szCs w:val="20"/>
                <w:color w:val="auto"/>
              </w:rPr>
            </w:pPr>
            <w:r>
              <w:rPr>
                <w:rFonts w:ascii="Arial" w:cs="Arial" w:eastAsia="Arial" w:hAnsi="Arial"/>
                <w:sz w:val="16"/>
                <w:szCs w:val="16"/>
                <w:color w:val="231F20"/>
              </w:rPr>
              <w:t>Cost of</w:t>
            </w:r>
          </w:p>
        </w:tc>
        <w:tc>
          <w:tcPr>
            <w:tcW w:w="2080" w:type="dxa"/>
            <w:vAlign w:val="bottom"/>
            <w:gridSpan w:val="3"/>
          </w:tcPr>
          <w:p>
            <w:pPr>
              <w:jc w:val="center"/>
              <w:ind w:right="1050"/>
              <w:spacing w:after="0"/>
              <w:rPr>
                <w:sz w:val="20"/>
                <w:szCs w:val="20"/>
                <w:color w:val="auto"/>
              </w:rPr>
            </w:pPr>
            <w:r>
              <w:rPr>
                <w:rFonts w:ascii="Arial" w:cs="Arial" w:eastAsia="Arial" w:hAnsi="Arial"/>
                <w:sz w:val="16"/>
                <w:szCs w:val="16"/>
                <w:color w:val="231F20"/>
              </w:rPr>
              <w:t>roducts so d</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21.7</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(5.6)</w:t>
            </w:r>
          </w:p>
        </w:tc>
        <w:tc>
          <w:tcPr>
            <w:tcW w:w="1060" w:type="dxa"/>
            <w:vAlign w:val="bottom"/>
          </w:tcPr>
          <w:p>
            <w:pPr>
              <w:jc w:val="right"/>
              <w:spacing w:after="0"/>
              <w:rPr>
                <w:sz w:val="20"/>
                <w:szCs w:val="20"/>
                <w:color w:val="auto"/>
              </w:rPr>
            </w:pPr>
            <w:r>
              <w:rPr>
                <w:rFonts w:ascii="Arial" w:cs="Arial" w:eastAsia="Arial" w:hAnsi="Arial"/>
                <w:sz w:val="16"/>
                <w:szCs w:val="16"/>
                <w:color w:val="231F20"/>
              </w:rPr>
              <w:t>(488)</w:t>
            </w:r>
          </w:p>
        </w:tc>
      </w:tr>
      <w:tr>
        <w:trPr>
          <w:trHeight w:val="213"/>
        </w:trPr>
        <w:tc>
          <w:tcPr>
            <w:tcW w:w="1540" w:type="dxa"/>
            <w:vAlign w:val="bottom"/>
            <w:gridSpan w:val="4"/>
          </w:tcPr>
          <w:p>
            <w:pPr>
              <w:ind w:left="360"/>
              <w:spacing w:after="0"/>
              <w:rPr>
                <w:sz w:val="20"/>
                <w:szCs w:val="20"/>
                <w:color w:val="auto"/>
              </w:rPr>
            </w:pPr>
            <w:r>
              <w:rPr>
                <w:rFonts w:ascii="Arial" w:cs="Arial" w:eastAsia="Arial" w:hAnsi="Arial"/>
                <w:sz w:val="16"/>
                <w:szCs w:val="16"/>
                <w:color w:val="231F20"/>
                <w:w w:val="95"/>
              </w:rPr>
              <w:t>Se l ng, genera a</w:t>
            </w:r>
          </w:p>
        </w:tc>
        <w:tc>
          <w:tcPr>
            <w:tcW w:w="1500" w:type="dxa"/>
            <w:vAlign w:val="bottom"/>
          </w:tcPr>
          <w:p>
            <w:pPr>
              <w:ind w:left="40"/>
              <w:spacing w:after="0"/>
              <w:rPr>
                <w:sz w:val="20"/>
                <w:szCs w:val="20"/>
                <w:color w:val="auto"/>
              </w:rPr>
            </w:pPr>
            <w:r>
              <w:rPr>
                <w:rFonts w:ascii="Arial" w:cs="Arial" w:eastAsia="Arial" w:hAnsi="Arial"/>
                <w:sz w:val="16"/>
                <w:szCs w:val="16"/>
                <w:color w:val="231F20"/>
                <w:w w:val="94"/>
              </w:rPr>
              <w:t>d adm nistrat ve expe</w:t>
            </w:r>
          </w:p>
        </w:tc>
        <w:tc>
          <w:tcPr>
            <w:tcW w:w="2860" w:type="dxa"/>
            <w:vAlign w:val="bottom"/>
            <w:gridSpan w:val="2"/>
          </w:tcPr>
          <w:p>
            <w:pPr>
              <w:ind w:left="40"/>
              <w:spacing w:after="0"/>
              <w:rPr>
                <w:sz w:val="20"/>
                <w:szCs w:val="20"/>
                <w:color w:val="auto"/>
              </w:rPr>
            </w:pPr>
            <w:r>
              <w:rPr>
                <w:rFonts w:ascii="Arial" w:cs="Arial" w:eastAsia="Arial" w:hAnsi="Arial"/>
                <w:sz w:val="16"/>
                <w:szCs w:val="16"/>
                <w:color w:val="231F20"/>
              </w:rPr>
              <w:t>se</w:t>
            </w:r>
          </w:p>
        </w:tc>
        <w:tc>
          <w:tcPr>
            <w:tcW w:w="1320" w:type="dxa"/>
            <w:vAlign w:val="bottom"/>
          </w:tcPr>
          <w:p>
            <w:pPr>
              <w:jc w:val="right"/>
              <w:ind w:right="99"/>
              <w:spacing w:after="0"/>
              <w:rPr>
                <w:sz w:val="20"/>
                <w:szCs w:val="20"/>
                <w:color w:val="auto"/>
              </w:rPr>
            </w:pPr>
            <w:r>
              <w:rPr>
                <w:rFonts w:ascii="Arial" w:cs="Arial" w:eastAsia="Arial" w:hAnsi="Arial"/>
                <w:sz w:val="16"/>
                <w:szCs w:val="16"/>
                <w:color w:val="231F20"/>
              </w:rPr>
              <w:t>0.6</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1.9</w:t>
            </w:r>
          </w:p>
        </w:tc>
        <w:tc>
          <w:tcPr>
            <w:tcW w:w="1060" w:type="dxa"/>
            <w:vAlign w:val="bottom"/>
          </w:tcPr>
          <w:p>
            <w:pPr>
              <w:jc w:val="right"/>
              <w:spacing w:after="0"/>
              <w:rPr>
                <w:sz w:val="20"/>
                <w:szCs w:val="20"/>
                <w:color w:val="auto"/>
              </w:rPr>
            </w:pPr>
            <w:r>
              <w:rPr>
                <w:rFonts w:ascii="Arial" w:cs="Arial" w:eastAsia="Arial" w:hAnsi="Arial"/>
                <w:sz w:val="16"/>
                <w:szCs w:val="16"/>
                <w:color w:val="231F20"/>
              </w:rPr>
              <w:t>(68)</w:t>
            </w:r>
          </w:p>
        </w:tc>
      </w:tr>
      <w:tr>
        <w:trPr>
          <w:trHeight w:val="212"/>
        </w:trPr>
        <w:tc>
          <w:tcPr>
            <w:tcW w:w="1540" w:type="dxa"/>
            <w:vAlign w:val="bottom"/>
            <w:gridSpan w:val="4"/>
          </w:tcPr>
          <w:p>
            <w:pPr>
              <w:ind w:left="180"/>
              <w:spacing w:after="0"/>
              <w:rPr>
                <w:sz w:val="20"/>
                <w:szCs w:val="20"/>
                <w:color w:val="auto"/>
              </w:rPr>
            </w:pPr>
            <w:r>
              <w:rPr>
                <w:rFonts w:ascii="Arial" w:cs="Arial" w:eastAsia="Arial" w:hAnsi="Arial"/>
                <w:sz w:val="16"/>
                <w:szCs w:val="16"/>
                <w:color w:val="231F20"/>
              </w:rPr>
              <w:t>Solar compensatio</w:t>
            </w:r>
          </w:p>
        </w:tc>
        <w:tc>
          <w:tcPr>
            <w:tcW w:w="1500" w:type="dxa"/>
            <w:vAlign w:val="bottom"/>
          </w:tcPr>
          <w:p>
            <w:pPr>
              <w:ind w:left="100"/>
              <w:spacing w:after="0"/>
              <w:rPr>
                <w:sz w:val="20"/>
                <w:szCs w:val="20"/>
                <w:color w:val="auto"/>
              </w:rPr>
            </w:pPr>
            <w:r>
              <w:rPr>
                <w:rFonts w:ascii="Arial" w:cs="Arial" w:eastAsia="Arial" w:hAnsi="Arial"/>
                <w:sz w:val="9"/>
                <w:szCs w:val="9"/>
                <w:color w:val="231F20"/>
              </w:rPr>
              <w:t>(e)</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2.7</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2.1</w:t>
            </w:r>
          </w:p>
        </w:tc>
        <w:tc>
          <w:tcPr>
            <w:tcW w:w="1060" w:type="dxa"/>
            <w:vAlign w:val="bottom"/>
          </w:tcPr>
          <w:p>
            <w:pPr>
              <w:jc w:val="right"/>
              <w:spacing w:after="0"/>
              <w:rPr>
                <w:sz w:val="20"/>
                <w:szCs w:val="20"/>
                <w:color w:val="auto"/>
              </w:rPr>
            </w:pPr>
            <w:r>
              <w:rPr>
                <w:rFonts w:ascii="Arial" w:cs="Arial" w:eastAsia="Arial" w:hAnsi="Arial"/>
                <w:sz w:val="16"/>
                <w:szCs w:val="16"/>
                <w:color w:val="231F20"/>
              </w:rPr>
              <w:t>29</w:t>
            </w:r>
          </w:p>
        </w:tc>
      </w:tr>
      <w:tr>
        <w:trPr>
          <w:trHeight w:val="234"/>
        </w:trPr>
        <w:tc>
          <w:tcPr>
            <w:tcW w:w="1420" w:type="dxa"/>
            <w:vAlign w:val="bottom"/>
            <w:gridSpan w:val="3"/>
          </w:tcPr>
          <w:p>
            <w:pPr>
              <w:ind w:left="180"/>
              <w:spacing w:after="0"/>
              <w:rPr>
                <w:sz w:val="20"/>
                <w:szCs w:val="20"/>
                <w:color w:val="auto"/>
              </w:rPr>
            </w:pPr>
            <w:r>
              <w:rPr>
                <w:rFonts w:ascii="Arial" w:cs="Arial" w:eastAsia="Arial" w:hAnsi="Arial"/>
                <w:sz w:val="16"/>
                <w:szCs w:val="16"/>
                <w:color w:val="231F20"/>
              </w:rPr>
              <w:t>ASSA transactio</w:t>
            </w:r>
          </w:p>
        </w:tc>
        <w:tc>
          <w:tcPr>
            <w:tcW w:w="1620" w:type="dxa"/>
            <w:vAlign w:val="bottom"/>
            <w:gridSpan w:val="2"/>
          </w:tcPr>
          <w:p>
            <w:pPr>
              <w:ind w:left="40"/>
              <w:spacing w:after="0"/>
              <w:rPr>
                <w:sz w:val="20"/>
                <w:szCs w:val="20"/>
                <w:color w:val="auto"/>
              </w:rPr>
            </w:pPr>
            <w:r>
              <w:rPr>
                <w:rFonts w:ascii="Arial" w:cs="Arial" w:eastAsia="Arial" w:hAnsi="Arial"/>
                <w:sz w:val="16"/>
                <w:szCs w:val="16"/>
                <w:color w:val="231F20"/>
              </w:rPr>
              <w:t xml:space="preserve">expenses </w:t>
            </w:r>
            <w:r>
              <w:rPr>
                <w:rFonts w:ascii="Arial" w:cs="Arial" w:eastAsia="Arial" w:hAnsi="Arial"/>
                <w:sz w:val="9"/>
                <w:szCs w:val="9"/>
                <w:color w:val="231F20"/>
              </w:rPr>
              <w:t>(</w:t>
            </w:r>
            <w:r>
              <w:rPr>
                <w:rFonts w:ascii="Arial" w:cs="Arial" w:eastAsia="Arial" w:hAnsi="Arial"/>
                <w:sz w:val="18"/>
                <w:szCs w:val="18"/>
                <w:color w:val="231F20"/>
                <w:vertAlign w:val="superscript"/>
              </w:rPr>
              <w:t>d</w:t>
            </w:r>
            <w:r>
              <w:rPr>
                <w:rFonts w:ascii="Arial" w:cs="Arial" w:eastAsia="Arial" w:hAnsi="Arial"/>
                <w:sz w:val="9"/>
                <w:szCs w:val="9"/>
                <w:color w:val="231F20"/>
              </w:rPr>
              <w:t>)</w:t>
            </w:r>
          </w:p>
        </w:tc>
        <w:tc>
          <w:tcPr>
            <w:tcW w:w="2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19.7</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3.3</w:t>
            </w:r>
          </w:p>
        </w:tc>
        <w:tc>
          <w:tcPr>
            <w:tcW w:w="1060" w:type="dxa"/>
            <w:vAlign w:val="bottom"/>
          </w:tcPr>
          <w:p>
            <w:pPr>
              <w:jc w:val="right"/>
              <w:spacing w:after="0"/>
              <w:rPr>
                <w:sz w:val="20"/>
                <w:szCs w:val="20"/>
                <w:color w:val="auto"/>
              </w:rPr>
            </w:pPr>
            <w:r>
              <w:rPr>
                <w:rFonts w:ascii="Arial" w:cs="Arial" w:eastAsia="Arial" w:hAnsi="Arial"/>
                <w:sz w:val="16"/>
                <w:szCs w:val="16"/>
                <w:color w:val="231F20"/>
              </w:rPr>
              <w:t>497</w:t>
            </w:r>
          </w:p>
        </w:tc>
      </w:tr>
      <w:tr>
        <w:trPr>
          <w:trHeight w:val="212"/>
        </w:trPr>
        <w:tc>
          <w:tcPr>
            <w:tcW w:w="3040" w:type="dxa"/>
            <w:vAlign w:val="bottom"/>
            <w:gridSpan w:val="5"/>
          </w:tcPr>
          <w:p>
            <w:pPr>
              <w:ind w:left="180"/>
              <w:spacing w:after="0"/>
              <w:rPr>
                <w:sz w:val="20"/>
                <w:szCs w:val="20"/>
                <w:color w:val="auto"/>
              </w:rPr>
            </w:pPr>
            <w:r>
              <w:rPr>
                <w:rFonts w:ascii="Arial" w:cs="Arial" w:eastAsia="Arial" w:hAnsi="Arial"/>
                <w:sz w:val="16"/>
                <w:szCs w:val="16"/>
                <w:color w:val="231F20"/>
              </w:rPr>
              <w:t xml:space="preserve">Amortization of nventory step-up </w:t>
            </w:r>
            <w:r>
              <w:rPr>
                <w:rFonts w:ascii="Arial" w:cs="Arial" w:eastAsia="Arial" w:hAnsi="Arial"/>
                <w:sz w:val="9"/>
                <w:szCs w:val="9"/>
                <w:color w:val="231F20"/>
              </w:rPr>
              <w:t>(</w:t>
            </w:r>
            <w:r>
              <w:rPr>
                <w:rFonts w:ascii="Arial" w:cs="Arial" w:eastAsia="Arial" w:hAnsi="Arial"/>
                <w:sz w:val="18"/>
                <w:szCs w:val="18"/>
                <w:color w:val="231F20"/>
                <w:vertAlign w:val="superscript"/>
              </w:rPr>
              <w:t>f</w:t>
            </w:r>
            <w:r>
              <w:rPr>
                <w:rFonts w:ascii="Arial" w:cs="Arial" w:eastAsia="Arial" w:hAnsi="Arial"/>
                <w:sz w:val="9"/>
                <w:szCs w:val="9"/>
                <w:color w:val="231F20"/>
              </w:rPr>
              <w:t>)</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12.4</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1.3</w:t>
            </w:r>
          </w:p>
        </w:tc>
        <w:tc>
          <w:tcPr>
            <w:tcW w:w="1060" w:type="dxa"/>
            <w:vAlign w:val="bottom"/>
          </w:tcPr>
          <w:p>
            <w:pPr>
              <w:jc w:val="right"/>
              <w:spacing w:after="0"/>
              <w:rPr>
                <w:sz w:val="20"/>
                <w:szCs w:val="20"/>
                <w:color w:val="auto"/>
              </w:rPr>
            </w:pPr>
            <w:r>
              <w:rPr>
                <w:rFonts w:ascii="Arial" w:cs="Arial" w:eastAsia="Arial" w:hAnsi="Arial"/>
                <w:sz w:val="16"/>
                <w:szCs w:val="16"/>
                <w:color w:val="231F20"/>
              </w:rPr>
              <w:t>854</w:t>
            </w:r>
          </w:p>
        </w:tc>
      </w:tr>
      <w:tr>
        <w:trPr>
          <w:trHeight w:val="200"/>
        </w:trPr>
        <w:tc>
          <w:tcPr>
            <w:tcW w:w="3040" w:type="dxa"/>
            <w:vAlign w:val="bottom"/>
            <w:tcBorders>
              <w:bottom w:val="single" w:sz="8" w:color="231F20"/>
            </w:tcBorders>
            <w:gridSpan w:val="5"/>
          </w:tcPr>
          <w:p>
            <w:pPr>
              <w:ind w:left="180"/>
              <w:spacing w:after="0"/>
              <w:rPr>
                <w:sz w:val="20"/>
                <w:szCs w:val="20"/>
                <w:color w:val="auto"/>
              </w:rPr>
            </w:pPr>
            <w:r>
              <w:rPr>
                <w:rFonts w:ascii="Arial" w:cs="Arial" w:eastAsia="Arial" w:hAnsi="Arial"/>
                <w:sz w:val="16"/>
                <w:szCs w:val="16"/>
                <w:color w:val="231F20"/>
              </w:rPr>
              <w:t xml:space="preserve">Asset impairment charges </w:t>
            </w:r>
            <w:r>
              <w:rPr>
                <w:rFonts w:ascii="Arial" w:cs="Arial" w:eastAsia="Arial" w:hAnsi="Arial"/>
                <w:sz w:val="9"/>
                <w:szCs w:val="9"/>
                <w:color w:val="231F20"/>
              </w:rPr>
              <w:t>(g)</w:t>
            </w:r>
          </w:p>
        </w:tc>
        <w:tc>
          <w:tcPr>
            <w:tcW w:w="204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spacing w:after="0"/>
              <w:rPr>
                <w:sz w:val="17"/>
                <w:szCs w:val="17"/>
                <w:color w:val="auto"/>
              </w:rPr>
            </w:pPr>
          </w:p>
        </w:tc>
        <w:tc>
          <w:tcPr>
            <w:tcW w:w="1320" w:type="dxa"/>
            <w:vAlign w:val="bottom"/>
            <w:tcBorders>
              <w:bottom w:val="single" w:sz="8" w:color="231F20"/>
            </w:tcBorders>
          </w:tcPr>
          <w:p>
            <w:pPr>
              <w:jc w:val="right"/>
              <w:ind w:right="99"/>
              <w:spacing w:after="0"/>
              <w:rPr>
                <w:sz w:val="20"/>
                <w:szCs w:val="20"/>
                <w:color w:val="auto"/>
              </w:rPr>
            </w:pPr>
            <w:r>
              <w:rPr>
                <w:rFonts w:ascii="Arial" w:cs="Arial" w:eastAsia="Arial" w:hAnsi="Arial"/>
                <w:sz w:val="16"/>
                <w:szCs w:val="16"/>
                <w:color w:val="231F20"/>
              </w:rPr>
              <w:t>33.5</w:t>
            </w:r>
          </w:p>
        </w:tc>
        <w:tc>
          <w:tcPr>
            <w:tcW w:w="1960" w:type="dxa"/>
            <w:vAlign w:val="bottom"/>
            <w:tcBorders>
              <w:bottom w:val="single" w:sz="8" w:color="231F20"/>
            </w:tcBorders>
          </w:tcPr>
          <w:p>
            <w:pPr>
              <w:jc w:val="right"/>
              <w:ind w:right="159"/>
              <w:spacing w:after="0"/>
              <w:rPr>
                <w:sz w:val="20"/>
                <w:szCs w:val="20"/>
                <w:color w:val="auto"/>
              </w:rPr>
            </w:pPr>
            <w:r>
              <w:rPr>
                <w:rFonts w:ascii="Arial" w:cs="Arial" w:eastAsia="Arial" w:hAnsi="Arial"/>
                <w:sz w:val="16"/>
                <w:szCs w:val="16"/>
                <w:color w:val="231F20"/>
              </w:rPr>
              <w:t>–</w:t>
            </w: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NM</w:t>
            </w:r>
          </w:p>
        </w:tc>
      </w:tr>
      <w:tr>
        <w:trPr>
          <w:trHeight w:val="232"/>
        </w:trPr>
        <w:tc>
          <w:tcPr>
            <w:tcW w:w="5900" w:type="dxa"/>
            <w:vAlign w:val="bottom"/>
            <w:gridSpan w:val="7"/>
          </w:tcPr>
          <w:p>
            <w:pPr>
              <w:spacing w:after="0"/>
              <w:rPr>
                <w:sz w:val="20"/>
                <w:szCs w:val="20"/>
                <w:color w:val="auto"/>
              </w:rPr>
            </w:pPr>
            <w:r>
              <w:rPr>
                <w:rFonts w:ascii="Arial" w:cs="Arial" w:eastAsia="Arial" w:hAnsi="Arial"/>
                <w:sz w:val="16"/>
                <w:szCs w:val="16"/>
                <w:b w:val="1"/>
                <w:bCs w:val="1"/>
                <w:color w:val="231F20"/>
              </w:rPr>
              <w:t xml:space="preserve">Operating income before charges/gains </w:t>
            </w:r>
            <w:r>
              <w:rPr>
                <w:rFonts w:ascii="Arial" w:cs="Arial" w:eastAsia="Arial" w:hAnsi="Arial"/>
                <w:sz w:val="18"/>
                <w:szCs w:val="18"/>
                <w:b w:val="1"/>
                <w:bCs w:val="1"/>
                <w:color w:val="231F20"/>
                <w:vertAlign w:val="superscript"/>
              </w:rPr>
              <w:t>(a)</w:t>
            </w:r>
          </w:p>
        </w:tc>
        <w:tc>
          <w:tcPr>
            <w:tcW w:w="1320" w:type="dxa"/>
            <w:vAlign w:val="bottom"/>
          </w:tcPr>
          <w:p>
            <w:pPr>
              <w:jc w:val="right"/>
              <w:ind w:right="79"/>
              <w:spacing w:after="0"/>
              <w:rPr>
                <w:sz w:val="20"/>
                <w:szCs w:val="20"/>
                <w:color w:val="auto"/>
              </w:rPr>
            </w:pPr>
            <w:r>
              <w:rPr>
                <w:rFonts w:ascii="Arial" w:cs="Arial" w:eastAsia="Arial" w:hAnsi="Arial"/>
                <w:sz w:val="16"/>
                <w:szCs w:val="16"/>
                <w:color w:val="231F20"/>
              </w:rPr>
              <w:t>$738.0</w:t>
            </w:r>
          </w:p>
        </w:tc>
        <w:tc>
          <w:tcPr>
            <w:tcW w:w="1960" w:type="dxa"/>
            <w:vAlign w:val="bottom"/>
          </w:tcPr>
          <w:p>
            <w:pPr>
              <w:jc w:val="right"/>
              <w:ind w:right="159"/>
              <w:spacing w:after="0"/>
              <w:rPr>
                <w:sz w:val="20"/>
                <w:szCs w:val="20"/>
                <w:color w:val="auto"/>
              </w:rPr>
            </w:pPr>
            <w:r>
              <w:rPr>
                <w:rFonts w:ascii="Arial" w:cs="Arial" w:eastAsia="Arial" w:hAnsi="Arial"/>
                <w:sz w:val="16"/>
                <w:szCs w:val="16"/>
                <w:color w:val="231F20"/>
              </w:rPr>
              <w:t>$809.7</w:t>
            </w:r>
          </w:p>
        </w:tc>
        <w:tc>
          <w:tcPr>
            <w:tcW w:w="1060" w:type="dxa"/>
            <w:vAlign w:val="bottom"/>
          </w:tcPr>
          <w:p>
            <w:pPr>
              <w:jc w:val="right"/>
              <w:spacing w:after="0"/>
              <w:rPr>
                <w:sz w:val="20"/>
                <w:szCs w:val="20"/>
                <w:color w:val="auto"/>
              </w:rPr>
            </w:pPr>
            <w:r>
              <w:rPr>
                <w:rFonts w:ascii="Arial" w:cs="Arial" w:eastAsia="Arial" w:hAnsi="Arial"/>
                <w:sz w:val="16"/>
                <w:szCs w:val="16"/>
                <w:color w:val="231F20"/>
              </w:rPr>
              <w:t>(9)</w:t>
            </w:r>
          </w:p>
        </w:tc>
      </w:tr>
      <w:tr>
        <w:trPr>
          <w:trHeight w:val="36"/>
        </w:trPr>
        <w:tc>
          <w:tcPr>
            <w:tcW w:w="1540" w:type="dxa"/>
            <w:vAlign w:val="bottom"/>
            <w:tcBorders>
              <w:bottom w:val="single" w:sz="8" w:color="231F20"/>
            </w:tcBorders>
            <w:gridSpan w:val="4"/>
          </w:tcPr>
          <w:p>
            <w:pPr>
              <w:spacing w:after="0"/>
              <w:rPr>
                <w:sz w:val="3"/>
                <w:szCs w:val="3"/>
                <w:color w:val="auto"/>
              </w:rPr>
            </w:pPr>
          </w:p>
        </w:tc>
        <w:tc>
          <w:tcPr>
            <w:tcW w:w="1500" w:type="dxa"/>
            <w:vAlign w:val="bottom"/>
            <w:tcBorders>
              <w:bottom w:val="single" w:sz="8" w:color="231F20"/>
            </w:tcBorders>
          </w:tcPr>
          <w:p>
            <w:pPr>
              <w:spacing w:after="0"/>
              <w:rPr>
                <w:sz w:val="3"/>
                <w:szCs w:val="3"/>
                <w:color w:val="auto"/>
              </w:rPr>
            </w:pPr>
          </w:p>
        </w:tc>
        <w:tc>
          <w:tcPr>
            <w:tcW w:w="204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1320" w:type="dxa"/>
            <w:vAlign w:val="bottom"/>
            <w:tcBorders>
              <w:bottom w:val="single" w:sz="8" w:color="231F20"/>
            </w:tcBorders>
          </w:tcPr>
          <w:p>
            <w:pPr>
              <w:spacing w:after="0"/>
              <w:rPr>
                <w:sz w:val="3"/>
                <w:szCs w:val="3"/>
                <w:color w:val="auto"/>
              </w:rPr>
            </w:pPr>
          </w:p>
        </w:tc>
        <w:tc>
          <w:tcPr>
            <w:tcW w:w="1960" w:type="dxa"/>
            <w:vAlign w:val="bottom"/>
            <w:tcBorders>
              <w:bottom w:val="single" w:sz="8" w:color="231F20"/>
            </w:tcBorders>
          </w:tcPr>
          <w:p>
            <w:pPr>
              <w:spacing w:after="0"/>
              <w:rPr>
                <w:sz w:val="3"/>
                <w:szCs w:val="3"/>
                <w:color w:val="auto"/>
              </w:rPr>
            </w:pPr>
          </w:p>
        </w:tc>
        <w:tc>
          <w:tcPr>
            <w:tcW w:w="1060" w:type="dxa"/>
            <w:vAlign w:val="bottom"/>
            <w:tcBorders>
              <w:bottom w:val="single" w:sz="8" w:color="231F20"/>
            </w:tcBorders>
          </w:tcPr>
          <w:p>
            <w:pPr>
              <w:spacing w:after="0"/>
              <w:rPr>
                <w:sz w:val="3"/>
                <w:szCs w:val="3"/>
                <w:color w:val="auto"/>
              </w:rPr>
            </w:pPr>
          </w:p>
        </w:tc>
      </w:tr>
      <w:tr>
        <w:trPr>
          <w:trHeight w:val="303"/>
        </w:trPr>
        <w:tc>
          <w:tcPr>
            <w:tcW w:w="1540" w:type="dxa"/>
            <w:vAlign w:val="bottom"/>
            <w:gridSpan w:val="4"/>
          </w:tcPr>
          <w:p>
            <w:pPr>
              <w:spacing w:after="0"/>
              <w:rPr>
                <w:sz w:val="20"/>
                <w:szCs w:val="20"/>
                <w:color w:val="auto"/>
              </w:rPr>
            </w:pPr>
            <w:r>
              <w:rPr>
                <w:rFonts w:ascii="Arial" w:cs="Arial" w:eastAsia="Arial" w:hAnsi="Arial"/>
                <w:sz w:val="16"/>
                <w:szCs w:val="16"/>
                <w:color w:val="231F20"/>
              </w:rPr>
              <w:t>NM - Not Meaningful</w:t>
            </w: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3"/>
        </w:trPr>
        <w:tc>
          <w:tcPr>
            <w:tcW w:w="5900" w:type="dxa"/>
            <w:vAlign w:val="bottom"/>
            <w:gridSpan w:val="7"/>
          </w:tcPr>
          <w:p>
            <w:pPr>
              <w:spacing w:after="0"/>
              <w:rPr>
                <w:sz w:val="20"/>
                <w:szCs w:val="20"/>
                <w:color w:val="auto"/>
              </w:rPr>
            </w:pPr>
            <w:r>
              <w:rPr>
                <w:rFonts w:ascii="Arial" w:cs="Arial" w:eastAsia="Arial" w:hAnsi="Arial"/>
                <w:sz w:val="16"/>
                <w:szCs w:val="16"/>
                <w:color w:val="231F20"/>
              </w:rPr>
              <w:t>(a) (d) (e) (f) (g) For def n t o s of N o -GAAP meas res see Def n tions of Terms pa</w:t>
            </w:r>
          </w:p>
        </w:tc>
        <w:tc>
          <w:tcPr>
            <w:tcW w:w="1320" w:type="dxa"/>
            <w:vAlign w:val="bottom"/>
          </w:tcPr>
          <w:p>
            <w:pPr>
              <w:jc w:val="right"/>
              <w:ind w:right="1059"/>
              <w:spacing w:after="0"/>
              <w:rPr>
                <w:sz w:val="20"/>
                <w:szCs w:val="20"/>
                <w:color w:val="auto"/>
              </w:rPr>
            </w:pPr>
            <w:r>
              <w:rPr>
                <w:rFonts w:ascii="Arial" w:cs="Arial" w:eastAsia="Arial" w:hAnsi="Arial"/>
                <w:sz w:val="16"/>
                <w:szCs w:val="16"/>
                <w:color w:val="231F20"/>
              </w:rPr>
              <w:t>e.</w:t>
            </w: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p>
    <w:p>
      <w:pPr>
        <w:sectPr>
          <w:pgSz w:w="12240" w:h="15840" w:orient="portrait"/>
          <w:cols w:equalWidth="0" w:num="1">
            <w:col w:w="10240"/>
          </w:cols>
          <w:pgMar w:left="1000" w:top="1036" w:right="1000" w:bottom="3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99</w:t>
      </w:r>
    </w:p>
    <w:p>
      <w:pPr>
        <w:sectPr>
          <w:pgSz w:w="12240" w:h="15840" w:orient="portrait"/>
          <w:cols w:equalWidth="0" w:num="1">
            <w:col w:w="10240"/>
          </w:cols>
          <w:pgMar w:left="1000" w:top="1036" w:right="1000" w:bottom="392"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b w:val="1"/>
          <w:bCs w:val="1"/>
          <w:color w:val="231F20"/>
        </w:rPr>
        <w:t>Operating Margin to Before Charges/Gains Operati ng Marg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2477135</wp:posOffset>
            </wp:positionH>
            <wp:positionV relativeFrom="paragraph">
              <wp:posOffset>-85090</wp:posOffset>
            </wp:positionV>
            <wp:extent cx="4763"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0">
                      <a:extLst>
                        <a:ext uri="{28A0092B-C50C-407E-A947-70E740481C1C}"/>
                      </a:extLst>
                    </a:blip>
                    <a:srcRect/>
                    <a:stretch>
                      <a:fillRect/>
                    </a:stretch>
                  </pic:blipFill>
                  <pic:spPr bwMode="auto">
                    <a:xfrm>
                      <a:off x="0" y="0"/>
                      <a:ext cx="4763" cy="3873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231F20"/>
        </w:rPr>
        <w:t>(Unaudited)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59055</wp:posOffset>
                </wp:positionV>
                <wp:extent cx="651256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54">
                          <a:solidFill>
                            <a:srgbClr val="231F2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65pt" to="512.4pt,4.65pt" o:allowincell="f" strokecolor="#231F20" strokeweight="0.3035pt"/>
            </w:pict>
          </mc:Fallback>
        </mc:AlternateConten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40" w:type="dxa"/>
            <w:vAlign w:val="bottom"/>
          </w:tcPr>
          <w:p>
            <w:pPr>
              <w:spacing w:after="0"/>
              <w:rPr>
                <w:sz w:val="16"/>
                <w:szCs w:val="16"/>
                <w:color w:val="auto"/>
              </w:rPr>
            </w:pPr>
          </w:p>
        </w:tc>
        <w:tc>
          <w:tcPr>
            <w:tcW w:w="3200" w:type="dxa"/>
            <w:vAlign w:val="bottom"/>
          </w:tcPr>
          <w:p>
            <w:pPr>
              <w:jc w:val="right"/>
              <w:ind w:right="99"/>
              <w:spacing w:after="0"/>
              <w:rPr>
                <w:sz w:val="20"/>
                <w:szCs w:val="20"/>
                <w:color w:val="auto"/>
              </w:rPr>
            </w:pPr>
            <w:r>
              <w:rPr>
                <w:rFonts w:ascii="Arial" w:cs="Arial" w:eastAsia="Arial" w:hAnsi="Arial"/>
                <w:sz w:val="16"/>
                <w:szCs w:val="16"/>
                <w:color w:val="231F20"/>
              </w:rPr>
              <w:t>Fifty-two Weeks Ended December 30</w:t>
            </w:r>
          </w:p>
        </w:tc>
      </w:tr>
      <w:tr>
        <w:trPr>
          <w:trHeight w:val="36"/>
        </w:trPr>
        <w:tc>
          <w:tcPr>
            <w:tcW w:w="7040" w:type="dxa"/>
            <w:vAlign w:val="bottom"/>
          </w:tcPr>
          <w:p>
            <w:pPr>
              <w:spacing w:after="0"/>
              <w:rPr>
                <w:sz w:val="3"/>
                <w:szCs w:val="3"/>
                <w:color w:val="auto"/>
              </w:rPr>
            </w:pPr>
          </w:p>
        </w:tc>
        <w:tc>
          <w:tcPr>
            <w:tcW w:w="3200" w:type="dxa"/>
            <w:vAlign w:val="bottom"/>
            <w:tcBorders>
              <w:bottom w:val="single" w:sz="8" w:color="231F20"/>
            </w:tcBorders>
          </w:tcPr>
          <w:p>
            <w:pPr>
              <w:spacing w:after="0"/>
              <w:rPr>
                <w:sz w:val="3"/>
                <w:szCs w:val="3"/>
                <w:color w:val="auto"/>
              </w:rPr>
            </w:pPr>
          </w:p>
        </w:tc>
      </w:tr>
      <w:tr>
        <w:trPr>
          <w:trHeight w:val="361"/>
        </w:trPr>
        <w:tc>
          <w:tcPr>
            <w:tcW w:w="7040" w:type="dxa"/>
            <w:vAlign w:val="bottom"/>
          </w:tcPr>
          <w:p>
            <w:pPr>
              <w:spacing w:after="0"/>
              <w:rPr>
                <w:sz w:val="24"/>
                <w:szCs w:val="24"/>
                <w:color w:val="auto"/>
              </w:rPr>
            </w:pPr>
          </w:p>
        </w:tc>
        <w:tc>
          <w:tcPr>
            <w:tcW w:w="3200" w:type="dxa"/>
            <w:vAlign w:val="bottom"/>
          </w:tcPr>
          <w:p>
            <w:pPr>
              <w:jc w:val="right"/>
              <w:ind w:right="39"/>
              <w:spacing w:after="0"/>
              <w:rPr>
                <w:sz w:val="20"/>
                <w:szCs w:val="20"/>
                <w:color w:val="auto"/>
              </w:rPr>
            </w:pPr>
            <w:r>
              <w:rPr>
                <w:rFonts w:ascii="Arial" w:cs="Arial" w:eastAsia="Arial" w:hAnsi="Arial"/>
                <w:sz w:val="16"/>
                <w:szCs w:val="16"/>
                <w:color w:val="231F20"/>
              </w:rPr>
              <w:t>2023</w:t>
            </w:r>
          </w:p>
        </w:tc>
      </w:tr>
      <w:tr>
        <w:trPr>
          <w:trHeight w:val="24"/>
        </w:trPr>
        <w:tc>
          <w:tcPr>
            <w:tcW w:w="7040" w:type="dxa"/>
            <w:vAlign w:val="bottom"/>
            <w:tcBorders>
              <w:bottom w:val="single" w:sz="8" w:color="231F20"/>
            </w:tcBorders>
          </w:tcPr>
          <w:p>
            <w:pPr>
              <w:spacing w:after="0"/>
              <w:rPr>
                <w:sz w:val="2"/>
                <w:szCs w:val="2"/>
                <w:color w:val="auto"/>
              </w:rPr>
            </w:pPr>
          </w:p>
        </w:tc>
        <w:tc>
          <w:tcPr>
            <w:tcW w:w="3200" w:type="dxa"/>
            <w:vAlign w:val="bottom"/>
            <w:tcBorders>
              <w:bottom w:val="single" w:sz="8" w:color="231F20"/>
            </w:tcBorders>
          </w:tcPr>
          <w:p>
            <w:pPr>
              <w:spacing w:after="0"/>
              <w:rPr>
                <w:sz w:val="2"/>
                <w:szCs w:val="2"/>
                <w:color w:val="auto"/>
              </w:rPr>
            </w:pPr>
          </w:p>
        </w:tc>
      </w:tr>
      <w:tr>
        <w:trPr>
          <w:trHeight w:val="206"/>
        </w:trPr>
        <w:tc>
          <w:tcPr>
            <w:tcW w:w="7040" w:type="dxa"/>
            <w:vAlign w:val="bottom"/>
          </w:tcPr>
          <w:p>
            <w:pPr>
              <w:spacing w:after="0"/>
              <w:rPr>
                <w:sz w:val="20"/>
                <w:szCs w:val="20"/>
                <w:color w:val="auto"/>
              </w:rPr>
            </w:pPr>
            <w:r>
              <w:rPr>
                <w:rFonts w:ascii="Arial" w:cs="Arial" w:eastAsia="Arial" w:hAnsi="Arial"/>
                <w:sz w:val="16"/>
                <w:szCs w:val="16"/>
                <w:b w:val="1"/>
                <w:bCs w:val="1"/>
                <w:color w:val="231F20"/>
              </w:rPr>
              <w:t>WATER</w:t>
            </w:r>
          </w:p>
        </w:tc>
        <w:tc>
          <w:tcPr>
            <w:tcW w:w="3200" w:type="dxa"/>
            <w:vAlign w:val="bottom"/>
          </w:tcPr>
          <w:p>
            <w:pPr>
              <w:spacing w:after="0"/>
              <w:rPr>
                <w:sz w:val="17"/>
                <w:szCs w:val="17"/>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6"/>
                <w:szCs w:val="16"/>
                <w:b w:val="1"/>
                <w:bCs w:val="1"/>
                <w:color w:val="231F20"/>
              </w:rPr>
              <w:t>Operating margin</w:t>
            </w:r>
          </w:p>
        </w:tc>
        <w:tc>
          <w:tcPr>
            <w:tcW w:w="3200" w:type="dxa"/>
            <w:vAlign w:val="bottom"/>
          </w:tcPr>
          <w:p>
            <w:pPr>
              <w:jc w:val="right"/>
              <w:ind w:right="59"/>
              <w:spacing w:after="0"/>
              <w:rPr>
                <w:sz w:val="20"/>
                <w:szCs w:val="20"/>
                <w:color w:val="auto"/>
              </w:rPr>
            </w:pPr>
            <w:r>
              <w:rPr>
                <w:rFonts w:ascii="Arial" w:cs="Arial" w:eastAsia="Arial" w:hAnsi="Arial"/>
                <w:sz w:val="16"/>
                <w:szCs w:val="16"/>
                <w:color w:val="231F20"/>
              </w:rPr>
              <w:t>22.4%</w:t>
            </w:r>
          </w:p>
        </w:tc>
      </w:tr>
      <w:tr>
        <w:trPr>
          <w:trHeight w:val="212"/>
        </w:trPr>
        <w:tc>
          <w:tcPr>
            <w:tcW w:w="7040" w:type="dxa"/>
            <w:vAlign w:val="bottom"/>
          </w:tcPr>
          <w:p>
            <w:pPr>
              <w:ind w:left="180"/>
              <w:spacing w:after="0"/>
              <w:rPr>
                <w:sz w:val="20"/>
                <w:szCs w:val="20"/>
                <w:color w:val="auto"/>
              </w:rPr>
            </w:pPr>
            <w:r>
              <w:rPr>
                <w:rFonts w:ascii="Arial" w:cs="Arial" w:eastAsia="Arial" w:hAnsi="Arial"/>
                <w:sz w:val="16"/>
                <w:szCs w:val="16"/>
                <w:color w:val="231F20"/>
              </w:rPr>
              <w:t>Restructur n  charges</w:t>
            </w:r>
          </w:p>
        </w:tc>
        <w:tc>
          <w:tcPr>
            <w:tcW w:w="3200" w:type="dxa"/>
            <w:vAlign w:val="bottom"/>
          </w:tcPr>
          <w:p>
            <w:pPr>
              <w:jc w:val="right"/>
              <w:ind w:right="59"/>
              <w:spacing w:after="0"/>
              <w:rPr>
                <w:sz w:val="20"/>
                <w:szCs w:val="20"/>
                <w:color w:val="auto"/>
              </w:rPr>
            </w:pPr>
            <w:r>
              <w:rPr>
                <w:rFonts w:ascii="Arial" w:cs="Arial" w:eastAsia="Arial" w:hAnsi="Arial"/>
                <w:sz w:val="16"/>
                <w:szCs w:val="16"/>
                <w:color w:val="231F20"/>
              </w:rPr>
              <w:t>0.1%</w:t>
            </w:r>
          </w:p>
        </w:tc>
      </w:tr>
      <w:tr>
        <w:trPr>
          <w:trHeight w:val="212"/>
        </w:trPr>
        <w:tc>
          <w:tcPr>
            <w:tcW w:w="7040" w:type="dxa"/>
            <w:vAlign w:val="bottom"/>
          </w:tcPr>
          <w:p>
            <w:pPr>
              <w:ind w:left="180"/>
              <w:spacing w:after="0"/>
              <w:rPr>
                <w:sz w:val="20"/>
                <w:szCs w:val="20"/>
                <w:color w:val="auto"/>
              </w:rPr>
            </w:pPr>
            <w:r>
              <w:rPr>
                <w:rFonts w:ascii="Arial" w:cs="Arial" w:eastAsia="Arial" w:hAnsi="Arial"/>
                <w:sz w:val="16"/>
                <w:szCs w:val="16"/>
                <w:color w:val="231F20"/>
              </w:rPr>
              <w:t>Other charges/(gains)</w:t>
            </w:r>
          </w:p>
        </w:tc>
        <w:tc>
          <w:tcPr>
            <w:tcW w:w="3200" w:type="dxa"/>
            <w:vAlign w:val="bottom"/>
          </w:tcPr>
          <w:p>
            <w:pPr>
              <w:spacing w:after="0"/>
              <w:rPr>
                <w:sz w:val="18"/>
                <w:szCs w:val="18"/>
                <w:color w:val="auto"/>
              </w:rPr>
            </w:pPr>
          </w:p>
        </w:tc>
      </w:tr>
      <w:tr>
        <w:trPr>
          <w:trHeight w:val="212"/>
        </w:trPr>
        <w:tc>
          <w:tcPr>
            <w:tcW w:w="7040" w:type="dxa"/>
            <w:vAlign w:val="bottom"/>
          </w:tcPr>
          <w:p>
            <w:pPr>
              <w:ind w:left="360"/>
              <w:spacing w:after="0"/>
              <w:rPr>
                <w:sz w:val="20"/>
                <w:szCs w:val="20"/>
                <w:color w:val="auto"/>
              </w:rPr>
            </w:pPr>
            <w:r>
              <w:rPr>
                <w:rFonts w:ascii="Arial" w:cs="Arial" w:eastAsia="Arial" w:hAnsi="Arial"/>
                <w:sz w:val="16"/>
                <w:szCs w:val="16"/>
                <w:color w:val="231F20"/>
              </w:rPr>
              <w:t>Cost of products so d</w:t>
            </w:r>
          </w:p>
        </w:tc>
        <w:tc>
          <w:tcPr>
            <w:tcW w:w="3200" w:type="dxa"/>
            <w:vAlign w:val="bottom"/>
          </w:tcPr>
          <w:p>
            <w:pPr>
              <w:jc w:val="right"/>
              <w:ind w:right="59"/>
              <w:spacing w:after="0"/>
              <w:rPr>
                <w:sz w:val="20"/>
                <w:szCs w:val="20"/>
                <w:color w:val="auto"/>
              </w:rPr>
            </w:pPr>
            <w:r>
              <w:rPr>
                <w:rFonts w:ascii="Arial" w:cs="Arial" w:eastAsia="Arial" w:hAnsi="Arial"/>
                <w:sz w:val="16"/>
                <w:szCs w:val="16"/>
                <w:color w:val="231F20"/>
              </w:rPr>
              <w:t>0.1%</w:t>
            </w:r>
          </w:p>
        </w:tc>
      </w:tr>
      <w:tr>
        <w:trPr>
          <w:trHeight w:val="232"/>
        </w:trPr>
        <w:tc>
          <w:tcPr>
            <w:tcW w:w="7040" w:type="dxa"/>
            <w:vAlign w:val="bottom"/>
            <w:tcBorders>
              <w:bottom w:val="single" w:sz="8" w:color="231F20"/>
            </w:tcBorders>
          </w:tcPr>
          <w:p>
            <w:pPr>
              <w:ind w:left="180"/>
              <w:spacing w:after="0"/>
              <w:rPr>
                <w:sz w:val="20"/>
                <w:szCs w:val="20"/>
                <w:color w:val="auto"/>
              </w:rPr>
            </w:pPr>
            <w:r>
              <w:rPr>
                <w:rFonts w:ascii="Arial" w:cs="Arial" w:eastAsia="Arial" w:hAnsi="Arial"/>
                <w:sz w:val="16"/>
                <w:szCs w:val="16"/>
                <w:color w:val="231F20"/>
              </w:rPr>
              <w:t xml:space="preserve">Amortization of nventory step-up </w:t>
            </w:r>
            <w:r>
              <w:rPr>
                <w:rFonts w:ascii="Arial" w:cs="Arial" w:eastAsia="Arial" w:hAnsi="Arial"/>
                <w:sz w:val="9"/>
                <w:szCs w:val="9"/>
                <w:color w:val="231F20"/>
              </w:rPr>
              <w:t>(</w:t>
            </w:r>
            <w:r>
              <w:rPr>
                <w:rFonts w:ascii="Arial" w:cs="Arial" w:eastAsia="Arial" w:hAnsi="Arial"/>
                <w:sz w:val="18"/>
                <w:szCs w:val="18"/>
                <w:color w:val="231F20"/>
                <w:vertAlign w:val="superscript"/>
              </w:rPr>
              <w:t>f</w:t>
            </w:r>
            <w:r>
              <w:rPr>
                <w:rFonts w:ascii="Arial" w:cs="Arial" w:eastAsia="Arial" w:hAnsi="Arial"/>
                <w:sz w:val="9"/>
                <w:szCs w:val="9"/>
                <w:color w:val="231F20"/>
              </w:rPr>
              <w:t>)</w:t>
            </w:r>
          </w:p>
        </w:tc>
        <w:tc>
          <w:tcPr>
            <w:tcW w:w="3200" w:type="dxa"/>
            <w:vAlign w:val="bottom"/>
            <w:tcBorders>
              <w:bottom w:val="single" w:sz="8" w:color="231F20"/>
            </w:tcBorders>
          </w:tcPr>
          <w:p>
            <w:pPr>
              <w:jc w:val="right"/>
              <w:ind w:right="59"/>
              <w:spacing w:after="0"/>
              <w:rPr>
                <w:sz w:val="20"/>
                <w:szCs w:val="20"/>
                <w:color w:val="auto"/>
              </w:rPr>
            </w:pPr>
            <w:r>
              <w:rPr>
                <w:rFonts w:ascii="Arial" w:cs="Arial" w:eastAsia="Arial" w:hAnsi="Arial"/>
                <w:sz w:val="16"/>
                <w:szCs w:val="16"/>
                <w:color w:val="231F20"/>
              </w:rPr>
              <w:t>0.1%</w:t>
            </w:r>
          </w:p>
        </w:tc>
      </w:tr>
      <w:tr>
        <w:trPr>
          <w:trHeight w:val="214"/>
        </w:trPr>
        <w:tc>
          <w:tcPr>
            <w:tcW w:w="7040" w:type="dxa"/>
            <w:vAlign w:val="bottom"/>
          </w:tcPr>
          <w:p>
            <w:pPr>
              <w:spacing w:after="0"/>
              <w:rPr>
                <w:sz w:val="20"/>
                <w:szCs w:val="20"/>
                <w:color w:val="auto"/>
              </w:rPr>
            </w:pPr>
            <w:r>
              <w:rPr>
                <w:rFonts w:ascii="Arial" w:cs="Arial" w:eastAsia="Arial" w:hAnsi="Arial"/>
                <w:sz w:val="16"/>
                <w:szCs w:val="16"/>
                <w:b w:val="1"/>
                <w:bCs w:val="1"/>
                <w:color w:val="231F20"/>
              </w:rPr>
              <w:t>Before charges/gains operati ng margin</w:t>
            </w:r>
          </w:p>
        </w:tc>
        <w:tc>
          <w:tcPr>
            <w:tcW w:w="3200" w:type="dxa"/>
            <w:vAlign w:val="bottom"/>
          </w:tcPr>
          <w:p>
            <w:pPr>
              <w:jc w:val="right"/>
              <w:ind w:right="59"/>
              <w:spacing w:after="0"/>
              <w:rPr>
                <w:sz w:val="20"/>
                <w:szCs w:val="20"/>
                <w:color w:val="auto"/>
              </w:rPr>
            </w:pPr>
            <w:r>
              <w:rPr>
                <w:rFonts w:ascii="Arial" w:cs="Arial" w:eastAsia="Arial" w:hAnsi="Arial"/>
                <w:sz w:val="16"/>
                <w:szCs w:val="16"/>
                <w:color w:val="231F20"/>
              </w:rPr>
              <w:t>22.7%</w:t>
            </w:r>
          </w:p>
        </w:tc>
      </w:tr>
      <w:tr>
        <w:trPr>
          <w:trHeight w:val="45"/>
        </w:trPr>
        <w:tc>
          <w:tcPr>
            <w:tcW w:w="7040" w:type="dxa"/>
            <w:vAlign w:val="bottom"/>
            <w:tcBorders>
              <w:bottom w:val="single" w:sz="8" w:color="231F20"/>
            </w:tcBorders>
          </w:tcPr>
          <w:p>
            <w:pPr>
              <w:spacing w:after="0"/>
              <w:rPr>
                <w:sz w:val="3"/>
                <w:szCs w:val="3"/>
                <w:color w:val="auto"/>
              </w:rPr>
            </w:pPr>
          </w:p>
        </w:tc>
        <w:tc>
          <w:tcPr>
            <w:tcW w:w="3200" w:type="dxa"/>
            <w:vAlign w:val="bottom"/>
            <w:tcBorders>
              <w:bottom w:val="single" w:sz="8" w:color="231F20"/>
            </w:tcBorders>
          </w:tcPr>
          <w:p>
            <w:pPr>
              <w:spacing w:after="0"/>
              <w:rPr>
                <w:sz w:val="3"/>
                <w:szCs w:val="3"/>
                <w:color w:val="auto"/>
              </w:rPr>
            </w:pPr>
          </w:p>
        </w:tc>
      </w:tr>
    </w:tbl>
    <w:p>
      <w:pPr>
        <w:spacing w:after="0" w:line="184" w:lineRule="exact"/>
        <w:rPr>
          <w:sz w:val="20"/>
          <w:szCs w:val="20"/>
          <w:color w:val="auto"/>
        </w:rPr>
      </w:pPr>
    </w:p>
    <w:p>
      <w:pPr>
        <w:sectPr>
          <w:pgSz w:w="12240" w:h="15840" w:orient="portrait"/>
          <w:cols w:equalWidth="0" w:num="1">
            <w:col w:w="10240"/>
          </w:cols>
          <w:pgMar w:left="1000" w:top="1044" w:right="1000" w:bottom="370" w:gutter="0" w:footer="0" w:header="0"/>
        </w:sectPr>
      </w:pPr>
    </w:p>
    <w:p>
      <w:pPr>
        <w:spacing w:after="0"/>
        <w:rPr>
          <w:sz w:val="20"/>
          <w:szCs w:val="20"/>
          <w:color w:val="auto"/>
        </w:rPr>
      </w:pPr>
      <w:r>
        <w:rPr>
          <w:rFonts w:ascii="Arial" w:cs="Arial" w:eastAsia="Arial" w:hAnsi="Arial"/>
          <w:sz w:val="16"/>
          <w:szCs w:val="16"/>
          <w:b w:val="1"/>
          <w:bCs w:val="1"/>
          <w:color w:val="231F20"/>
        </w:rPr>
        <w:t>OUTDOORS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Operating margin</w:t>
      </w:r>
    </w:p>
    <w:p>
      <w:pPr>
        <w:spacing w:after="0" w:line="54"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6"/>
          <w:szCs w:val="16"/>
          <w:color w:val="231F20"/>
        </w:rPr>
        <w:t>Restructur n</w:t>
      </w:r>
      <w:r>
        <w:rPr>
          <w:sz w:val="20"/>
          <w:szCs w:val="20"/>
          <w:color w:val="auto"/>
        </w:rPr>
        <w:tab/>
      </w:r>
      <w:r>
        <w:rPr>
          <w:rFonts w:ascii="Arial" w:cs="Arial" w:eastAsia="Arial" w:hAnsi="Arial"/>
          <w:sz w:val="15"/>
          <w:szCs w:val="15"/>
          <w:color w:val="231F20"/>
        </w:rPr>
        <w:t>charges</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6"/>
          <w:szCs w:val="16"/>
          <w:color w:val="231F20"/>
        </w:rPr>
        <w:t>Other charges/(gains)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Cost of products so d</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6"/>
          <w:szCs w:val="16"/>
          <w:color w:val="231F20"/>
        </w:rPr>
        <w:t xml:space="preserve">Solar compensation </w:t>
      </w:r>
      <w:r>
        <w:rPr>
          <w:rFonts w:ascii="Arial" w:cs="Arial" w:eastAsia="Arial" w:hAnsi="Arial"/>
          <w:sz w:val="9"/>
          <w:szCs w:val="9"/>
          <w:color w:val="231F20"/>
        </w:rPr>
        <w:t>(</w:t>
      </w:r>
      <w:r>
        <w:rPr>
          <w:rFonts w:ascii="Arial" w:cs="Arial" w:eastAsia="Arial" w:hAnsi="Arial"/>
          <w:sz w:val="18"/>
          <w:szCs w:val="18"/>
          <w:color w:val="231F20"/>
          <w:vertAlign w:val="superscript"/>
        </w:rPr>
        <w:t>e</w:t>
      </w:r>
      <w:r>
        <w:rPr>
          <w:rFonts w:ascii="Arial" w:cs="Arial" w:eastAsia="Arial" w:hAnsi="Arial"/>
          <w:sz w:val="9"/>
          <w:szCs w:val="9"/>
          <w:color w:val="231F20"/>
        </w:rPr>
        <w:t>)</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6"/>
          <w:szCs w:val="16"/>
          <w:color w:val="231F20"/>
        </w:rPr>
        <w:t xml:space="preserve">Asset impairment charges </w:t>
      </w:r>
      <w:r>
        <w:rPr>
          <w:rFonts w:ascii="Arial" w:cs="Arial" w:eastAsia="Arial" w:hAnsi="Arial"/>
          <w:sz w:val="9"/>
          <w:szCs w:val="9"/>
          <w:color w:val="231F20"/>
        </w:rPr>
        <w:t>(g)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17780</wp:posOffset>
                </wp:positionV>
                <wp:extent cx="651256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47">
                          <a:solidFill>
                            <a:srgbClr val="231F2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1.4pt" to="512.4pt,1.4pt" o:allowincell="f" strokecolor="#231F20" strokeweight="0.3029pt"/>
            </w:pict>
          </mc:Fallback>
        </mc:AlternateConten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Before charges/gains operati ng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55245</wp:posOffset>
                </wp:positionV>
                <wp:extent cx="651256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47">
                          <a:solidFill>
                            <a:srgbClr val="231F2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35pt" to="512.4pt,4.35pt" o:allowincell="f" strokecolor="#231F20" strokeweight="0.3029pt"/>
            </w:pict>
          </mc:Fallback>
        </mc:AlternateConten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SECURITY</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Operating margin</w:t>
      </w:r>
    </w:p>
    <w:p>
      <w:pPr>
        <w:spacing w:after="0" w:line="12" w:lineRule="exact"/>
        <w:rPr>
          <w:sz w:val="20"/>
          <w:szCs w:val="20"/>
          <w:color w:val="auto"/>
        </w:rPr>
      </w:pPr>
    </w:p>
    <w:p>
      <w:pPr>
        <w:ind w:left="180"/>
        <w:spacing w:after="0"/>
        <w:tabs>
          <w:tab w:leader="none" w:pos="1140" w:val="left"/>
        </w:tabs>
        <w:rPr>
          <w:sz w:val="20"/>
          <w:szCs w:val="20"/>
          <w:color w:val="auto"/>
        </w:rPr>
      </w:pPr>
      <w:r>
        <w:rPr>
          <w:rFonts w:ascii="Arial" w:cs="Arial" w:eastAsia="Arial" w:hAnsi="Arial"/>
          <w:sz w:val="16"/>
          <w:szCs w:val="16"/>
          <w:color w:val="231F20"/>
        </w:rPr>
        <w:t>Restructur n</w:t>
      </w:r>
      <w:r>
        <w:rPr>
          <w:sz w:val="20"/>
          <w:szCs w:val="20"/>
          <w:color w:val="auto"/>
        </w:rPr>
        <w:tab/>
      </w:r>
      <w:r>
        <w:rPr>
          <w:rFonts w:ascii="Arial" w:cs="Arial" w:eastAsia="Arial" w:hAnsi="Arial"/>
          <w:sz w:val="15"/>
          <w:szCs w:val="15"/>
          <w:color w:val="231F20"/>
        </w:rPr>
        <w:t>charges</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6"/>
          <w:szCs w:val="16"/>
          <w:color w:val="231F20"/>
        </w:rPr>
        <w:t>Other charges/(gains)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231F20"/>
        </w:rPr>
        <w:t>Cost of products so d</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6"/>
          <w:szCs w:val="16"/>
          <w:color w:val="231F20"/>
        </w:rPr>
        <w:t xml:space="preserve">Amortization of nventory step-up </w:t>
      </w:r>
      <w:r>
        <w:rPr>
          <w:rFonts w:ascii="Arial" w:cs="Arial" w:eastAsia="Arial" w:hAnsi="Arial"/>
          <w:sz w:val="9"/>
          <w:szCs w:val="9"/>
          <w:color w:val="231F20"/>
        </w:rPr>
        <w:t>(</w:t>
      </w:r>
      <w:r>
        <w:rPr>
          <w:rFonts w:ascii="Arial" w:cs="Arial" w:eastAsia="Arial" w:hAnsi="Arial"/>
          <w:sz w:val="18"/>
          <w:szCs w:val="18"/>
          <w:color w:val="231F20"/>
          <w:vertAlign w:val="superscript"/>
        </w:rPr>
        <w:t>f</w:t>
      </w:r>
      <w:r>
        <w:rPr>
          <w:rFonts w:ascii="Arial" w:cs="Arial" w:eastAsia="Arial" w:hAnsi="Arial"/>
          <w:sz w:val="9"/>
          <w:szCs w:val="9"/>
          <w:color w:val="231F2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45720</wp:posOffset>
                </wp:positionV>
                <wp:extent cx="651256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60">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3.6pt" to="512.4pt,3.6pt" o:allowincell="f" strokecolor="#231F20" strokeweight="0.3039pt"/>
            </w:pict>
          </mc:Fallback>
        </mc:AlternateConten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Before charges/gains operati ng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50800</wp:posOffset>
                </wp:positionV>
                <wp:extent cx="651256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48">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pt" to="512.4pt,4pt" o:allowincell="f" strokecolor="#231F20" strokeweight="0.303pt"/>
            </w:pict>
          </mc:Fallback>
        </mc:AlternateConten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TOTAL COMPANY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Operating margin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231F20"/>
        </w:rPr>
        <w:t>10.0%</w:t>
      </w:r>
    </w:p>
    <w:p>
      <w:pPr>
        <w:spacing w:after="0" w:line="2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231F20"/>
        </w:rPr>
        <w:t>(0.3%)</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color w:val="231F20"/>
        </w:rPr>
        <w:t>–</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0.2%</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2.5%</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231F20"/>
        </w:rPr>
        <w:t>13.0%</w:t>
      </w: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8.6%</w:t>
      </w:r>
    </w:p>
    <w:p>
      <w:pPr>
        <w:ind w:left="100"/>
        <w:spacing w:after="0"/>
        <w:rPr>
          <w:sz w:val="20"/>
          <w:szCs w:val="20"/>
          <w:color w:val="auto"/>
        </w:rPr>
      </w:pPr>
      <w:r>
        <w:rPr>
          <w:rFonts w:ascii="Arial" w:cs="Arial" w:eastAsia="Arial" w:hAnsi="Arial"/>
          <w:sz w:val="16"/>
          <w:szCs w:val="16"/>
          <w:color w:val="231F20"/>
        </w:rPr>
        <w:t>3.5%</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2.7%</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1.2%</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231F20"/>
        </w:rPr>
        <w:t>16.0%</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231F20"/>
        </w:rPr>
        <w:t>13.3%</w:t>
      </w:r>
    </w:p>
    <w:p>
      <w:pPr>
        <w:spacing w:after="0" w:line="28" w:lineRule="exact"/>
        <w:rPr>
          <w:sz w:val="20"/>
          <w:szCs w:val="20"/>
          <w:color w:val="auto"/>
        </w:rPr>
      </w:pPr>
    </w:p>
    <w:p>
      <w:pPr>
        <w:sectPr>
          <w:pgSz w:w="12240" w:h="15840" w:orient="portrait"/>
          <w:cols w:equalWidth="0" w:num="2">
            <w:col w:w="8920" w:space="720"/>
            <w:col w:w="600"/>
          </w:cols>
          <w:pgMar w:left="1000" w:top="1044" w:right="1000" w:bottom="370" w:gutter="0" w:footer="0" w:header="0"/>
          <w:type w:val="continuous"/>
        </w:sectPr>
      </w:pPr>
    </w:p>
    <w:p>
      <w:pPr>
        <w:jc w:val="both"/>
        <w:ind w:left="180" w:right="840" w:hanging="5"/>
        <w:spacing w:after="0" w:line="276" w:lineRule="auto"/>
        <w:rPr>
          <w:sz w:val="20"/>
          <w:szCs w:val="20"/>
          <w:color w:val="auto"/>
        </w:rPr>
      </w:pPr>
      <w:r>
        <w:rPr>
          <w:rFonts w:ascii="Arial" w:cs="Arial" w:eastAsia="Arial" w:hAnsi="Arial"/>
          <w:sz w:val="16"/>
          <w:szCs w:val="16"/>
          <w:color w:val="231F20"/>
        </w:rPr>
        <w:t>Restructur n</w:t>
      </w:r>
      <w:r>
        <w:rPr>
          <w:sz w:val="20"/>
          <w:szCs w:val="20"/>
          <w:color w:val="auto"/>
        </w:rPr>
        <w:t xml:space="preserve"> </w:t>
      </w:r>
      <w:r>
        <w:rPr>
          <w:rFonts w:ascii="Arial" w:cs="Arial" w:eastAsia="Arial" w:hAnsi="Arial"/>
          <w:sz w:val="16"/>
          <w:szCs w:val="16"/>
          <w:color w:val="231F20"/>
        </w:rPr>
        <w:t>charges Other charges/(gains)</w:t>
      </w:r>
    </w:p>
    <w:p>
      <w:pPr>
        <w:spacing w:after="0" w:line="2"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6"/>
          <w:szCs w:val="16"/>
          <w:color w:val="231F20"/>
        </w:rPr>
        <w:t>Cost of</w:t>
      </w:r>
      <w:r>
        <w:rPr>
          <w:sz w:val="20"/>
          <w:szCs w:val="20"/>
          <w:color w:val="auto"/>
        </w:rPr>
        <w:tab/>
      </w:r>
      <w:r>
        <w:rPr>
          <w:rFonts w:ascii="Arial" w:cs="Arial" w:eastAsia="Arial" w:hAnsi="Arial"/>
          <w:sz w:val="16"/>
          <w:szCs w:val="16"/>
          <w:color w:val="231F20"/>
        </w:rPr>
        <w:t>roducts so d</w:t>
      </w:r>
    </w:p>
    <w:p>
      <w:pPr>
        <w:spacing w:after="0" w:line="28" w:lineRule="exact"/>
        <w:rPr>
          <w:sz w:val="20"/>
          <w:szCs w:val="20"/>
          <w:color w:val="auto"/>
        </w:rPr>
      </w:pPr>
    </w:p>
    <w:p>
      <w:pPr>
        <w:ind w:left="180" w:firstLine="182"/>
        <w:spacing w:after="0" w:line="261" w:lineRule="auto"/>
        <w:rPr>
          <w:sz w:val="20"/>
          <w:szCs w:val="20"/>
          <w:color w:val="auto"/>
        </w:rPr>
      </w:pPr>
      <w:r>
        <w:rPr>
          <w:rFonts w:ascii="Arial" w:cs="Arial" w:eastAsia="Arial" w:hAnsi="Arial"/>
          <w:sz w:val="16"/>
          <w:szCs w:val="16"/>
          <w:color w:val="231F20"/>
        </w:rPr>
        <w:t xml:space="preserve">Sell ng, general and adm n strat Solar compensation </w:t>
      </w:r>
      <w:r>
        <w:rPr>
          <w:rFonts w:ascii="Arial" w:cs="Arial" w:eastAsia="Arial" w:hAnsi="Arial"/>
          <w:sz w:val="9"/>
          <w:szCs w:val="9"/>
          <w:color w:val="231F20"/>
        </w:rPr>
        <w:t>(</w:t>
      </w:r>
      <w:r>
        <w:rPr>
          <w:rFonts w:ascii="Arial" w:cs="Arial" w:eastAsia="Arial" w:hAnsi="Arial"/>
          <w:sz w:val="18"/>
          <w:szCs w:val="18"/>
          <w:color w:val="231F20"/>
          <w:vertAlign w:val="superscript"/>
        </w:rPr>
        <w:t>e</w:t>
      </w:r>
      <w:r>
        <w:rPr>
          <w:rFonts w:ascii="Arial" w:cs="Arial" w:eastAsia="Arial" w:hAnsi="Arial"/>
          <w:sz w:val="9"/>
          <w:szCs w:val="9"/>
          <w:color w:val="231F20"/>
        </w:rPr>
        <w:t>)</w:t>
      </w:r>
    </w:p>
    <w:p>
      <w:pPr>
        <w:ind w:left="180"/>
        <w:spacing w:after="0"/>
        <w:tabs>
          <w:tab w:leader="none" w:pos="1440" w:val="left"/>
        </w:tabs>
        <w:rPr>
          <w:sz w:val="20"/>
          <w:szCs w:val="20"/>
          <w:color w:val="auto"/>
        </w:rPr>
      </w:pPr>
      <w:r>
        <w:rPr>
          <w:rFonts w:ascii="Arial" w:cs="Arial" w:eastAsia="Arial" w:hAnsi="Arial"/>
          <w:sz w:val="16"/>
          <w:szCs w:val="16"/>
          <w:color w:val="231F20"/>
        </w:rPr>
        <w:t>ASSA transactio</w:t>
      </w:r>
      <w:r>
        <w:rPr>
          <w:sz w:val="20"/>
          <w:szCs w:val="20"/>
          <w:color w:val="auto"/>
        </w:rPr>
        <w:tab/>
      </w:r>
      <w:r>
        <w:rPr>
          <w:rFonts w:ascii="Arial" w:cs="Arial" w:eastAsia="Arial" w:hAnsi="Arial"/>
          <w:sz w:val="14"/>
          <w:szCs w:val="14"/>
          <w:color w:val="231F20"/>
        </w:rPr>
        <w:t xml:space="preserve">expenses </w:t>
      </w:r>
      <w:r>
        <w:rPr>
          <w:rFonts w:ascii="Arial" w:cs="Arial" w:eastAsia="Arial" w:hAnsi="Arial"/>
          <w:sz w:val="8"/>
          <w:szCs w:val="8"/>
          <w:color w:val="231F20"/>
        </w:rPr>
        <w:t>(</w:t>
      </w:r>
      <w:r>
        <w:rPr>
          <w:rFonts w:ascii="Arial" w:cs="Arial" w:eastAsia="Arial" w:hAnsi="Arial"/>
          <w:sz w:val="16"/>
          <w:szCs w:val="16"/>
          <w:color w:val="231F20"/>
          <w:vertAlign w:val="superscript"/>
        </w:rPr>
        <w:t>d</w:t>
      </w:r>
      <w:r>
        <w:rPr>
          <w:rFonts w:ascii="Arial" w:cs="Arial" w:eastAsia="Arial" w:hAnsi="Arial"/>
          <w:sz w:val="8"/>
          <w:szCs w:val="8"/>
          <w:color w:val="231F20"/>
        </w:rPr>
        <w:t>)</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6"/>
          <w:szCs w:val="16"/>
          <w:color w:val="231F20"/>
        </w:rPr>
        <w:t>Amortization of nventory step-up</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6"/>
          <w:szCs w:val="16"/>
          <w:color w:val="231F20"/>
        </w:rPr>
        <w:t xml:space="preserve">Asset mpa rment charges </w:t>
      </w:r>
      <w:r>
        <w:rPr>
          <w:rFonts w:ascii="Arial" w:cs="Arial" w:eastAsia="Arial" w:hAnsi="Arial"/>
          <w:sz w:val="9"/>
          <w:szCs w:val="9"/>
          <w:color w:val="231F20"/>
        </w:rPr>
        <w:t>(g)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231F20"/>
        </w:rPr>
        <w:t>ve ex enses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9"/>
          <w:szCs w:val="9"/>
          <w:color w:val="231F20"/>
        </w:rPr>
        <w:t>(f)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-1630680</wp:posOffset>
                </wp:positionH>
                <wp:positionV relativeFrom="paragraph">
                  <wp:posOffset>196215</wp:posOffset>
                </wp:positionV>
                <wp:extent cx="651256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61">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8.3999pt,15.45pt" to="384.4pt,15.45pt" o:allowincell="f" strokecolor="#231F20" strokeweight="0.304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231F20"/>
        </w:rPr>
        <w:t>0.7%</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231F20"/>
        </w:rPr>
        <w:t>0.5%</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231F20"/>
        </w:rPr>
        <w:t>0.1%</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231F20"/>
        </w:rPr>
        <w:t>0.4%</w:t>
      </w:r>
    </w:p>
    <w:p>
      <w:pPr>
        <w:spacing w:after="0" w:line="40"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231F20"/>
        </w:rPr>
        <w:t>0.3%</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231F20"/>
        </w:rPr>
        <w:t>0.7%</w:t>
      </w:r>
    </w:p>
    <w:p>
      <w:pPr>
        <w:spacing w:after="0" w:line="55" w:lineRule="exact"/>
        <w:rPr>
          <w:sz w:val="20"/>
          <w:szCs w:val="20"/>
          <w:color w:val="auto"/>
        </w:rPr>
      </w:pPr>
    </w:p>
    <w:p>
      <w:pPr>
        <w:sectPr>
          <w:pgSz w:w="12240" w:h="15840" w:orient="portrait"/>
          <w:cols w:equalWidth="0" w:num="3">
            <w:col w:w="2560" w:space="0"/>
            <w:col w:w="6460" w:space="720"/>
            <w:col w:w="500"/>
          </w:cols>
          <w:pgMar w:left="1000" w:top="1044" w:right="1000" w:bottom="370" w:gutter="0" w:footer="0" w:header="0"/>
          <w:type w:val="continuous"/>
        </w:sectPr>
      </w:pPr>
    </w:p>
    <w:p>
      <w:pPr>
        <w:spacing w:after="0"/>
        <w:rPr>
          <w:sz w:val="20"/>
          <w:szCs w:val="20"/>
          <w:color w:val="auto"/>
        </w:rPr>
      </w:pPr>
      <w:r>
        <w:rPr>
          <w:rFonts w:ascii="Arial" w:cs="Arial" w:eastAsia="Arial" w:hAnsi="Arial"/>
          <w:sz w:val="16"/>
          <w:szCs w:val="16"/>
          <w:b w:val="1"/>
          <w:bCs w:val="1"/>
          <w:color w:val="231F20"/>
        </w:rPr>
        <w:t>Before charges/gains operati ng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49530</wp:posOffset>
                </wp:positionV>
                <wp:extent cx="651256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60">
                          <a:solidFill>
                            <a:srgbClr val="231F2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3.9pt" to="512.4pt,3.9pt" o:allowincell="f" strokecolor="#231F20" strokeweight="0.3039pt"/>
            </w:pict>
          </mc:Fallback>
        </mc:AlternateConten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16.0%</w:t>
      </w:r>
    </w:p>
    <w:p>
      <w:pPr>
        <w:spacing w:after="0" w:line="200" w:lineRule="exact"/>
        <w:rPr>
          <w:sz w:val="20"/>
          <w:szCs w:val="20"/>
          <w:color w:val="auto"/>
        </w:rPr>
      </w:pPr>
    </w:p>
    <w:p>
      <w:pPr>
        <w:sectPr>
          <w:pgSz w:w="12240" w:h="15840" w:orient="portrait"/>
          <w:cols w:equalWidth="0" w:num="2">
            <w:col w:w="8920" w:space="720"/>
            <w:col w:w="600"/>
          </w:cols>
          <w:pgMar w:left="1000" w:top="1044" w:right="1000" w:bottom="370" w:gutter="0" w:footer="0" w:header="0"/>
          <w:type w:val="continuous"/>
        </w:sectPr>
      </w:pPr>
    </w:p>
    <w:p>
      <w:pPr>
        <w:spacing w:after="0" w:line="84" w:lineRule="exact"/>
        <w:rPr>
          <w:sz w:val="20"/>
          <w:szCs w:val="20"/>
          <w:color w:val="auto"/>
        </w:rPr>
      </w:pPr>
    </w:p>
    <w:p>
      <w:pPr>
        <w:spacing w:after="0"/>
        <w:tabs>
          <w:tab w:leader="none" w:pos="2420" w:val="left"/>
          <w:tab w:leader="none" w:pos="3440" w:val="left"/>
          <w:tab w:leader="none" w:pos="7540" w:val="left"/>
        </w:tabs>
        <w:rPr>
          <w:sz w:val="20"/>
          <w:szCs w:val="20"/>
          <w:color w:val="auto"/>
        </w:rPr>
      </w:pPr>
      <w:r>
        <w:rPr>
          <w:rFonts w:ascii="Arial" w:cs="Arial" w:eastAsia="Arial" w:hAnsi="Arial"/>
          <w:sz w:val="16"/>
          <w:szCs w:val="16"/>
          <w:color w:val="231F20"/>
        </w:rPr>
        <w:t>Operat ng marg n s ca culated a</w:t>
        <w:tab/>
        <w:t>the o  erati</w:t>
      </w:r>
      <w:r>
        <w:rPr>
          <w:sz w:val="20"/>
          <w:szCs w:val="20"/>
          <w:color w:val="auto"/>
        </w:rPr>
        <w:tab/>
      </w:r>
      <w:r>
        <w:rPr>
          <w:rFonts w:ascii="Arial" w:cs="Arial" w:eastAsia="Arial" w:hAnsi="Arial"/>
          <w:sz w:val="16"/>
          <w:szCs w:val="16"/>
          <w:color w:val="231F20"/>
        </w:rPr>
        <w:t>ncome in accord a ce with GAAP div ded by the GAAP</w:t>
      </w:r>
      <w:r>
        <w:rPr>
          <w:sz w:val="20"/>
          <w:szCs w:val="20"/>
          <w:color w:val="auto"/>
        </w:rPr>
        <w:tab/>
      </w:r>
      <w:r>
        <w:rPr>
          <w:rFonts w:ascii="Arial" w:cs="Arial" w:eastAsia="Arial" w:hAnsi="Arial"/>
          <w:sz w:val="16"/>
          <w:szCs w:val="16"/>
          <w:color w:val="231F20"/>
        </w:rPr>
        <w:t>et sa es The before charges/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231F20"/>
        </w:rPr>
        <w:t>gains operat ng margin is ca cu ated as the o  erati g income exc uding restr cturi g charges and other char es/ga ns, So ar compe sat o</w:t>
      </w:r>
    </w:p>
    <w:p>
      <w:pPr>
        <w:spacing w:after="0" w:line="18" w:lineRule="exact"/>
        <w:rPr>
          <w:sz w:val="20"/>
          <w:szCs w:val="20"/>
          <w:color w:val="auto"/>
        </w:rPr>
      </w:pPr>
    </w:p>
    <w:p>
      <w:pPr>
        <w:spacing w:after="0"/>
        <w:tabs>
          <w:tab w:leader="none" w:pos="2300" w:val="left"/>
          <w:tab w:leader="none" w:pos="4000" w:val="left"/>
        </w:tabs>
        <w:rPr>
          <w:sz w:val="20"/>
          <w:szCs w:val="20"/>
          <w:color w:val="auto"/>
        </w:rPr>
      </w:pPr>
      <w:r>
        <w:rPr>
          <w:rFonts w:ascii="Arial" w:cs="Arial" w:eastAsia="Arial" w:hAnsi="Arial"/>
          <w:sz w:val="16"/>
          <w:szCs w:val="16"/>
          <w:color w:val="231F20"/>
        </w:rPr>
        <w:t>arran ement, ASSA tra sact o</w:t>
        <w:tab/>
        <w:t>expe ses, amortizatio</w:t>
      </w:r>
      <w:r>
        <w:rPr>
          <w:sz w:val="20"/>
          <w:szCs w:val="20"/>
          <w:color w:val="auto"/>
        </w:rPr>
        <w:tab/>
      </w:r>
      <w:r>
        <w:rPr>
          <w:rFonts w:ascii="Arial" w:cs="Arial" w:eastAsia="Arial" w:hAnsi="Arial"/>
          <w:sz w:val="16"/>
          <w:szCs w:val="16"/>
          <w:color w:val="231F20"/>
        </w:rPr>
        <w:t>of nventory step-up assoc ated w th the acquisition of the ASSA businesses and asset</w:t>
      </w:r>
    </w:p>
    <w:p>
      <w:pPr>
        <w:spacing w:after="0" w:line="18" w:lineRule="exact"/>
        <w:rPr>
          <w:sz w:val="20"/>
          <w:szCs w:val="20"/>
          <w:color w:val="auto"/>
        </w:rPr>
      </w:pPr>
    </w:p>
    <w:p>
      <w:pPr>
        <w:jc w:val="both"/>
        <w:ind w:right="100" w:firstLine="32"/>
        <w:spacing w:after="0" w:line="263" w:lineRule="auto"/>
        <w:rPr>
          <w:sz w:val="20"/>
          <w:szCs w:val="20"/>
          <w:color w:val="auto"/>
        </w:rPr>
      </w:pPr>
      <w:r>
        <w:rPr>
          <w:rFonts w:ascii="Arial" w:cs="Arial" w:eastAsia="Arial" w:hAnsi="Arial"/>
          <w:sz w:val="16"/>
          <w:szCs w:val="16"/>
          <w:color w:val="231F20"/>
        </w:rPr>
        <w:t>m airment charges, divided by the GAAP net sales. This before charges/ga ns operating marg n is not a measure de rived i accorda ce with GAAP. Ma a eme t u ses th s meas re to eva ate th e ret r s ge erated by the Co mpa y and its b siness segments. Management believes that th s measure provides i vestors with helpful sup pleme ta informat o about the Compa y s nder y n erforma ce from period t</w:t>
      </w:r>
    </w:p>
    <w:p>
      <w:pPr>
        <w:spacing w:after="0" w:line="2" w:lineRule="exact"/>
        <w:rPr>
          <w:sz w:val="20"/>
          <w:szCs w:val="20"/>
          <w:color w:val="auto"/>
        </w:rPr>
      </w:pPr>
    </w:p>
    <w:p>
      <w:pPr>
        <w:ind w:left="80"/>
        <w:spacing w:after="0"/>
        <w:tabs>
          <w:tab w:leader="none" w:pos="1240" w:val="left"/>
          <w:tab w:leader="none" w:pos="5520" w:val="left"/>
        </w:tabs>
        <w:rPr>
          <w:sz w:val="20"/>
          <w:szCs w:val="20"/>
          <w:color w:val="auto"/>
        </w:rPr>
      </w:pPr>
      <w:r>
        <w:rPr>
          <w:rFonts w:ascii="Arial" w:cs="Arial" w:eastAsia="Arial" w:hAnsi="Arial"/>
          <w:sz w:val="16"/>
          <w:szCs w:val="16"/>
          <w:color w:val="231F20"/>
        </w:rPr>
        <w:t>eriod. Howeve</w:t>
      </w:r>
      <w:r>
        <w:rPr>
          <w:sz w:val="20"/>
          <w:szCs w:val="20"/>
          <w:color w:val="auto"/>
        </w:rPr>
        <w:tab/>
      </w:r>
      <w:r>
        <w:rPr>
          <w:rFonts w:ascii="Arial" w:cs="Arial" w:eastAsia="Arial" w:hAnsi="Arial"/>
          <w:sz w:val="16"/>
          <w:szCs w:val="16"/>
          <w:color w:val="231F20"/>
        </w:rPr>
        <w:t>this measure may not be cons ste t w th sim ar meas res</w:t>
        <w:tab/>
        <w:t>rese ted by oth er compa ies.</w:t>
      </w:r>
    </w:p>
    <w:p>
      <w:pPr>
        <w:spacing w:after="0" w:line="221"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color w:val="231F20"/>
        </w:rPr>
        <w:t>(d) (e) (f) (g) For definitio</w:t>
      </w:r>
      <w:r>
        <w:rPr>
          <w:sz w:val="20"/>
          <w:szCs w:val="20"/>
          <w:color w:val="auto"/>
        </w:rPr>
        <w:tab/>
      </w:r>
      <w:r>
        <w:rPr>
          <w:rFonts w:ascii="Arial" w:cs="Arial" w:eastAsia="Arial" w:hAnsi="Arial"/>
          <w:sz w:val="16"/>
          <w:szCs w:val="16"/>
          <w:color w:val="231F20"/>
        </w:rPr>
        <w:t>of N o -GAAP m eas res see Def nitions of Term s pa e.</w:t>
      </w:r>
    </w:p>
    <w:p>
      <w:pPr>
        <w:sectPr>
          <w:pgSz w:w="12240" w:h="15840" w:orient="portrait"/>
          <w:cols w:equalWidth="0" w:num="1">
            <w:col w:w="10240"/>
          </w:cols>
          <w:pgMar w:left="1000" w:top="1044" w:right="1000" w:bottom="37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100</w:t>
      </w:r>
    </w:p>
    <w:p>
      <w:pPr>
        <w:sectPr>
          <w:pgSz w:w="12240" w:h="15840" w:orient="portrait"/>
          <w:cols w:equalWidth="0" w:num="1">
            <w:col w:w="10240"/>
          </w:cols>
          <w:pgMar w:left="1000" w:top="1044" w:right="1000" w:bottom="370"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b w:val="1"/>
          <w:bCs w:val="1"/>
          <w:color w:val="231F20"/>
        </w:rPr>
        <w:t>Reconciliation of Dil uted EPS From Conti nu ing Operations Before Cha rges/Gai 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31F20"/>
        </w:rPr>
        <w:t>(Unaudited)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59055</wp:posOffset>
                </wp:positionV>
                <wp:extent cx="651256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54">
                          <a:solidFill>
                            <a:srgbClr val="231F2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65pt" to="512.4pt,4.65pt" o:allowincell="f" strokecolor="#231F20" strokeweight="0.3035pt"/>
            </w:pict>
          </mc:Fallback>
        </mc:AlternateConten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40" w:type="dxa"/>
            <w:vAlign w:val="bottom"/>
          </w:tcPr>
          <w:p>
            <w:pPr>
              <w:spacing w:after="0"/>
              <w:rPr>
                <w:sz w:val="16"/>
                <w:szCs w:val="16"/>
                <w:color w:val="auto"/>
              </w:rPr>
            </w:pPr>
          </w:p>
        </w:tc>
        <w:tc>
          <w:tcPr>
            <w:tcW w:w="3200" w:type="dxa"/>
            <w:vAlign w:val="bottom"/>
          </w:tcPr>
          <w:p>
            <w:pPr>
              <w:jc w:val="right"/>
              <w:ind w:right="99"/>
              <w:spacing w:after="0"/>
              <w:rPr>
                <w:sz w:val="20"/>
                <w:szCs w:val="20"/>
                <w:color w:val="auto"/>
              </w:rPr>
            </w:pPr>
            <w:r>
              <w:rPr>
                <w:rFonts w:ascii="Arial" w:cs="Arial" w:eastAsia="Arial" w:hAnsi="Arial"/>
                <w:sz w:val="16"/>
                <w:szCs w:val="16"/>
                <w:color w:val="231F20"/>
              </w:rPr>
              <w:t>Fifty-two Weeks Ended December 30</w:t>
            </w:r>
          </w:p>
        </w:tc>
      </w:tr>
      <w:tr>
        <w:trPr>
          <w:trHeight w:val="36"/>
        </w:trPr>
        <w:tc>
          <w:tcPr>
            <w:tcW w:w="7040" w:type="dxa"/>
            <w:vAlign w:val="bottom"/>
          </w:tcPr>
          <w:p>
            <w:pPr>
              <w:spacing w:after="0"/>
              <w:rPr>
                <w:sz w:val="3"/>
                <w:szCs w:val="3"/>
                <w:color w:val="auto"/>
              </w:rPr>
            </w:pPr>
          </w:p>
        </w:tc>
        <w:tc>
          <w:tcPr>
            <w:tcW w:w="3200" w:type="dxa"/>
            <w:vAlign w:val="bottom"/>
            <w:tcBorders>
              <w:bottom w:val="single" w:sz="8" w:color="231F20"/>
            </w:tcBorders>
          </w:tcPr>
          <w:p>
            <w:pPr>
              <w:spacing w:after="0"/>
              <w:rPr>
                <w:sz w:val="3"/>
                <w:szCs w:val="3"/>
                <w:color w:val="auto"/>
              </w:rPr>
            </w:pPr>
          </w:p>
        </w:tc>
      </w:tr>
      <w:tr>
        <w:trPr>
          <w:trHeight w:val="234"/>
        </w:trPr>
        <w:tc>
          <w:tcPr>
            <w:tcW w:w="7040" w:type="dxa"/>
            <w:vAlign w:val="bottom"/>
          </w:tcPr>
          <w:p>
            <w:pPr>
              <w:spacing w:after="0"/>
              <w:rPr>
                <w:sz w:val="20"/>
                <w:szCs w:val="20"/>
                <w:color w:val="auto"/>
              </w:rPr>
            </w:pPr>
          </w:p>
        </w:tc>
        <w:tc>
          <w:tcPr>
            <w:tcW w:w="3200" w:type="dxa"/>
            <w:vAlign w:val="bottom"/>
          </w:tcPr>
          <w:p>
            <w:pPr>
              <w:jc w:val="right"/>
              <w:ind w:right="39"/>
              <w:spacing w:after="0"/>
              <w:rPr>
                <w:sz w:val="20"/>
                <w:szCs w:val="20"/>
                <w:color w:val="auto"/>
              </w:rPr>
            </w:pPr>
            <w:r>
              <w:rPr>
                <w:rFonts w:ascii="Arial" w:cs="Arial" w:eastAsia="Arial" w:hAnsi="Arial"/>
                <w:sz w:val="16"/>
                <w:szCs w:val="16"/>
                <w:color w:val="231F20"/>
              </w:rPr>
              <w:t>2023</w:t>
            </w:r>
          </w:p>
        </w:tc>
      </w:tr>
      <w:tr>
        <w:trPr>
          <w:trHeight w:val="24"/>
        </w:trPr>
        <w:tc>
          <w:tcPr>
            <w:tcW w:w="7040" w:type="dxa"/>
            <w:vAlign w:val="bottom"/>
            <w:tcBorders>
              <w:bottom w:val="single" w:sz="8" w:color="231F20"/>
            </w:tcBorders>
          </w:tcPr>
          <w:p>
            <w:pPr>
              <w:spacing w:after="0"/>
              <w:rPr>
                <w:sz w:val="2"/>
                <w:szCs w:val="2"/>
                <w:color w:val="auto"/>
              </w:rPr>
            </w:pPr>
          </w:p>
        </w:tc>
        <w:tc>
          <w:tcPr>
            <w:tcW w:w="3200" w:type="dxa"/>
            <w:vAlign w:val="bottom"/>
            <w:tcBorders>
              <w:bottom w:val="single" w:sz="8" w:color="231F20"/>
            </w:tcBorders>
          </w:tcPr>
          <w:p>
            <w:pPr>
              <w:spacing w:after="0"/>
              <w:rPr>
                <w:sz w:val="2"/>
                <w:szCs w:val="2"/>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6"/>
                <w:szCs w:val="16"/>
                <w:b w:val="1"/>
                <w:bCs w:val="1"/>
                <w:color w:val="231F20"/>
              </w:rPr>
              <w:t>Earnings per common share (EPS) - Diluted</w:t>
            </w:r>
          </w:p>
        </w:tc>
        <w:tc>
          <w:tcPr>
            <w:tcW w:w="3200" w:type="dxa"/>
            <w:vAlign w:val="bottom"/>
          </w:tcPr>
          <w:p>
            <w:pPr>
              <w:spacing w:after="0"/>
              <w:rPr>
                <w:sz w:val="18"/>
                <w:szCs w:val="18"/>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6"/>
                <w:szCs w:val="16"/>
                <w:b w:val="1"/>
                <w:bCs w:val="1"/>
                <w:color w:val="231F20"/>
              </w:rPr>
              <w:t>Diluted EPS from continuing operations (GAAP)</w:t>
            </w:r>
          </w:p>
        </w:tc>
        <w:tc>
          <w:tcPr>
            <w:tcW w:w="3200" w:type="dxa"/>
            <w:vAlign w:val="bottom"/>
          </w:tcPr>
          <w:p>
            <w:pPr>
              <w:jc w:val="right"/>
              <w:ind w:right="39"/>
              <w:spacing w:after="0"/>
              <w:rPr>
                <w:sz w:val="20"/>
                <w:szCs w:val="20"/>
                <w:color w:val="auto"/>
              </w:rPr>
            </w:pPr>
            <w:r>
              <w:rPr>
                <w:rFonts w:ascii="Arial" w:cs="Arial" w:eastAsia="Arial" w:hAnsi="Arial"/>
                <w:sz w:val="16"/>
                <w:szCs w:val="16"/>
                <w:color w:val="231F20"/>
              </w:rPr>
              <w:t>$3.17</w:t>
            </w:r>
          </w:p>
        </w:tc>
      </w:tr>
      <w:tr>
        <w:trPr>
          <w:trHeight w:val="384"/>
        </w:trPr>
        <w:tc>
          <w:tcPr>
            <w:tcW w:w="7040" w:type="dxa"/>
            <w:vAlign w:val="bottom"/>
          </w:tcPr>
          <w:p>
            <w:pPr>
              <w:ind w:left="180"/>
              <w:spacing w:after="0"/>
              <w:rPr>
                <w:sz w:val="20"/>
                <w:szCs w:val="20"/>
                <w:color w:val="auto"/>
              </w:rPr>
            </w:pPr>
            <w:r>
              <w:rPr>
                <w:rFonts w:ascii="Arial" w:cs="Arial" w:eastAsia="Arial" w:hAnsi="Arial"/>
                <w:sz w:val="16"/>
                <w:szCs w:val="16"/>
                <w:color w:val="231F20"/>
              </w:rPr>
              <w:t>Restructur n  charges</w:t>
            </w:r>
          </w:p>
        </w:tc>
        <w:tc>
          <w:tcPr>
            <w:tcW w:w="3200" w:type="dxa"/>
            <w:vAlign w:val="bottom"/>
          </w:tcPr>
          <w:p>
            <w:pPr>
              <w:jc w:val="right"/>
              <w:ind w:right="59"/>
              <w:spacing w:after="0"/>
              <w:rPr>
                <w:sz w:val="20"/>
                <w:szCs w:val="20"/>
                <w:color w:val="auto"/>
              </w:rPr>
            </w:pPr>
            <w:r>
              <w:rPr>
                <w:rFonts w:ascii="Arial" w:cs="Arial" w:eastAsia="Arial" w:hAnsi="Arial"/>
                <w:sz w:val="16"/>
                <w:szCs w:val="16"/>
                <w:color w:val="231F20"/>
              </w:rPr>
              <w:t>0.20</w:t>
            </w:r>
          </w:p>
        </w:tc>
      </w:tr>
      <w:tr>
        <w:trPr>
          <w:trHeight w:val="212"/>
        </w:trPr>
        <w:tc>
          <w:tcPr>
            <w:tcW w:w="7040" w:type="dxa"/>
            <w:vAlign w:val="bottom"/>
          </w:tcPr>
          <w:p>
            <w:pPr>
              <w:ind w:left="180"/>
              <w:spacing w:after="0"/>
              <w:rPr>
                <w:sz w:val="20"/>
                <w:szCs w:val="20"/>
                <w:color w:val="auto"/>
              </w:rPr>
            </w:pPr>
            <w:r>
              <w:rPr>
                <w:rFonts w:ascii="Arial" w:cs="Arial" w:eastAsia="Arial" w:hAnsi="Arial"/>
                <w:sz w:val="16"/>
                <w:szCs w:val="16"/>
                <w:color w:val="231F20"/>
              </w:rPr>
              <w:t>Other charges/(gains)</w:t>
            </w:r>
          </w:p>
        </w:tc>
        <w:tc>
          <w:tcPr>
            <w:tcW w:w="3200" w:type="dxa"/>
            <w:vAlign w:val="bottom"/>
          </w:tcPr>
          <w:p>
            <w:pPr>
              <w:jc w:val="right"/>
              <w:ind w:right="59"/>
              <w:spacing w:after="0"/>
              <w:rPr>
                <w:sz w:val="20"/>
                <w:szCs w:val="20"/>
                <w:color w:val="auto"/>
              </w:rPr>
            </w:pPr>
            <w:r>
              <w:rPr>
                <w:rFonts w:ascii="Arial" w:cs="Arial" w:eastAsia="Arial" w:hAnsi="Arial"/>
                <w:sz w:val="16"/>
                <w:szCs w:val="16"/>
                <w:color w:val="231F20"/>
              </w:rPr>
              <w:t>0.13</w:t>
            </w:r>
          </w:p>
        </w:tc>
      </w:tr>
      <w:tr>
        <w:trPr>
          <w:trHeight w:val="234"/>
        </w:trPr>
        <w:tc>
          <w:tcPr>
            <w:tcW w:w="7040" w:type="dxa"/>
            <w:vAlign w:val="bottom"/>
          </w:tcPr>
          <w:p>
            <w:pPr>
              <w:ind w:left="180"/>
              <w:spacing w:after="0"/>
              <w:rPr>
                <w:sz w:val="20"/>
                <w:szCs w:val="20"/>
                <w:color w:val="auto"/>
              </w:rPr>
            </w:pPr>
            <w:r>
              <w:rPr>
                <w:rFonts w:ascii="Arial" w:cs="Arial" w:eastAsia="Arial" w:hAnsi="Arial"/>
                <w:sz w:val="16"/>
                <w:szCs w:val="16"/>
                <w:color w:val="231F20"/>
              </w:rPr>
              <w:t xml:space="preserve">ASSA transaction expenses </w:t>
            </w:r>
            <w:r>
              <w:rPr>
                <w:rFonts w:ascii="Arial" w:cs="Arial" w:eastAsia="Arial" w:hAnsi="Arial"/>
                <w:sz w:val="18"/>
                <w:szCs w:val="18"/>
                <w:color w:val="231F20"/>
                <w:vertAlign w:val="superscript"/>
              </w:rPr>
              <w:t>(d)</w:t>
            </w:r>
          </w:p>
        </w:tc>
        <w:tc>
          <w:tcPr>
            <w:tcW w:w="3200" w:type="dxa"/>
            <w:vAlign w:val="bottom"/>
          </w:tcPr>
          <w:p>
            <w:pPr>
              <w:jc w:val="right"/>
              <w:ind w:right="59"/>
              <w:spacing w:after="0"/>
              <w:rPr>
                <w:sz w:val="20"/>
                <w:szCs w:val="20"/>
                <w:color w:val="auto"/>
              </w:rPr>
            </w:pPr>
            <w:r>
              <w:rPr>
                <w:rFonts w:ascii="Arial" w:cs="Arial" w:eastAsia="Arial" w:hAnsi="Arial"/>
                <w:sz w:val="16"/>
                <w:szCs w:val="16"/>
                <w:color w:val="231F20"/>
              </w:rPr>
              <w:t>0.12</w:t>
            </w:r>
          </w:p>
        </w:tc>
      </w:tr>
      <w:tr>
        <w:trPr>
          <w:trHeight w:val="212"/>
        </w:trPr>
        <w:tc>
          <w:tcPr>
            <w:tcW w:w="7040" w:type="dxa"/>
            <w:vAlign w:val="bottom"/>
          </w:tcPr>
          <w:p>
            <w:pPr>
              <w:ind w:left="180"/>
              <w:spacing w:after="0"/>
              <w:rPr>
                <w:sz w:val="20"/>
                <w:szCs w:val="20"/>
                <w:color w:val="auto"/>
              </w:rPr>
            </w:pPr>
            <w:r>
              <w:rPr>
                <w:rFonts w:ascii="Arial" w:cs="Arial" w:eastAsia="Arial" w:hAnsi="Arial"/>
                <w:sz w:val="16"/>
                <w:szCs w:val="16"/>
                <w:color w:val="231F20"/>
              </w:rPr>
              <w:t xml:space="preserve">Solar compensatio  </w:t>
            </w:r>
            <w:r>
              <w:rPr>
                <w:rFonts w:ascii="Arial" w:cs="Arial" w:eastAsia="Arial" w:hAnsi="Arial"/>
                <w:sz w:val="18"/>
                <w:szCs w:val="18"/>
                <w:color w:val="231F20"/>
                <w:vertAlign w:val="superscript"/>
              </w:rPr>
              <w:t>(e)</w:t>
            </w:r>
          </w:p>
        </w:tc>
        <w:tc>
          <w:tcPr>
            <w:tcW w:w="3200" w:type="dxa"/>
            <w:vAlign w:val="bottom"/>
          </w:tcPr>
          <w:p>
            <w:pPr>
              <w:jc w:val="right"/>
              <w:ind w:right="59"/>
              <w:spacing w:after="0"/>
              <w:rPr>
                <w:sz w:val="20"/>
                <w:szCs w:val="20"/>
                <w:color w:val="auto"/>
              </w:rPr>
            </w:pPr>
            <w:r>
              <w:rPr>
                <w:rFonts w:ascii="Arial" w:cs="Arial" w:eastAsia="Arial" w:hAnsi="Arial"/>
                <w:sz w:val="16"/>
                <w:szCs w:val="16"/>
                <w:color w:val="231F20"/>
              </w:rPr>
              <w:t>0.02</w:t>
            </w:r>
          </w:p>
        </w:tc>
      </w:tr>
      <w:tr>
        <w:trPr>
          <w:trHeight w:val="212"/>
        </w:trPr>
        <w:tc>
          <w:tcPr>
            <w:tcW w:w="7040" w:type="dxa"/>
            <w:vAlign w:val="bottom"/>
          </w:tcPr>
          <w:p>
            <w:pPr>
              <w:ind w:left="180"/>
              <w:spacing w:after="0"/>
              <w:rPr>
                <w:sz w:val="20"/>
                <w:szCs w:val="20"/>
                <w:color w:val="auto"/>
              </w:rPr>
            </w:pPr>
            <w:r>
              <w:rPr>
                <w:rFonts w:ascii="Arial" w:cs="Arial" w:eastAsia="Arial" w:hAnsi="Arial"/>
                <w:sz w:val="16"/>
                <w:szCs w:val="16"/>
                <w:color w:val="231F20"/>
              </w:rPr>
              <w:t xml:space="preserve">Amortization of nventory step-up </w:t>
            </w:r>
            <w:r>
              <w:rPr>
                <w:rFonts w:ascii="Arial" w:cs="Arial" w:eastAsia="Arial" w:hAnsi="Arial"/>
                <w:sz w:val="9"/>
                <w:szCs w:val="9"/>
                <w:color w:val="231F20"/>
              </w:rPr>
              <w:t>(</w:t>
            </w:r>
            <w:r>
              <w:rPr>
                <w:rFonts w:ascii="Arial" w:cs="Arial" w:eastAsia="Arial" w:hAnsi="Arial"/>
                <w:sz w:val="18"/>
                <w:szCs w:val="18"/>
                <w:color w:val="231F20"/>
                <w:vertAlign w:val="superscript"/>
              </w:rPr>
              <w:t>f</w:t>
            </w:r>
            <w:r>
              <w:rPr>
                <w:rFonts w:ascii="Arial" w:cs="Arial" w:eastAsia="Arial" w:hAnsi="Arial"/>
                <w:sz w:val="9"/>
                <w:szCs w:val="9"/>
                <w:color w:val="231F20"/>
              </w:rPr>
              <w:t>)</w:t>
            </w:r>
          </w:p>
        </w:tc>
        <w:tc>
          <w:tcPr>
            <w:tcW w:w="3200" w:type="dxa"/>
            <w:vAlign w:val="bottom"/>
          </w:tcPr>
          <w:p>
            <w:pPr>
              <w:jc w:val="right"/>
              <w:ind w:right="39"/>
              <w:spacing w:after="0"/>
              <w:rPr>
                <w:sz w:val="20"/>
                <w:szCs w:val="20"/>
                <w:color w:val="auto"/>
              </w:rPr>
            </w:pPr>
            <w:r>
              <w:rPr>
                <w:rFonts w:ascii="Arial" w:cs="Arial" w:eastAsia="Arial" w:hAnsi="Arial"/>
                <w:sz w:val="16"/>
                <w:szCs w:val="16"/>
                <w:color w:val="231F20"/>
              </w:rPr>
              <w:t>0.07</w:t>
            </w:r>
          </w:p>
        </w:tc>
      </w:tr>
      <w:tr>
        <w:trPr>
          <w:trHeight w:val="191"/>
        </w:trPr>
        <w:tc>
          <w:tcPr>
            <w:tcW w:w="7040" w:type="dxa"/>
            <w:vAlign w:val="bottom"/>
          </w:tcPr>
          <w:p>
            <w:pPr>
              <w:ind w:left="180"/>
              <w:spacing w:after="0"/>
              <w:rPr>
                <w:sz w:val="20"/>
                <w:szCs w:val="20"/>
                <w:color w:val="auto"/>
              </w:rPr>
            </w:pPr>
            <w:r>
              <w:rPr>
                <w:rFonts w:ascii="Arial" w:cs="Arial" w:eastAsia="Arial" w:hAnsi="Arial"/>
                <w:sz w:val="16"/>
                <w:szCs w:val="16"/>
                <w:color w:val="231F20"/>
              </w:rPr>
              <w:t xml:space="preserve">Asset impairment charges </w:t>
            </w:r>
            <w:r>
              <w:rPr>
                <w:rFonts w:ascii="Arial" w:cs="Arial" w:eastAsia="Arial" w:hAnsi="Arial"/>
                <w:sz w:val="9"/>
                <w:szCs w:val="9"/>
                <w:color w:val="231F20"/>
              </w:rPr>
              <w:t>(g)</w:t>
            </w:r>
          </w:p>
        </w:tc>
        <w:tc>
          <w:tcPr>
            <w:tcW w:w="3200" w:type="dxa"/>
            <w:vAlign w:val="bottom"/>
          </w:tcPr>
          <w:p>
            <w:pPr>
              <w:jc w:val="right"/>
              <w:ind w:right="59"/>
              <w:spacing w:after="0"/>
              <w:rPr>
                <w:sz w:val="20"/>
                <w:szCs w:val="20"/>
                <w:color w:val="auto"/>
              </w:rPr>
            </w:pPr>
            <w:r>
              <w:rPr>
                <w:rFonts w:ascii="Arial" w:cs="Arial" w:eastAsia="Arial" w:hAnsi="Arial"/>
                <w:sz w:val="16"/>
                <w:szCs w:val="16"/>
                <w:color w:val="231F20"/>
              </w:rPr>
              <w:t>0.20</w:t>
            </w:r>
          </w:p>
        </w:tc>
      </w:tr>
      <w:tr>
        <w:trPr>
          <w:trHeight w:val="212"/>
        </w:trPr>
        <w:tc>
          <w:tcPr>
            <w:tcW w:w="7040" w:type="dxa"/>
            <w:vAlign w:val="bottom"/>
          </w:tcPr>
          <w:p>
            <w:pPr>
              <w:ind w:left="180"/>
              <w:spacing w:after="0"/>
              <w:rPr>
                <w:sz w:val="20"/>
                <w:szCs w:val="20"/>
                <w:color w:val="auto"/>
              </w:rPr>
            </w:pPr>
            <w:r>
              <w:rPr>
                <w:rFonts w:ascii="Arial" w:cs="Arial" w:eastAsia="Arial" w:hAnsi="Arial"/>
                <w:sz w:val="16"/>
                <w:szCs w:val="16"/>
                <w:color w:val="231F20"/>
              </w:rPr>
              <w:t>Defined benef t plan actuarial gains</w:t>
            </w:r>
          </w:p>
        </w:tc>
        <w:tc>
          <w:tcPr>
            <w:tcW w:w="3200" w:type="dxa"/>
            <w:vAlign w:val="bottom"/>
          </w:tcPr>
          <w:p>
            <w:pPr>
              <w:jc w:val="right"/>
              <w:ind w:right="39"/>
              <w:spacing w:after="0"/>
              <w:rPr>
                <w:sz w:val="20"/>
                <w:szCs w:val="20"/>
                <w:color w:val="auto"/>
              </w:rPr>
            </w:pPr>
            <w:r>
              <w:rPr>
                <w:rFonts w:ascii="Arial" w:cs="Arial" w:eastAsia="Arial" w:hAnsi="Arial"/>
                <w:sz w:val="16"/>
                <w:szCs w:val="16"/>
                <w:color w:val="231F20"/>
              </w:rPr>
              <w:t>–</w:t>
            </w:r>
          </w:p>
        </w:tc>
      </w:tr>
      <w:tr>
        <w:trPr>
          <w:trHeight w:val="178"/>
        </w:trPr>
        <w:tc>
          <w:tcPr>
            <w:tcW w:w="7040" w:type="dxa"/>
            <w:vAlign w:val="bottom"/>
            <w:tcBorders>
              <w:bottom w:val="single" w:sz="8" w:color="231F20"/>
            </w:tcBorders>
          </w:tcPr>
          <w:p>
            <w:pPr>
              <w:spacing w:after="0"/>
              <w:rPr>
                <w:sz w:val="15"/>
                <w:szCs w:val="15"/>
                <w:color w:val="auto"/>
              </w:rPr>
            </w:pPr>
          </w:p>
        </w:tc>
        <w:tc>
          <w:tcPr>
            <w:tcW w:w="3200" w:type="dxa"/>
            <w:vAlign w:val="bottom"/>
            <w:tcBorders>
              <w:bottom w:val="single" w:sz="8" w:color="231F20"/>
            </w:tcBorders>
          </w:tcPr>
          <w:p>
            <w:pPr>
              <w:spacing w:after="0"/>
              <w:rPr>
                <w:sz w:val="15"/>
                <w:szCs w:val="15"/>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6"/>
                <w:szCs w:val="16"/>
                <w:b w:val="1"/>
                <w:bCs w:val="1"/>
                <w:color w:val="231F20"/>
              </w:rPr>
              <w:t xml:space="preserve">Diluted EPS from continuing operations before charges/gains </w:t>
            </w:r>
            <w:r>
              <w:rPr>
                <w:rFonts w:ascii="Arial" w:cs="Arial" w:eastAsia="Arial" w:hAnsi="Arial"/>
                <w:sz w:val="18"/>
                <w:szCs w:val="18"/>
                <w:b w:val="1"/>
                <w:bCs w:val="1"/>
                <w:color w:val="231F20"/>
                <w:vertAlign w:val="superscript"/>
              </w:rPr>
              <w:t>(b)</w:t>
            </w:r>
          </w:p>
        </w:tc>
        <w:tc>
          <w:tcPr>
            <w:tcW w:w="3200" w:type="dxa"/>
            <w:vAlign w:val="bottom"/>
          </w:tcPr>
          <w:p>
            <w:pPr>
              <w:jc w:val="right"/>
              <w:ind w:right="39"/>
              <w:spacing w:after="0"/>
              <w:rPr>
                <w:sz w:val="20"/>
                <w:szCs w:val="20"/>
                <w:color w:val="auto"/>
              </w:rPr>
            </w:pPr>
            <w:r>
              <w:rPr>
                <w:rFonts w:ascii="Arial" w:cs="Arial" w:eastAsia="Arial" w:hAnsi="Arial"/>
                <w:sz w:val="16"/>
                <w:szCs w:val="16"/>
                <w:color w:val="231F20"/>
              </w:rPr>
              <w:t>$3.91</w:t>
            </w:r>
          </w:p>
        </w:tc>
      </w:tr>
      <w:tr>
        <w:trPr>
          <w:trHeight w:val="35"/>
        </w:trPr>
        <w:tc>
          <w:tcPr>
            <w:tcW w:w="7040" w:type="dxa"/>
            <w:vAlign w:val="bottom"/>
            <w:tcBorders>
              <w:bottom w:val="single" w:sz="8" w:color="231F20"/>
            </w:tcBorders>
          </w:tcPr>
          <w:p>
            <w:pPr>
              <w:spacing w:after="0"/>
              <w:rPr>
                <w:sz w:val="3"/>
                <w:szCs w:val="3"/>
                <w:color w:val="auto"/>
              </w:rPr>
            </w:pPr>
          </w:p>
        </w:tc>
        <w:tc>
          <w:tcPr>
            <w:tcW w:w="3200" w:type="dxa"/>
            <w:vAlign w:val="bottom"/>
            <w:tcBorders>
              <w:bottom w:val="single" w:sz="8" w:color="231F20"/>
            </w:tcBorders>
          </w:tcPr>
          <w:p>
            <w:pPr>
              <w:spacing w:after="0"/>
              <w:rPr>
                <w:sz w:val="3"/>
                <w:szCs w:val="3"/>
                <w:color w:val="auto"/>
              </w:rPr>
            </w:pPr>
          </w:p>
        </w:tc>
      </w:tr>
    </w:tbl>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0" w:type="dxa"/>
            <w:vAlign w:val="bottom"/>
            <w:gridSpan w:val="4"/>
          </w:tcPr>
          <w:p>
            <w:pPr>
              <w:spacing w:after="0"/>
              <w:rPr>
                <w:sz w:val="20"/>
                <w:szCs w:val="20"/>
                <w:color w:val="auto"/>
              </w:rPr>
            </w:pPr>
            <w:r>
              <w:rPr>
                <w:rFonts w:ascii="Arial" w:cs="Arial" w:eastAsia="Arial" w:hAnsi="Arial"/>
                <w:sz w:val="16"/>
                <w:szCs w:val="16"/>
                <w:color w:val="231F20"/>
              </w:rPr>
              <w:t>For the f fty-two weeks ended December 30 2023</w:t>
            </w:r>
          </w:p>
        </w:tc>
        <w:tc>
          <w:tcPr>
            <w:tcW w:w="6620" w:type="dxa"/>
            <w:vAlign w:val="bottom"/>
            <w:gridSpan w:val="4"/>
          </w:tcPr>
          <w:p>
            <w:pPr>
              <w:ind w:left="100"/>
              <w:spacing w:after="0"/>
              <w:rPr>
                <w:sz w:val="20"/>
                <w:szCs w:val="20"/>
                <w:color w:val="auto"/>
              </w:rPr>
            </w:pPr>
            <w:r>
              <w:rPr>
                <w:rFonts w:ascii="Arial" w:cs="Arial" w:eastAsia="Arial" w:hAnsi="Arial"/>
                <w:sz w:val="16"/>
                <w:szCs w:val="16"/>
                <w:color w:val="231F20"/>
              </w:rPr>
              <w:t>the di uted EPS before charges/gain s is ca c lated as income from cont n ing o eration</w:t>
            </w:r>
          </w:p>
        </w:tc>
      </w:tr>
      <w:tr>
        <w:trPr>
          <w:trHeight w:val="202"/>
        </w:trPr>
        <w:tc>
          <w:tcPr>
            <w:tcW w:w="160" w:type="dxa"/>
            <w:vAlign w:val="bottom"/>
          </w:tcPr>
          <w:p>
            <w:pPr>
              <w:spacing w:after="0"/>
              <w:rPr>
                <w:sz w:val="20"/>
                <w:szCs w:val="20"/>
                <w:color w:val="auto"/>
              </w:rPr>
            </w:pPr>
            <w:r>
              <w:rPr>
                <w:rFonts w:ascii="Arial" w:cs="Arial" w:eastAsia="Arial" w:hAnsi="Arial"/>
                <w:sz w:val="16"/>
                <w:szCs w:val="16"/>
                <w:color w:val="231F20"/>
              </w:rPr>
              <w:t>o</w:t>
            </w:r>
          </w:p>
        </w:tc>
        <w:tc>
          <w:tcPr>
            <w:tcW w:w="660" w:type="dxa"/>
            <w:vAlign w:val="bottom"/>
          </w:tcPr>
          <w:p>
            <w:pPr>
              <w:ind w:left="60"/>
              <w:spacing w:after="0"/>
              <w:rPr>
                <w:sz w:val="20"/>
                <w:szCs w:val="20"/>
                <w:color w:val="auto"/>
              </w:rPr>
            </w:pPr>
            <w:r>
              <w:rPr>
                <w:rFonts w:ascii="Arial" w:cs="Arial" w:eastAsia="Arial" w:hAnsi="Arial"/>
                <w:sz w:val="16"/>
                <w:szCs w:val="16"/>
                <w:color w:val="231F20"/>
                <w:w w:val="95"/>
              </w:rPr>
              <w:t>a diluted</w:t>
            </w:r>
          </w:p>
        </w:tc>
        <w:tc>
          <w:tcPr>
            <w:tcW w:w="5300" w:type="dxa"/>
            <w:vAlign w:val="bottom"/>
            <w:gridSpan w:val="3"/>
          </w:tcPr>
          <w:p>
            <w:pPr>
              <w:ind w:left="160"/>
              <w:spacing w:after="0"/>
              <w:rPr>
                <w:sz w:val="20"/>
                <w:szCs w:val="20"/>
                <w:color w:val="auto"/>
              </w:rPr>
            </w:pPr>
            <w:r>
              <w:rPr>
                <w:rFonts w:ascii="Arial" w:cs="Arial" w:eastAsia="Arial" w:hAnsi="Arial"/>
                <w:sz w:val="16"/>
                <w:szCs w:val="16"/>
                <w:color w:val="231F20"/>
              </w:rPr>
              <w:t>e -share basis, excludin  $32.5 mill on ($24 8 mi lion after tax or $0 20</w:t>
            </w:r>
          </w:p>
        </w:tc>
        <w:tc>
          <w:tcPr>
            <w:tcW w:w="4100" w:type="dxa"/>
            <w:vAlign w:val="bottom"/>
            <w:gridSpan w:val="3"/>
          </w:tcPr>
          <w:p>
            <w:pPr>
              <w:spacing w:after="0"/>
              <w:rPr>
                <w:sz w:val="20"/>
                <w:szCs w:val="20"/>
                <w:color w:val="auto"/>
              </w:rPr>
            </w:pPr>
            <w:r>
              <w:rPr>
                <w:rFonts w:ascii="Arial" w:cs="Arial" w:eastAsia="Arial" w:hAnsi="Arial"/>
                <w:sz w:val="16"/>
                <w:szCs w:val="16"/>
                <w:color w:val="231F20"/>
              </w:rPr>
              <w:t>er di uted share) of rest  cturin g char es, $23.3 mill o</w:t>
            </w:r>
          </w:p>
        </w:tc>
      </w:tr>
      <w:tr>
        <w:trPr>
          <w:trHeight w:val="202"/>
        </w:trPr>
        <w:tc>
          <w:tcPr>
            <w:tcW w:w="820" w:type="dxa"/>
            <w:vAlign w:val="bottom"/>
            <w:gridSpan w:val="2"/>
          </w:tcPr>
          <w:p>
            <w:pPr>
              <w:spacing w:after="0"/>
              <w:rPr>
                <w:sz w:val="20"/>
                <w:szCs w:val="20"/>
                <w:color w:val="auto"/>
              </w:rPr>
            </w:pPr>
            <w:r>
              <w:rPr>
                <w:rFonts w:ascii="Arial" w:cs="Arial" w:eastAsia="Arial" w:hAnsi="Arial"/>
                <w:sz w:val="16"/>
                <w:szCs w:val="16"/>
                <w:color w:val="231F20"/>
                <w:w w:val="90"/>
              </w:rPr>
              <w:t>($17.0 m l io</w:t>
            </w:r>
          </w:p>
        </w:tc>
        <w:tc>
          <w:tcPr>
            <w:tcW w:w="1380" w:type="dxa"/>
            <w:vAlign w:val="bottom"/>
          </w:tcPr>
          <w:p>
            <w:pPr>
              <w:ind w:left="120"/>
              <w:spacing w:after="0"/>
              <w:rPr>
                <w:sz w:val="20"/>
                <w:szCs w:val="20"/>
                <w:color w:val="auto"/>
              </w:rPr>
            </w:pPr>
            <w:r>
              <w:rPr>
                <w:rFonts w:ascii="Arial" w:cs="Arial" w:eastAsia="Arial" w:hAnsi="Arial"/>
                <w:sz w:val="16"/>
                <w:szCs w:val="16"/>
                <w:color w:val="231F20"/>
              </w:rPr>
              <w:t>after tax or $0.13</w:t>
            </w:r>
          </w:p>
        </w:tc>
        <w:tc>
          <w:tcPr>
            <w:tcW w:w="3920" w:type="dxa"/>
            <w:vAlign w:val="bottom"/>
            <w:gridSpan w:val="2"/>
          </w:tcPr>
          <w:p>
            <w:pPr>
              <w:ind w:left="100"/>
              <w:spacing w:after="0"/>
              <w:rPr>
                <w:sz w:val="20"/>
                <w:szCs w:val="20"/>
                <w:color w:val="auto"/>
              </w:rPr>
            </w:pPr>
            <w:r>
              <w:rPr>
                <w:rFonts w:ascii="Arial" w:cs="Arial" w:eastAsia="Arial" w:hAnsi="Arial"/>
                <w:sz w:val="16"/>
                <w:szCs w:val="16"/>
                <w:color w:val="231F20"/>
              </w:rPr>
              <w:t>er d luted share) of other char es/ga  s, $18 7 millio</w:t>
            </w:r>
          </w:p>
        </w:tc>
        <w:tc>
          <w:tcPr>
            <w:tcW w:w="4100" w:type="dxa"/>
            <w:vAlign w:val="bottom"/>
            <w:gridSpan w:val="3"/>
          </w:tcPr>
          <w:p>
            <w:pPr>
              <w:ind w:left="20"/>
              <w:spacing w:after="0"/>
              <w:rPr>
                <w:sz w:val="20"/>
                <w:szCs w:val="20"/>
                <w:color w:val="auto"/>
              </w:rPr>
            </w:pPr>
            <w:r>
              <w:rPr>
                <w:rFonts w:ascii="Arial" w:cs="Arial" w:eastAsia="Arial" w:hAnsi="Arial"/>
                <w:sz w:val="16"/>
                <w:szCs w:val="16"/>
                <w:color w:val="231F20"/>
              </w:rPr>
              <w:t>($15.  m llio  after tax or $0.12 per di uted sh are) of</w:t>
            </w:r>
          </w:p>
        </w:tc>
      </w:tr>
      <w:tr>
        <w:trPr>
          <w:trHeight w:val="202"/>
        </w:trPr>
        <w:tc>
          <w:tcPr>
            <w:tcW w:w="160" w:type="dxa"/>
            <w:vAlign w:val="bottom"/>
          </w:tcPr>
          <w:p>
            <w:pPr>
              <w:spacing w:after="0"/>
              <w:rPr>
                <w:sz w:val="20"/>
                <w:szCs w:val="20"/>
                <w:color w:val="auto"/>
              </w:rPr>
            </w:pPr>
            <w:r>
              <w:rPr>
                <w:rFonts w:ascii="Arial" w:cs="Arial" w:eastAsia="Arial" w:hAnsi="Arial"/>
                <w:sz w:val="16"/>
                <w:szCs w:val="16"/>
                <w:color w:val="231F20"/>
                <w:w w:val="82"/>
              </w:rPr>
              <w:t>ex</w:t>
            </w:r>
          </w:p>
        </w:tc>
        <w:tc>
          <w:tcPr>
            <w:tcW w:w="3440" w:type="dxa"/>
            <w:vAlign w:val="bottom"/>
            <w:gridSpan w:val="3"/>
          </w:tcPr>
          <w:p>
            <w:pPr>
              <w:ind w:left="100"/>
              <w:spacing w:after="0"/>
              <w:rPr>
                <w:sz w:val="20"/>
                <w:szCs w:val="20"/>
                <w:color w:val="auto"/>
              </w:rPr>
            </w:pPr>
            <w:r>
              <w:rPr>
                <w:rFonts w:ascii="Arial" w:cs="Arial" w:eastAsia="Arial" w:hAnsi="Arial"/>
                <w:sz w:val="16"/>
                <w:szCs w:val="16"/>
                <w:color w:val="231F20"/>
              </w:rPr>
              <w:t>e ses d rectly related to our ASSA tra sactio</w:t>
            </w:r>
          </w:p>
        </w:tc>
        <w:tc>
          <w:tcPr>
            <w:tcW w:w="3040" w:type="dxa"/>
            <w:vAlign w:val="bottom"/>
            <w:gridSpan w:val="2"/>
          </w:tcPr>
          <w:p>
            <w:pPr>
              <w:ind w:left="40"/>
              <w:spacing w:after="0"/>
              <w:rPr>
                <w:sz w:val="20"/>
                <w:szCs w:val="20"/>
                <w:color w:val="auto"/>
              </w:rPr>
            </w:pPr>
            <w:r>
              <w:rPr>
                <w:rFonts w:ascii="Arial" w:cs="Arial" w:eastAsia="Arial" w:hAnsi="Arial"/>
                <w:sz w:val="16"/>
                <w:szCs w:val="16"/>
                <w:color w:val="231F20"/>
              </w:rPr>
              <w:t>$2.7 million ($2 0 m l io  after tax or $0.02</w:t>
            </w:r>
          </w:p>
        </w:tc>
        <w:tc>
          <w:tcPr>
            <w:tcW w:w="3580" w:type="dxa"/>
            <w:vAlign w:val="bottom"/>
            <w:gridSpan w:val="2"/>
          </w:tcPr>
          <w:p>
            <w:pPr>
              <w:ind w:left="140"/>
              <w:spacing w:after="0"/>
              <w:rPr>
                <w:sz w:val="20"/>
                <w:szCs w:val="20"/>
                <w:color w:val="auto"/>
              </w:rPr>
            </w:pPr>
            <w:r>
              <w:rPr>
                <w:rFonts w:ascii="Arial" w:cs="Arial" w:eastAsia="Arial" w:hAnsi="Arial"/>
                <w:sz w:val="16"/>
                <w:szCs w:val="16"/>
                <w:color w:val="231F20"/>
              </w:rPr>
              <w:t>er d luted sh are) re ated to the compe satio</w:t>
            </w:r>
          </w:p>
        </w:tc>
      </w:tr>
      <w:tr>
        <w:trPr>
          <w:trHeight w:val="202"/>
        </w:trPr>
        <w:tc>
          <w:tcPr>
            <w:tcW w:w="160" w:type="dxa"/>
            <w:vAlign w:val="bottom"/>
          </w:tcPr>
          <w:p>
            <w:pPr>
              <w:spacing w:after="0"/>
              <w:rPr>
                <w:sz w:val="20"/>
                <w:szCs w:val="20"/>
                <w:color w:val="auto"/>
              </w:rPr>
            </w:pPr>
            <w:r>
              <w:rPr>
                <w:rFonts w:ascii="Arial" w:cs="Arial" w:eastAsia="Arial" w:hAnsi="Arial"/>
                <w:sz w:val="16"/>
                <w:szCs w:val="16"/>
                <w:color w:val="231F20"/>
              </w:rPr>
              <w:t>a</w:t>
            </w:r>
          </w:p>
        </w:tc>
        <w:tc>
          <w:tcPr>
            <w:tcW w:w="2040" w:type="dxa"/>
            <w:vAlign w:val="bottom"/>
            <w:gridSpan w:val="2"/>
          </w:tcPr>
          <w:p>
            <w:pPr>
              <w:ind w:left="20"/>
              <w:spacing w:after="0"/>
              <w:rPr>
                <w:sz w:val="20"/>
                <w:szCs w:val="20"/>
                <w:color w:val="auto"/>
              </w:rPr>
            </w:pPr>
            <w:r>
              <w:rPr>
                <w:rFonts w:ascii="Arial" w:cs="Arial" w:eastAsia="Arial" w:hAnsi="Arial"/>
                <w:sz w:val="16"/>
                <w:szCs w:val="16"/>
                <w:color w:val="231F20"/>
              </w:rPr>
              <w:t>reeme t with the former ow</w:t>
            </w:r>
          </w:p>
        </w:tc>
        <w:tc>
          <w:tcPr>
            <w:tcW w:w="3920" w:type="dxa"/>
            <w:vAlign w:val="bottom"/>
            <w:gridSpan w:val="2"/>
          </w:tcPr>
          <w:p>
            <w:pPr>
              <w:ind w:left="40"/>
              <w:spacing w:after="0"/>
              <w:rPr>
                <w:sz w:val="20"/>
                <w:szCs w:val="20"/>
                <w:color w:val="auto"/>
              </w:rPr>
            </w:pPr>
            <w:r>
              <w:rPr>
                <w:rFonts w:ascii="Arial" w:cs="Arial" w:eastAsia="Arial" w:hAnsi="Arial"/>
                <w:sz w:val="16"/>
                <w:szCs w:val="16"/>
                <w:color w:val="231F20"/>
              </w:rPr>
              <w:t>er of Solar, $12.4 millio  ($9.5 m llio  after tax or $0.07</w:t>
            </w:r>
          </w:p>
        </w:tc>
        <w:tc>
          <w:tcPr>
            <w:tcW w:w="2360" w:type="dxa"/>
            <w:vAlign w:val="bottom"/>
            <w:gridSpan w:val="2"/>
          </w:tcPr>
          <w:p>
            <w:pPr>
              <w:ind w:left="160"/>
              <w:spacing w:after="0"/>
              <w:rPr>
                <w:sz w:val="20"/>
                <w:szCs w:val="20"/>
                <w:color w:val="auto"/>
              </w:rPr>
            </w:pPr>
            <w:r>
              <w:rPr>
                <w:rFonts w:ascii="Arial" w:cs="Arial" w:eastAsia="Arial" w:hAnsi="Arial"/>
                <w:sz w:val="16"/>
                <w:szCs w:val="16"/>
                <w:color w:val="231F20"/>
              </w:rPr>
              <w:t>er di uted share) of amortizatio</w:t>
            </w:r>
          </w:p>
        </w:tc>
        <w:tc>
          <w:tcPr>
            <w:tcW w:w="1740" w:type="dxa"/>
            <w:vAlign w:val="bottom"/>
          </w:tcPr>
          <w:p>
            <w:pPr>
              <w:ind w:left="100"/>
              <w:spacing w:after="0"/>
              <w:rPr>
                <w:sz w:val="20"/>
                <w:szCs w:val="20"/>
                <w:color w:val="auto"/>
              </w:rPr>
            </w:pPr>
            <w:r>
              <w:rPr>
                <w:rFonts w:ascii="Arial" w:cs="Arial" w:eastAsia="Arial" w:hAnsi="Arial"/>
                <w:sz w:val="16"/>
                <w:szCs w:val="16"/>
                <w:color w:val="231F20"/>
              </w:rPr>
              <w:t>of inventory ste -up</w:t>
            </w:r>
          </w:p>
        </w:tc>
      </w:tr>
      <w:tr>
        <w:trPr>
          <w:trHeight w:val="202"/>
        </w:trPr>
        <w:tc>
          <w:tcPr>
            <w:tcW w:w="6640" w:type="dxa"/>
            <w:vAlign w:val="bottom"/>
            <w:gridSpan w:val="6"/>
          </w:tcPr>
          <w:p>
            <w:pPr>
              <w:spacing w:after="0"/>
              <w:rPr>
                <w:sz w:val="20"/>
                <w:szCs w:val="20"/>
                <w:color w:val="auto"/>
              </w:rPr>
            </w:pPr>
            <w:r>
              <w:rPr>
                <w:rFonts w:ascii="Arial" w:cs="Arial" w:eastAsia="Arial" w:hAnsi="Arial"/>
                <w:sz w:val="16"/>
                <w:szCs w:val="16"/>
                <w:color w:val="231F20"/>
              </w:rPr>
              <w:t>related to ac uisit on of the ASSA businesses $33 5 mil on ($25.4 mill on after tax or $0 20</w:t>
            </w:r>
          </w:p>
        </w:tc>
        <w:tc>
          <w:tcPr>
            <w:tcW w:w="1840" w:type="dxa"/>
            <w:vAlign w:val="bottom"/>
          </w:tcPr>
          <w:p>
            <w:pPr>
              <w:ind w:left="20"/>
              <w:spacing w:after="0"/>
              <w:rPr>
                <w:sz w:val="20"/>
                <w:szCs w:val="20"/>
                <w:color w:val="auto"/>
              </w:rPr>
            </w:pPr>
            <w:r>
              <w:rPr>
                <w:rFonts w:ascii="Arial" w:cs="Arial" w:eastAsia="Arial" w:hAnsi="Arial"/>
                <w:sz w:val="16"/>
                <w:szCs w:val="16"/>
                <w:color w:val="231F20"/>
              </w:rPr>
              <w:t>er d luted share) of asset</w:t>
            </w:r>
          </w:p>
        </w:tc>
        <w:tc>
          <w:tcPr>
            <w:tcW w:w="1740" w:type="dxa"/>
            <w:vAlign w:val="bottom"/>
          </w:tcPr>
          <w:p>
            <w:pPr>
              <w:ind w:left="40"/>
              <w:spacing w:after="0"/>
              <w:rPr>
                <w:sz w:val="20"/>
                <w:szCs w:val="20"/>
                <w:color w:val="auto"/>
              </w:rPr>
            </w:pPr>
            <w:r>
              <w:rPr>
                <w:rFonts w:ascii="Arial" w:cs="Arial" w:eastAsia="Arial" w:hAnsi="Arial"/>
                <w:sz w:val="16"/>
                <w:szCs w:val="16"/>
                <w:color w:val="231F20"/>
                <w:w w:val="99"/>
              </w:rPr>
              <w:t>mpa rment c harges a d</w:t>
            </w:r>
          </w:p>
        </w:tc>
      </w:tr>
      <w:tr>
        <w:trPr>
          <w:trHeight w:val="202"/>
        </w:trPr>
        <w:tc>
          <w:tcPr>
            <w:tcW w:w="8480" w:type="dxa"/>
            <w:vAlign w:val="bottom"/>
            <w:gridSpan w:val="7"/>
          </w:tcPr>
          <w:p>
            <w:pPr>
              <w:spacing w:after="0"/>
              <w:rPr>
                <w:sz w:val="20"/>
                <w:szCs w:val="20"/>
                <w:color w:val="auto"/>
              </w:rPr>
            </w:pPr>
            <w:r>
              <w:rPr>
                <w:rFonts w:ascii="Arial" w:cs="Arial" w:eastAsia="Arial" w:hAnsi="Arial"/>
                <w:sz w:val="16"/>
                <w:szCs w:val="16"/>
                <w:color w:val="231F20"/>
              </w:rPr>
              <w:t>the mpact from act aria ga ns associated w th our defined benefit pla s of $0 5 m llio  ($0 4 mill on after tax).</w:t>
            </w:r>
          </w:p>
        </w:tc>
        <w:tc>
          <w:tcPr>
            <w:tcW w:w="1740" w:type="dxa"/>
            <w:vAlign w:val="bottom"/>
          </w:tcPr>
          <w:p>
            <w:pPr>
              <w:spacing w:after="0"/>
              <w:rPr>
                <w:sz w:val="17"/>
                <w:szCs w:val="17"/>
                <w:color w:val="auto"/>
              </w:rPr>
            </w:pPr>
          </w:p>
        </w:tc>
      </w:tr>
      <w:tr>
        <w:trPr>
          <w:trHeight w:val="364"/>
        </w:trPr>
        <w:tc>
          <w:tcPr>
            <w:tcW w:w="820" w:type="dxa"/>
            <w:vAlign w:val="bottom"/>
            <w:gridSpan w:val="2"/>
          </w:tcPr>
          <w:p>
            <w:pPr>
              <w:spacing w:after="0"/>
              <w:rPr>
                <w:sz w:val="20"/>
                <w:szCs w:val="20"/>
                <w:color w:val="auto"/>
              </w:rPr>
            </w:pPr>
            <w:r>
              <w:rPr>
                <w:rFonts w:ascii="Arial" w:cs="Arial" w:eastAsia="Arial" w:hAnsi="Arial"/>
                <w:sz w:val="16"/>
                <w:szCs w:val="16"/>
                <w:color w:val="231F20"/>
                <w:w w:val="91"/>
              </w:rPr>
              <w:t>(b) (d) (e) (f)</w:t>
            </w:r>
          </w:p>
        </w:tc>
        <w:tc>
          <w:tcPr>
            <w:tcW w:w="2780" w:type="dxa"/>
            <w:vAlign w:val="bottom"/>
            <w:gridSpan w:val="2"/>
          </w:tcPr>
          <w:p>
            <w:pPr>
              <w:spacing w:after="0"/>
              <w:rPr>
                <w:sz w:val="20"/>
                <w:szCs w:val="20"/>
                <w:color w:val="auto"/>
              </w:rPr>
            </w:pPr>
            <w:r>
              <w:rPr>
                <w:rFonts w:ascii="Arial" w:cs="Arial" w:eastAsia="Arial" w:hAnsi="Arial"/>
                <w:sz w:val="16"/>
                <w:szCs w:val="16"/>
                <w:color w:val="231F20"/>
              </w:rPr>
              <w:t>(g) For def n t o s of N on-GAAP meas</w:t>
            </w:r>
          </w:p>
        </w:tc>
        <w:tc>
          <w:tcPr>
            <w:tcW w:w="2520" w:type="dxa"/>
            <w:vAlign w:val="bottom"/>
          </w:tcPr>
          <w:p>
            <w:pPr>
              <w:spacing w:after="0"/>
              <w:rPr>
                <w:sz w:val="20"/>
                <w:szCs w:val="20"/>
                <w:color w:val="auto"/>
              </w:rPr>
            </w:pPr>
            <w:r>
              <w:rPr>
                <w:rFonts w:ascii="Arial" w:cs="Arial" w:eastAsia="Arial" w:hAnsi="Arial"/>
                <w:sz w:val="16"/>
                <w:szCs w:val="16"/>
                <w:color w:val="231F20"/>
              </w:rPr>
              <w:t>res, see Def n t ons of Terms pa e</w:t>
            </w: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p>
    <w:p>
      <w:pPr>
        <w:sectPr>
          <w:pgSz w:w="12240" w:h="15840" w:orient="portrait"/>
          <w:cols w:equalWidth="0" w:num="1">
            <w:col w:w="10240"/>
          </w:cols>
          <w:pgMar w:left="1000" w:top="1044" w:right="1000" w:bottom="3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231F20"/>
        </w:rPr>
        <w:t>10</w:t>
      </w:r>
    </w:p>
    <w:p>
      <w:pPr>
        <w:sectPr>
          <w:pgSz w:w="12240" w:h="15840" w:orient="portrait"/>
          <w:cols w:equalWidth="0" w:num="1">
            <w:col w:w="10240"/>
          </w:cols>
          <w:pgMar w:left="1000" w:top="1044" w:right="1000" w:bottom="393" w:gutter="0" w:footer="0" w:header="0"/>
          <w:type w:val="continuous"/>
        </w:sectPr>
      </w:pPr>
    </w:p>
    <w:bookmarkStart w:id="109" w:name="page110"/>
    <w:bookmarkEnd w:id="109"/>
    <w:p>
      <w:pPr>
        <w:ind w:right="340"/>
        <w:spacing w:after="0" w:line="245" w:lineRule="auto"/>
        <w:rPr>
          <w:sz w:val="20"/>
          <w:szCs w:val="20"/>
          <w:color w:val="auto"/>
        </w:rPr>
      </w:pPr>
      <w:r>
        <w:rPr>
          <w:rFonts w:ascii="Arial" w:cs="Arial" w:eastAsia="Arial" w:hAnsi="Arial"/>
          <w:sz w:val="20"/>
          <w:szCs w:val="20"/>
          <w:b w:val="1"/>
          <w:bCs w:val="1"/>
          <w:color w:val="231F20"/>
        </w:rPr>
        <w:t>Reconciliations of Income From Continui ng Operations, Net of Tax to EBITDA From Conti nuing Operations Before Charges/Gains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-86995</wp:posOffset>
            </wp:positionV>
            <wp:extent cx="4763"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1">
                      <a:extLst>
                        <a:ext uri="{28A0092B-C50C-407E-A947-70E740481C1C}"/>
                      </a:extLst>
                    </a:blip>
                    <a:srcRect/>
                    <a:stretch>
                      <a:fillRect/>
                    </a:stretch>
                  </pic:blipFill>
                  <pic:spPr bwMode="auto">
                    <a:xfrm>
                      <a:off x="0" y="0"/>
                      <a:ext cx="4763" cy="36830"/>
                    </a:xfrm>
                    <a:prstGeom prst="rect">
                      <a:avLst/>
                    </a:prstGeom>
                    <a:noFill/>
                  </pic:spPr>
                </pic:pic>
              </a:graphicData>
            </a:graphic>
          </wp:anchor>
        </w:drawing>
      </w:r>
    </w:p>
    <w:p>
      <w:pPr>
        <w:spacing w:after="0" w:line="8"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231F20"/>
        </w:rPr>
        <w:t>(</w:t>
      </w:r>
      <w:r>
        <w:rPr>
          <w:sz w:val="20"/>
          <w:szCs w:val="20"/>
          <w:color w:val="auto"/>
        </w:rPr>
        <w:tab/>
      </w:r>
      <w:r>
        <w:rPr>
          <w:rFonts w:ascii="Arial" w:cs="Arial" w:eastAsia="Arial" w:hAnsi="Arial"/>
          <w:sz w:val="18"/>
          <w:szCs w:val="18"/>
          <w:color w:val="231F20"/>
        </w:rPr>
        <w:t>m ll o 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231F20"/>
        </w:rPr>
        <w:t>(U aud 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59055</wp:posOffset>
                </wp:positionV>
                <wp:extent cx="651256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61">
                          <a:solidFill>
                            <a:srgbClr val="231F2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65pt" to="512.4pt,4.65pt" o:allowincell="f" strokecolor="#231F20" strokeweight="0.304pt"/>
            </w:pict>
          </mc:Fallback>
        </mc:AlternateConten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3200" w:type="dxa"/>
            <w:vAlign w:val="bottom"/>
            <w:gridSpan w:val="2"/>
          </w:tcPr>
          <w:p>
            <w:pPr>
              <w:jc w:val="right"/>
              <w:ind w:right="99"/>
              <w:spacing w:after="0"/>
              <w:rPr>
                <w:sz w:val="20"/>
                <w:szCs w:val="20"/>
                <w:color w:val="auto"/>
              </w:rPr>
            </w:pPr>
            <w:r>
              <w:rPr>
                <w:rFonts w:ascii="Arial" w:cs="Arial" w:eastAsia="Arial" w:hAnsi="Arial"/>
                <w:sz w:val="16"/>
                <w:szCs w:val="16"/>
                <w:color w:val="231F20"/>
              </w:rPr>
              <w:t>Fifty-two Weeks Ended December 30</w:t>
            </w:r>
          </w:p>
        </w:tc>
      </w:tr>
      <w:tr>
        <w:trPr>
          <w:trHeight w:val="36"/>
        </w:trPr>
        <w:tc>
          <w:tcPr>
            <w:tcW w:w="20" w:type="dxa"/>
            <w:vAlign w:val="bottom"/>
          </w:tcPr>
          <w:p>
            <w:pPr>
              <w:spacing w:after="0"/>
              <w:rPr>
                <w:sz w:val="3"/>
                <w:szCs w:val="3"/>
                <w:color w:val="auto"/>
              </w:rPr>
            </w:pPr>
          </w:p>
        </w:tc>
        <w:tc>
          <w:tcPr>
            <w:tcW w:w="7020" w:type="dxa"/>
            <w:vAlign w:val="bottom"/>
          </w:tcPr>
          <w:p>
            <w:pPr>
              <w:spacing w:after="0"/>
              <w:rPr>
                <w:sz w:val="3"/>
                <w:szCs w:val="3"/>
                <w:color w:val="auto"/>
              </w:rPr>
            </w:pPr>
          </w:p>
        </w:tc>
        <w:tc>
          <w:tcPr>
            <w:tcW w:w="1420" w:type="dxa"/>
            <w:vAlign w:val="bottom"/>
            <w:tcBorders>
              <w:bottom w:val="single" w:sz="8" w:color="231F20"/>
            </w:tcBorders>
          </w:tcPr>
          <w:p>
            <w:pPr>
              <w:spacing w:after="0"/>
              <w:rPr>
                <w:sz w:val="3"/>
                <w:szCs w:val="3"/>
                <w:color w:val="auto"/>
              </w:rPr>
            </w:pPr>
          </w:p>
        </w:tc>
        <w:tc>
          <w:tcPr>
            <w:tcW w:w="1780" w:type="dxa"/>
            <w:vAlign w:val="bottom"/>
            <w:tcBorders>
              <w:bottom w:val="single" w:sz="8" w:color="231F20"/>
            </w:tcBorders>
          </w:tcPr>
          <w:p>
            <w:pPr>
              <w:spacing w:after="0"/>
              <w:rPr>
                <w:sz w:val="3"/>
                <w:szCs w:val="3"/>
                <w:color w:val="auto"/>
              </w:rPr>
            </w:pPr>
          </w:p>
        </w:tc>
      </w:tr>
      <w:tr>
        <w:trPr>
          <w:trHeight w:val="194"/>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2023</w:t>
            </w:r>
          </w:p>
        </w:tc>
      </w:tr>
      <w:tr>
        <w:trPr>
          <w:trHeight w:val="24"/>
        </w:trPr>
        <w:tc>
          <w:tcPr>
            <w:tcW w:w="20" w:type="dxa"/>
            <w:vAlign w:val="bottom"/>
          </w:tcPr>
          <w:p>
            <w:pPr>
              <w:spacing w:after="0"/>
              <w:rPr>
                <w:sz w:val="2"/>
                <w:szCs w:val="2"/>
                <w:color w:val="auto"/>
              </w:rPr>
            </w:pPr>
          </w:p>
        </w:tc>
        <w:tc>
          <w:tcPr>
            <w:tcW w:w="8440" w:type="dxa"/>
            <w:vAlign w:val="bottom"/>
            <w:tcBorders>
              <w:bottom w:val="single" w:sz="8" w:color="231F20"/>
            </w:tcBorders>
            <w:gridSpan w:val="2"/>
          </w:tcPr>
          <w:p>
            <w:pPr>
              <w:spacing w:after="0"/>
              <w:rPr>
                <w:sz w:val="2"/>
                <w:szCs w:val="2"/>
                <w:color w:val="auto"/>
              </w:rPr>
            </w:pPr>
          </w:p>
        </w:tc>
        <w:tc>
          <w:tcPr>
            <w:tcW w:w="1780" w:type="dxa"/>
            <w:vAlign w:val="bottom"/>
            <w:tcBorders>
              <w:bottom w:val="single" w:sz="8" w:color="231F20"/>
            </w:tcBorders>
          </w:tcPr>
          <w:p>
            <w:pPr>
              <w:spacing w:after="0"/>
              <w:rPr>
                <w:sz w:val="2"/>
                <w:szCs w:val="2"/>
                <w:color w:val="auto"/>
              </w:rPr>
            </w:pPr>
          </w:p>
        </w:tc>
      </w:tr>
      <w:tr>
        <w:trPr>
          <w:trHeight w:val="214"/>
        </w:trPr>
        <w:tc>
          <w:tcPr>
            <w:tcW w:w="8460" w:type="dxa"/>
            <w:vAlign w:val="bottom"/>
            <w:gridSpan w:val="3"/>
          </w:tcPr>
          <w:p>
            <w:pPr>
              <w:spacing w:after="0"/>
              <w:rPr>
                <w:sz w:val="20"/>
                <w:szCs w:val="20"/>
                <w:color w:val="auto"/>
              </w:rPr>
            </w:pPr>
            <w:r>
              <w:rPr>
                <w:rFonts w:ascii="Arial" w:cs="Arial" w:eastAsia="Arial" w:hAnsi="Arial"/>
                <w:sz w:val="16"/>
                <w:szCs w:val="16"/>
                <w:b w:val="1"/>
                <w:bCs w:val="1"/>
                <w:color w:val="231F20"/>
              </w:rPr>
              <w:t>Income from continuing operati ons, net of tax</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$405.5</w:t>
            </w:r>
          </w:p>
        </w:tc>
      </w:tr>
      <w:tr>
        <w:trPr>
          <w:trHeight w:val="44"/>
        </w:trPr>
        <w:tc>
          <w:tcPr>
            <w:tcW w:w="20" w:type="dxa"/>
            <w:vAlign w:val="bottom"/>
          </w:tcPr>
          <w:p>
            <w:pPr>
              <w:spacing w:after="0"/>
              <w:rPr>
                <w:sz w:val="3"/>
                <w:szCs w:val="3"/>
                <w:color w:val="auto"/>
              </w:rPr>
            </w:pPr>
          </w:p>
        </w:tc>
        <w:tc>
          <w:tcPr>
            <w:tcW w:w="8440" w:type="dxa"/>
            <w:vAlign w:val="bottom"/>
            <w:tcBorders>
              <w:bottom w:val="single" w:sz="8" w:color="231F20"/>
            </w:tcBorders>
            <w:gridSpan w:val="2"/>
          </w:tcPr>
          <w:p>
            <w:pPr>
              <w:spacing w:after="0"/>
              <w:rPr>
                <w:sz w:val="3"/>
                <w:szCs w:val="3"/>
                <w:color w:val="auto"/>
              </w:rPr>
            </w:pPr>
          </w:p>
        </w:tc>
        <w:tc>
          <w:tcPr>
            <w:tcW w:w="1780" w:type="dxa"/>
            <w:vAlign w:val="bottom"/>
            <w:tcBorders>
              <w:bottom w:val="single" w:sz="8" w:color="231F20"/>
            </w:tcBorders>
          </w:tcPr>
          <w:p>
            <w:pPr>
              <w:spacing w:after="0"/>
              <w:rPr>
                <w:sz w:val="3"/>
                <w:szCs w:val="3"/>
                <w:color w:val="auto"/>
              </w:rPr>
            </w:pPr>
          </w:p>
        </w:tc>
      </w:tr>
      <w:tr>
        <w:trPr>
          <w:trHeight w:val="386"/>
        </w:trPr>
        <w:tc>
          <w:tcPr>
            <w:tcW w:w="20" w:type="dxa"/>
            <w:vAlign w:val="bottom"/>
          </w:tcPr>
          <w:p>
            <w:pPr>
              <w:spacing w:after="0"/>
              <w:rPr>
                <w:sz w:val="24"/>
                <w:szCs w:val="24"/>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Depreciation*</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$90.4</w:t>
            </w:r>
          </w:p>
        </w:tc>
      </w:tr>
      <w:tr>
        <w:trPr>
          <w:trHeight w:val="212"/>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Amortization of ntangib e assets</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62.1</w:t>
            </w:r>
          </w:p>
        </w:tc>
      </w:tr>
      <w:tr>
        <w:trPr>
          <w:trHeight w:val="212"/>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Restructur n  charges</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32.5</w:t>
            </w:r>
          </w:p>
        </w:tc>
      </w:tr>
      <w:tr>
        <w:trPr>
          <w:trHeight w:val="212"/>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Other charges/(gains)</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22.3</w:t>
            </w:r>
          </w:p>
        </w:tc>
      </w:tr>
      <w:tr>
        <w:trPr>
          <w:trHeight w:val="234"/>
        </w:trPr>
        <w:tc>
          <w:tcPr>
            <w:tcW w:w="20" w:type="dxa"/>
            <w:vAlign w:val="bottom"/>
          </w:tcPr>
          <w:p>
            <w:pPr>
              <w:spacing w:after="0"/>
              <w:rPr>
                <w:sz w:val="20"/>
                <w:szCs w:val="20"/>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 xml:space="preserve">ASSA transaction expenses </w:t>
            </w:r>
            <w:r>
              <w:rPr>
                <w:rFonts w:ascii="Arial" w:cs="Arial" w:eastAsia="Arial" w:hAnsi="Arial"/>
                <w:sz w:val="9"/>
                <w:szCs w:val="9"/>
                <w:color w:val="231F20"/>
              </w:rPr>
              <w:t>(</w:t>
            </w:r>
            <w:r>
              <w:rPr>
                <w:rFonts w:ascii="Arial" w:cs="Arial" w:eastAsia="Arial" w:hAnsi="Arial"/>
                <w:sz w:val="18"/>
                <w:szCs w:val="18"/>
                <w:color w:val="231F20"/>
                <w:vertAlign w:val="superscript"/>
              </w:rPr>
              <w:t>d</w:t>
            </w:r>
            <w:r>
              <w:rPr>
                <w:rFonts w:ascii="Arial" w:cs="Arial" w:eastAsia="Arial" w:hAnsi="Arial"/>
                <w:sz w:val="9"/>
                <w:szCs w:val="9"/>
                <w:color w:val="231F20"/>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19.7</w:t>
            </w:r>
          </w:p>
        </w:tc>
      </w:tr>
      <w:tr>
        <w:trPr>
          <w:trHeight w:val="212"/>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 xml:space="preserve">Solar compensation </w:t>
            </w:r>
            <w:r>
              <w:rPr>
                <w:rFonts w:ascii="Arial" w:cs="Arial" w:eastAsia="Arial" w:hAnsi="Arial"/>
                <w:sz w:val="9"/>
                <w:szCs w:val="9"/>
                <w:color w:val="231F20"/>
              </w:rPr>
              <w:t>(</w:t>
            </w:r>
            <w:r>
              <w:rPr>
                <w:rFonts w:ascii="Arial" w:cs="Arial" w:eastAsia="Arial" w:hAnsi="Arial"/>
                <w:sz w:val="18"/>
                <w:szCs w:val="18"/>
                <w:color w:val="231F20"/>
                <w:vertAlign w:val="superscript"/>
              </w:rPr>
              <w:t>e</w:t>
            </w:r>
            <w:r>
              <w:rPr>
                <w:rFonts w:ascii="Arial" w:cs="Arial" w:eastAsia="Arial" w:hAnsi="Arial"/>
                <w:sz w:val="9"/>
                <w:szCs w:val="9"/>
                <w:color w:val="231F20"/>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2.7</w:t>
            </w:r>
          </w:p>
        </w:tc>
      </w:tr>
      <w:tr>
        <w:trPr>
          <w:trHeight w:val="212"/>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 xml:space="preserve">Amortization of nventory step-up </w:t>
            </w:r>
            <w:r>
              <w:rPr>
                <w:rFonts w:ascii="Arial" w:cs="Arial" w:eastAsia="Arial" w:hAnsi="Arial"/>
                <w:sz w:val="9"/>
                <w:szCs w:val="9"/>
                <w:color w:val="231F20"/>
              </w:rPr>
              <w:t>(</w:t>
            </w:r>
            <w:r>
              <w:rPr>
                <w:rFonts w:ascii="Arial" w:cs="Arial" w:eastAsia="Arial" w:hAnsi="Arial"/>
                <w:sz w:val="18"/>
                <w:szCs w:val="18"/>
                <w:color w:val="231F20"/>
                <w:vertAlign w:val="superscript"/>
              </w:rPr>
              <w:t>f</w:t>
            </w:r>
            <w:r>
              <w:rPr>
                <w:rFonts w:ascii="Arial" w:cs="Arial" w:eastAsia="Arial" w:hAnsi="Arial"/>
                <w:sz w:val="9"/>
                <w:szCs w:val="9"/>
                <w:color w:val="231F20"/>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12.4</w:t>
            </w:r>
          </w:p>
        </w:tc>
      </w:tr>
      <w:tr>
        <w:trPr>
          <w:trHeight w:val="191"/>
        </w:trPr>
        <w:tc>
          <w:tcPr>
            <w:tcW w:w="20" w:type="dxa"/>
            <w:vAlign w:val="bottom"/>
          </w:tcPr>
          <w:p>
            <w:pPr>
              <w:spacing w:after="0"/>
              <w:rPr>
                <w:sz w:val="16"/>
                <w:szCs w:val="16"/>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 xml:space="preserve">Asset impairment charges </w:t>
            </w:r>
            <w:r>
              <w:rPr>
                <w:rFonts w:ascii="Arial" w:cs="Arial" w:eastAsia="Arial" w:hAnsi="Arial"/>
                <w:sz w:val="9"/>
                <w:szCs w:val="9"/>
                <w:color w:val="231F20"/>
              </w:rPr>
              <w:t>(g)</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33.5</w:t>
            </w:r>
          </w:p>
        </w:tc>
      </w:tr>
      <w:tr>
        <w:trPr>
          <w:trHeight w:val="212"/>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Interest expense</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116.5</w:t>
            </w:r>
          </w:p>
        </w:tc>
      </w:tr>
      <w:tr>
        <w:trPr>
          <w:trHeight w:val="213"/>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Defi ed benefit plan actuar al gain</w:t>
            </w:r>
          </w:p>
        </w:tc>
        <w:tc>
          <w:tcPr>
            <w:tcW w:w="1780" w:type="dxa"/>
            <w:vAlign w:val="bottom"/>
          </w:tcPr>
          <w:p>
            <w:pPr>
              <w:jc w:val="right"/>
              <w:spacing w:after="0"/>
              <w:rPr>
                <w:sz w:val="20"/>
                <w:szCs w:val="20"/>
                <w:color w:val="auto"/>
              </w:rPr>
            </w:pPr>
            <w:r>
              <w:rPr>
                <w:rFonts w:ascii="Arial" w:cs="Arial" w:eastAsia="Arial" w:hAnsi="Arial"/>
                <w:sz w:val="16"/>
                <w:szCs w:val="16"/>
                <w:color w:val="231F20"/>
              </w:rPr>
              <w:t>(0.5)</w:t>
            </w:r>
          </w:p>
        </w:tc>
      </w:tr>
      <w:tr>
        <w:trPr>
          <w:trHeight w:val="212"/>
        </w:trPr>
        <w:tc>
          <w:tcPr>
            <w:tcW w:w="20" w:type="dxa"/>
            <w:vAlign w:val="bottom"/>
          </w:tcPr>
          <w:p>
            <w:pPr>
              <w:spacing w:after="0"/>
              <w:rPr>
                <w:sz w:val="18"/>
                <w:szCs w:val="18"/>
                <w:color w:val="auto"/>
              </w:rPr>
            </w:pPr>
          </w:p>
        </w:tc>
        <w:tc>
          <w:tcPr>
            <w:tcW w:w="8440" w:type="dxa"/>
            <w:vAlign w:val="bottom"/>
            <w:gridSpan w:val="2"/>
          </w:tcPr>
          <w:p>
            <w:pPr>
              <w:ind w:left="160"/>
              <w:spacing w:after="0"/>
              <w:rPr>
                <w:sz w:val="20"/>
                <w:szCs w:val="20"/>
                <w:color w:val="auto"/>
              </w:rPr>
            </w:pPr>
            <w:r>
              <w:rPr>
                <w:rFonts w:ascii="Arial" w:cs="Arial" w:eastAsia="Arial" w:hAnsi="Arial"/>
                <w:sz w:val="16"/>
                <w:szCs w:val="16"/>
                <w:color w:val="231F20"/>
              </w:rPr>
              <w:t>Income taxes</w:t>
            </w:r>
          </w:p>
        </w:tc>
        <w:tc>
          <w:tcPr>
            <w:tcW w:w="1780" w:type="dxa"/>
            <w:vAlign w:val="bottom"/>
          </w:tcPr>
          <w:p>
            <w:pPr>
              <w:jc w:val="right"/>
              <w:ind w:right="39"/>
              <w:spacing w:after="0"/>
              <w:rPr>
                <w:sz w:val="20"/>
                <w:szCs w:val="20"/>
                <w:color w:val="auto"/>
              </w:rPr>
            </w:pPr>
            <w:r>
              <w:rPr>
                <w:rFonts w:ascii="Arial" w:cs="Arial" w:eastAsia="Arial" w:hAnsi="Arial"/>
                <w:sz w:val="16"/>
                <w:szCs w:val="16"/>
                <w:color w:val="231F20"/>
              </w:rPr>
              <w:t>112.4</w:t>
            </w:r>
          </w:p>
        </w:tc>
      </w:tr>
      <w:tr>
        <w:trPr>
          <w:trHeight w:val="231"/>
        </w:trPr>
        <w:tc>
          <w:tcPr>
            <w:tcW w:w="8460" w:type="dxa"/>
            <w:vAlign w:val="bottom"/>
            <w:gridSpan w:val="3"/>
          </w:tcPr>
          <w:p>
            <w:pPr>
              <w:spacing w:after="0"/>
              <w:rPr>
                <w:sz w:val="20"/>
                <w:szCs w:val="20"/>
                <w:color w:val="auto"/>
              </w:rPr>
            </w:pPr>
          </w:p>
        </w:tc>
        <w:tc>
          <w:tcPr>
            <w:tcW w:w="1780" w:type="dxa"/>
            <w:vAlign w:val="bottom"/>
          </w:tcPr>
          <w:p>
            <w:pPr>
              <w:spacing w:after="0"/>
              <w:rPr>
                <w:sz w:val="20"/>
                <w:szCs w:val="20"/>
                <w:color w:val="auto"/>
              </w:rPr>
            </w:pPr>
          </w:p>
        </w:tc>
      </w:tr>
      <w:tr>
        <w:trPr>
          <w:trHeight w:val="200"/>
        </w:trPr>
        <w:tc>
          <w:tcPr>
            <w:tcW w:w="20" w:type="dxa"/>
            <w:vAlign w:val="bottom"/>
            <w:tcBorders>
              <w:bottom w:val="single" w:sz="8" w:color="231F20"/>
            </w:tcBorders>
          </w:tcPr>
          <w:p>
            <w:pPr>
              <w:spacing w:after="0"/>
              <w:rPr>
                <w:sz w:val="17"/>
                <w:szCs w:val="17"/>
                <w:color w:val="auto"/>
              </w:rPr>
            </w:pPr>
          </w:p>
        </w:tc>
        <w:tc>
          <w:tcPr>
            <w:tcW w:w="8440" w:type="dxa"/>
            <w:vAlign w:val="bottom"/>
            <w:tcBorders>
              <w:top w:val="single" w:sz="8" w:color="231F20"/>
              <w:bottom w:val="single" w:sz="8" w:color="231F20"/>
            </w:tcBorders>
            <w:gridSpan w:val="2"/>
          </w:tcPr>
          <w:p>
            <w:pPr>
              <w:spacing w:after="0" w:line="201" w:lineRule="exact"/>
              <w:rPr>
                <w:sz w:val="20"/>
                <w:szCs w:val="20"/>
                <w:color w:val="auto"/>
              </w:rPr>
            </w:pPr>
            <w:r>
              <w:rPr>
                <w:rFonts w:ascii="Arial" w:cs="Arial" w:eastAsia="Arial" w:hAnsi="Arial"/>
                <w:sz w:val="16"/>
                <w:szCs w:val="16"/>
                <w:b w:val="1"/>
                <w:bCs w:val="1"/>
                <w:color w:val="231F20"/>
              </w:rPr>
              <w:t xml:space="preserve">EBITDA before charges/gai ns </w:t>
            </w:r>
            <w:r>
              <w:rPr>
                <w:rFonts w:ascii="Arial" w:cs="Arial" w:eastAsia="Arial" w:hAnsi="Arial"/>
                <w:sz w:val="18"/>
                <w:szCs w:val="18"/>
                <w:b w:val="1"/>
                <w:bCs w:val="1"/>
                <w:color w:val="231F20"/>
                <w:vertAlign w:val="superscript"/>
              </w:rPr>
              <w:t>(c)</w:t>
            </w:r>
          </w:p>
        </w:tc>
        <w:tc>
          <w:tcPr>
            <w:tcW w:w="1780" w:type="dxa"/>
            <w:vAlign w:val="bottom"/>
            <w:tcBorders>
              <w:top w:val="single" w:sz="8" w:color="231F20"/>
              <w:bottom w:val="single" w:sz="8" w:color="231F20"/>
            </w:tcBorders>
          </w:tcPr>
          <w:p>
            <w:pPr>
              <w:jc w:val="right"/>
              <w:ind w:right="39"/>
              <w:spacing w:after="0"/>
              <w:rPr>
                <w:sz w:val="20"/>
                <w:szCs w:val="20"/>
                <w:color w:val="auto"/>
              </w:rPr>
            </w:pPr>
            <w:r>
              <w:rPr>
                <w:rFonts w:ascii="Arial" w:cs="Arial" w:eastAsia="Arial" w:hAnsi="Arial"/>
                <w:sz w:val="16"/>
                <w:szCs w:val="16"/>
                <w:color w:val="231F20"/>
              </w:rPr>
              <w:t>$909.5</w:t>
            </w:r>
          </w:p>
        </w:tc>
      </w:tr>
      <w:tr>
        <w:trPr>
          <w:trHeight w:val="351"/>
        </w:trPr>
        <w:tc>
          <w:tcPr>
            <w:tcW w:w="8460" w:type="dxa"/>
            <w:vAlign w:val="bottom"/>
            <w:gridSpan w:val="3"/>
          </w:tcPr>
          <w:p>
            <w:pPr>
              <w:spacing w:after="0"/>
              <w:rPr>
                <w:sz w:val="20"/>
                <w:szCs w:val="20"/>
                <w:color w:val="auto"/>
              </w:rPr>
            </w:pPr>
            <w:r>
              <w:rPr>
                <w:rFonts w:ascii="Arial" w:cs="Arial" w:eastAsia="Arial" w:hAnsi="Arial"/>
                <w:sz w:val="16"/>
                <w:szCs w:val="16"/>
                <w:color w:val="231F20"/>
              </w:rPr>
              <w:t>*Depreciation excludes accelerated depreciation expense of $16.3 mil ion for the fifty-two weeks ended December 30</w:t>
            </w:r>
          </w:p>
        </w:tc>
        <w:tc>
          <w:tcPr>
            <w:tcW w:w="1780" w:type="dxa"/>
            <w:vAlign w:val="bottom"/>
          </w:tcPr>
          <w:p>
            <w:pPr>
              <w:jc w:val="right"/>
              <w:ind w:right="359"/>
              <w:spacing w:after="0"/>
              <w:rPr>
                <w:sz w:val="20"/>
                <w:szCs w:val="20"/>
                <w:color w:val="auto"/>
              </w:rPr>
            </w:pPr>
            <w:r>
              <w:rPr>
                <w:rFonts w:ascii="Arial" w:cs="Arial" w:eastAsia="Arial" w:hAnsi="Arial"/>
                <w:sz w:val="16"/>
                <w:szCs w:val="16"/>
                <w:color w:val="231F20"/>
              </w:rPr>
              <w:t>2023 Accelerated</w:t>
            </w:r>
          </w:p>
        </w:tc>
      </w:tr>
      <w:tr>
        <w:trPr>
          <w:trHeight w:val="202"/>
        </w:trPr>
        <w:tc>
          <w:tcPr>
            <w:tcW w:w="20" w:type="dxa"/>
            <w:vAlign w:val="bottom"/>
          </w:tcPr>
          <w:p>
            <w:pPr>
              <w:spacing w:after="0"/>
              <w:rPr>
                <w:sz w:val="17"/>
                <w:szCs w:val="17"/>
                <w:color w:val="auto"/>
              </w:rPr>
            </w:pPr>
          </w:p>
        </w:tc>
        <w:tc>
          <w:tcPr>
            <w:tcW w:w="8440" w:type="dxa"/>
            <w:vAlign w:val="bottom"/>
            <w:gridSpan w:val="2"/>
          </w:tcPr>
          <w:p>
            <w:pPr>
              <w:ind w:left="40"/>
              <w:spacing w:after="0"/>
              <w:rPr>
                <w:sz w:val="20"/>
                <w:szCs w:val="20"/>
                <w:color w:val="auto"/>
              </w:rPr>
            </w:pPr>
            <w:r>
              <w:rPr>
                <w:rFonts w:ascii="Arial" w:cs="Arial" w:eastAsia="Arial" w:hAnsi="Arial"/>
                <w:sz w:val="16"/>
                <w:szCs w:val="16"/>
                <w:color w:val="231F20"/>
              </w:rPr>
              <w:t>depreciat on is included n restructurin  a d other charges/gains</w:t>
            </w:r>
          </w:p>
        </w:tc>
        <w:tc>
          <w:tcPr>
            <w:tcW w:w="1780" w:type="dxa"/>
            <w:vAlign w:val="bottom"/>
          </w:tcPr>
          <w:p>
            <w:pPr>
              <w:spacing w:after="0"/>
              <w:rPr>
                <w:sz w:val="17"/>
                <w:szCs w:val="17"/>
                <w:color w:val="auto"/>
              </w:rPr>
            </w:pPr>
          </w:p>
        </w:tc>
      </w:tr>
    </w:tbl>
    <w:p>
      <w:pPr>
        <w:spacing w:after="0" w:line="20" w:lineRule="exact"/>
        <w:rPr>
          <w:sz w:val="20"/>
          <w:szCs w:val="20"/>
          <w:color w:val="auto"/>
        </w:r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231F20"/>
        </w:rPr>
        <w:t>(c) (d) (e) (f) (g) For definitions of No -GAAP m easures see Definitio s of Terms pa e.</w:t>
      </w:r>
    </w:p>
    <w:p>
      <w:pPr>
        <w:sectPr>
          <w:pgSz w:w="12240" w:h="15840" w:orient="portrait"/>
          <w:cols w:equalWidth="0" w:num="1">
            <w:col w:w="10240"/>
          </w:cols>
          <w:pgMar w:left="1000" w:top="1051" w:right="1000" w:bottom="3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color w:val="231F20"/>
        </w:rPr>
        <w:t>102</w:t>
      </w:r>
    </w:p>
    <w:p>
      <w:pPr>
        <w:sectPr>
          <w:pgSz w:w="12240" w:h="15840" w:orient="portrait"/>
          <w:cols w:equalWidth="0" w:num="1">
            <w:col w:w="10240"/>
          </w:cols>
          <w:pgMar w:left="1000" w:top="1051" w:right="1000" w:bottom="370" w:gutter="0" w:footer="0" w:header="0"/>
          <w:type w:val="continuous"/>
        </w:sectPr>
      </w:pPr>
    </w:p>
    <w:bookmarkStart w:id="110" w:name="page111"/>
    <w:bookmarkEnd w:id="110"/>
    <w:p>
      <w:pPr>
        <w:ind w:right="4620" w:hanging="1"/>
        <w:spacing w:after="0" w:line="235" w:lineRule="auto"/>
        <w:rPr>
          <w:sz w:val="20"/>
          <w:szCs w:val="20"/>
          <w:color w:val="auto"/>
        </w:rPr>
      </w:pPr>
      <w:r>
        <w:rPr>
          <w:rFonts w:ascii="Arial" w:cs="Arial" w:eastAsia="Arial" w:hAnsi="Arial"/>
          <w:sz w:val="20"/>
          <w:szCs w:val="20"/>
          <w:b w:val="1"/>
          <w:bCs w:val="1"/>
          <w:color w:val="231F20"/>
        </w:rPr>
        <w:t xml:space="preserve">Cash Flow from Operations (GAAP) to Free Cash Flow </w:t>
      </w:r>
      <w:r>
        <w:rPr>
          <w:rFonts w:ascii="Arial" w:cs="Arial" w:eastAsia="Arial" w:hAnsi="Arial"/>
          <w:sz w:val="18"/>
          <w:szCs w:val="18"/>
          <w:color w:val="231F20"/>
        </w:rPr>
        <w:t>( m ll o 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231F20"/>
        </w:rPr>
        <w:t>(Unaudited)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59055</wp:posOffset>
                </wp:positionV>
                <wp:extent cx="651256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854">
                          <a:solidFill>
                            <a:srgbClr val="231F2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65pt" to="512.4pt,4.65pt" o:allowincell="f" strokecolor="#231F20" strokeweight="0.3035pt"/>
            </w:pict>
          </mc:Fallback>
        </mc:AlternateConten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40" w:type="dxa"/>
            <w:vAlign w:val="bottom"/>
          </w:tcPr>
          <w:p>
            <w:pPr>
              <w:spacing w:after="0"/>
              <w:rPr>
                <w:sz w:val="16"/>
                <w:szCs w:val="16"/>
                <w:color w:val="auto"/>
              </w:rPr>
            </w:pPr>
          </w:p>
        </w:tc>
        <w:tc>
          <w:tcPr>
            <w:tcW w:w="3200" w:type="dxa"/>
            <w:vAlign w:val="bottom"/>
          </w:tcPr>
          <w:p>
            <w:pPr>
              <w:jc w:val="right"/>
              <w:ind w:right="99"/>
              <w:spacing w:after="0"/>
              <w:rPr>
                <w:sz w:val="20"/>
                <w:szCs w:val="20"/>
                <w:color w:val="auto"/>
              </w:rPr>
            </w:pPr>
            <w:r>
              <w:rPr>
                <w:rFonts w:ascii="Arial" w:cs="Arial" w:eastAsia="Arial" w:hAnsi="Arial"/>
                <w:sz w:val="16"/>
                <w:szCs w:val="16"/>
                <w:color w:val="231F20"/>
              </w:rPr>
              <w:t>Fifty-two Weeks Ended December 30</w:t>
            </w:r>
          </w:p>
        </w:tc>
      </w:tr>
      <w:tr>
        <w:trPr>
          <w:trHeight w:val="36"/>
        </w:trPr>
        <w:tc>
          <w:tcPr>
            <w:tcW w:w="7040" w:type="dxa"/>
            <w:vAlign w:val="bottom"/>
          </w:tcPr>
          <w:p>
            <w:pPr>
              <w:spacing w:after="0"/>
              <w:rPr>
                <w:sz w:val="3"/>
                <w:szCs w:val="3"/>
                <w:color w:val="auto"/>
              </w:rPr>
            </w:pPr>
          </w:p>
        </w:tc>
        <w:tc>
          <w:tcPr>
            <w:tcW w:w="3200" w:type="dxa"/>
            <w:vAlign w:val="bottom"/>
            <w:tcBorders>
              <w:bottom w:val="single" w:sz="8" w:color="231F20"/>
            </w:tcBorders>
          </w:tcPr>
          <w:p>
            <w:pPr>
              <w:spacing w:after="0"/>
              <w:rPr>
                <w:sz w:val="3"/>
                <w:szCs w:val="3"/>
                <w:color w:val="auto"/>
              </w:rPr>
            </w:pPr>
          </w:p>
        </w:tc>
      </w:tr>
      <w:tr>
        <w:trPr>
          <w:trHeight w:val="234"/>
        </w:trPr>
        <w:tc>
          <w:tcPr>
            <w:tcW w:w="7040" w:type="dxa"/>
            <w:vAlign w:val="bottom"/>
          </w:tcPr>
          <w:p>
            <w:pPr>
              <w:spacing w:after="0"/>
              <w:rPr>
                <w:sz w:val="20"/>
                <w:szCs w:val="20"/>
                <w:color w:val="auto"/>
              </w:rPr>
            </w:pPr>
          </w:p>
        </w:tc>
        <w:tc>
          <w:tcPr>
            <w:tcW w:w="3200" w:type="dxa"/>
            <w:vAlign w:val="bottom"/>
          </w:tcPr>
          <w:p>
            <w:pPr>
              <w:jc w:val="right"/>
              <w:ind w:right="39"/>
              <w:spacing w:after="0"/>
              <w:rPr>
                <w:sz w:val="20"/>
                <w:szCs w:val="20"/>
                <w:color w:val="auto"/>
              </w:rPr>
            </w:pPr>
            <w:r>
              <w:rPr>
                <w:rFonts w:ascii="Arial" w:cs="Arial" w:eastAsia="Arial" w:hAnsi="Arial"/>
                <w:sz w:val="16"/>
                <w:szCs w:val="16"/>
                <w:color w:val="231F20"/>
              </w:rPr>
              <w:t>2023</w:t>
            </w:r>
          </w:p>
        </w:tc>
      </w:tr>
      <w:tr>
        <w:trPr>
          <w:trHeight w:val="24"/>
        </w:trPr>
        <w:tc>
          <w:tcPr>
            <w:tcW w:w="7040" w:type="dxa"/>
            <w:vAlign w:val="bottom"/>
            <w:tcBorders>
              <w:bottom w:val="single" w:sz="8" w:color="231F20"/>
            </w:tcBorders>
          </w:tcPr>
          <w:p>
            <w:pPr>
              <w:spacing w:after="0"/>
              <w:rPr>
                <w:sz w:val="2"/>
                <w:szCs w:val="2"/>
                <w:color w:val="auto"/>
              </w:rPr>
            </w:pPr>
          </w:p>
        </w:tc>
        <w:tc>
          <w:tcPr>
            <w:tcW w:w="3200" w:type="dxa"/>
            <w:vAlign w:val="bottom"/>
            <w:tcBorders>
              <w:bottom w:val="single" w:sz="8" w:color="231F20"/>
            </w:tcBorders>
          </w:tcPr>
          <w:p>
            <w:pPr>
              <w:spacing w:after="0"/>
              <w:rPr>
                <w:sz w:val="2"/>
                <w:szCs w:val="2"/>
                <w:color w:val="auto"/>
              </w:rPr>
            </w:pPr>
          </w:p>
        </w:tc>
      </w:tr>
      <w:tr>
        <w:trPr>
          <w:trHeight w:val="217"/>
        </w:trPr>
        <w:tc>
          <w:tcPr>
            <w:tcW w:w="7040" w:type="dxa"/>
            <w:vAlign w:val="bottom"/>
          </w:tcPr>
          <w:p>
            <w:pPr>
              <w:spacing w:after="0"/>
              <w:rPr>
                <w:sz w:val="20"/>
                <w:szCs w:val="20"/>
                <w:color w:val="auto"/>
              </w:rPr>
            </w:pPr>
            <w:r>
              <w:rPr>
                <w:rFonts w:ascii="Arial" w:cs="Arial" w:eastAsia="Arial" w:hAnsi="Arial"/>
                <w:sz w:val="16"/>
                <w:szCs w:val="16"/>
                <w:b w:val="1"/>
                <w:bCs w:val="1"/>
                <w:color w:val="231F20"/>
              </w:rPr>
              <w:t>Cash flow from operations (GAAP)</w:t>
            </w:r>
          </w:p>
        </w:tc>
        <w:tc>
          <w:tcPr>
            <w:tcW w:w="3200" w:type="dxa"/>
            <w:vAlign w:val="bottom"/>
          </w:tcPr>
          <w:p>
            <w:pPr>
              <w:jc w:val="right"/>
              <w:ind w:right="19"/>
              <w:spacing w:after="0"/>
              <w:rPr>
                <w:sz w:val="20"/>
                <w:szCs w:val="20"/>
                <w:color w:val="auto"/>
              </w:rPr>
            </w:pPr>
            <w:r>
              <w:rPr>
                <w:rFonts w:ascii="Arial" w:cs="Arial" w:eastAsia="Arial" w:hAnsi="Arial"/>
                <w:sz w:val="16"/>
                <w:szCs w:val="16"/>
                <w:color w:val="231F20"/>
              </w:rPr>
              <w:t>$1,055.8</w:t>
            </w:r>
          </w:p>
        </w:tc>
      </w:tr>
      <w:tr>
        <w:trPr>
          <w:trHeight w:val="384"/>
        </w:trPr>
        <w:tc>
          <w:tcPr>
            <w:tcW w:w="7040" w:type="dxa"/>
            <w:vAlign w:val="bottom"/>
          </w:tcPr>
          <w:p>
            <w:pPr>
              <w:ind w:left="180"/>
              <w:spacing w:after="0"/>
              <w:rPr>
                <w:sz w:val="20"/>
                <w:szCs w:val="20"/>
                <w:color w:val="auto"/>
              </w:rPr>
            </w:pPr>
            <w:r>
              <w:rPr>
                <w:rFonts w:ascii="Arial" w:cs="Arial" w:eastAsia="Arial" w:hAnsi="Arial"/>
                <w:sz w:val="16"/>
                <w:szCs w:val="16"/>
                <w:color w:val="231F20"/>
              </w:rPr>
              <w:t>Less:</w:t>
            </w:r>
          </w:p>
        </w:tc>
        <w:tc>
          <w:tcPr>
            <w:tcW w:w="3200" w:type="dxa"/>
            <w:vAlign w:val="bottom"/>
          </w:tcPr>
          <w:p>
            <w:pPr>
              <w:spacing w:after="0"/>
              <w:rPr>
                <w:sz w:val="24"/>
                <w:szCs w:val="24"/>
                <w:color w:val="auto"/>
              </w:rPr>
            </w:pPr>
          </w:p>
        </w:tc>
      </w:tr>
      <w:tr>
        <w:trPr>
          <w:trHeight w:val="212"/>
        </w:trPr>
        <w:tc>
          <w:tcPr>
            <w:tcW w:w="7040" w:type="dxa"/>
            <w:vAlign w:val="bottom"/>
          </w:tcPr>
          <w:p>
            <w:pPr>
              <w:ind w:left="360"/>
              <w:spacing w:after="0"/>
              <w:rPr>
                <w:sz w:val="20"/>
                <w:szCs w:val="20"/>
                <w:color w:val="auto"/>
              </w:rPr>
            </w:pPr>
            <w:r>
              <w:rPr>
                <w:rFonts w:ascii="Arial" w:cs="Arial" w:eastAsia="Arial" w:hAnsi="Arial"/>
                <w:sz w:val="16"/>
                <w:szCs w:val="16"/>
                <w:color w:val="231F20"/>
              </w:rPr>
              <w:t>Capital expenditures</w:t>
            </w:r>
          </w:p>
        </w:tc>
        <w:tc>
          <w:tcPr>
            <w:tcW w:w="3200" w:type="dxa"/>
            <w:vAlign w:val="bottom"/>
          </w:tcPr>
          <w:p>
            <w:pPr>
              <w:jc w:val="right"/>
              <w:ind w:right="39"/>
              <w:spacing w:after="0"/>
              <w:rPr>
                <w:sz w:val="20"/>
                <w:szCs w:val="20"/>
                <w:color w:val="auto"/>
              </w:rPr>
            </w:pPr>
            <w:r>
              <w:rPr>
                <w:rFonts w:ascii="Arial" w:cs="Arial" w:eastAsia="Arial" w:hAnsi="Arial"/>
                <w:sz w:val="16"/>
                <w:szCs w:val="16"/>
                <w:color w:val="231F20"/>
              </w:rPr>
              <w:t>256.5</w:t>
            </w:r>
          </w:p>
        </w:tc>
      </w:tr>
      <w:tr>
        <w:trPr>
          <w:trHeight w:val="231"/>
        </w:trPr>
        <w:tc>
          <w:tcPr>
            <w:tcW w:w="7040" w:type="dxa"/>
            <w:vAlign w:val="bottom"/>
            <w:tcBorders>
              <w:bottom w:val="single" w:sz="8" w:color="231F20"/>
            </w:tcBorders>
          </w:tcPr>
          <w:p>
            <w:pPr>
              <w:spacing w:after="0"/>
              <w:rPr>
                <w:sz w:val="20"/>
                <w:szCs w:val="20"/>
                <w:color w:val="auto"/>
              </w:rPr>
            </w:pPr>
          </w:p>
        </w:tc>
        <w:tc>
          <w:tcPr>
            <w:tcW w:w="3200" w:type="dxa"/>
            <w:vAlign w:val="bottom"/>
            <w:tcBorders>
              <w:bottom w:val="single" w:sz="8" w:color="231F20"/>
            </w:tcBorders>
          </w:tcPr>
          <w:p>
            <w:pPr>
              <w:spacing w:after="0"/>
              <w:rPr>
                <w:sz w:val="20"/>
                <w:szCs w:val="20"/>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6"/>
                <w:szCs w:val="16"/>
                <w:b w:val="1"/>
                <w:bCs w:val="1"/>
                <w:color w:val="231F20"/>
              </w:rPr>
              <w:t xml:space="preserve">Diluted EPS from continuing operations before charges/gains </w:t>
            </w:r>
            <w:r>
              <w:rPr>
                <w:rFonts w:ascii="Arial" w:cs="Arial" w:eastAsia="Arial" w:hAnsi="Arial"/>
                <w:sz w:val="18"/>
                <w:szCs w:val="18"/>
                <w:b w:val="1"/>
                <w:bCs w:val="1"/>
                <w:color w:val="231F20"/>
                <w:vertAlign w:val="superscript"/>
              </w:rPr>
              <w:t>(b)</w:t>
            </w:r>
          </w:p>
        </w:tc>
        <w:tc>
          <w:tcPr>
            <w:tcW w:w="3200" w:type="dxa"/>
            <w:vAlign w:val="bottom"/>
          </w:tcPr>
          <w:p>
            <w:pPr>
              <w:jc w:val="right"/>
              <w:ind w:right="39"/>
              <w:spacing w:after="0"/>
              <w:rPr>
                <w:sz w:val="20"/>
                <w:szCs w:val="20"/>
                <w:color w:val="auto"/>
              </w:rPr>
            </w:pPr>
            <w:r>
              <w:rPr>
                <w:rFonts w:ascii="Arial" w:cs="Arial" w:eastAsia="Arial" w:hAnsi="Arial"/>
                <w:sz w:val="16"/>
                <w:szCs w:val="16"/>
                <w:color w:val="231F20"/>
              </w:rPr>
              <w:t>$799.3</w:t>
            </w:r>
          </w:p>
        </w:tc>
      </w:tr>
      <w:tr>
        <w:trPr>
          <w:trHeight w:val="35"/>
        </w:trPr>
        <w:tc>
          <w:tcPr>
            <w:tcW w:w="7040" w:type="dxa"/>
            <w:vAlign w:val="bottom"/>
            <w:tcBorders>
              <w:bottom w:val="single" w:sz="8" w:color="231F20"/>
            </w:tcBorders>
          </w:tcPr>
          <w:p>
            <w:pPr>
              <w:spacing w:after="0"/>
              <w:rPr>
                <w:sz w:val="3"/>
                <w:szCs w:val="3"/>
                <w:color w:val="auto"/>
              </w:rPr>
            </w:pPr>
          </w:p>
        </w:tc>
        <w:tc>
          <w:tcPr>
            <w:tcW w:w="3200" w:type="dxa"/>
            <w:vAlign w:val="bottom"/>
            <w:tcBorders>
              <w:bottom w:val="single" w:sz="8" w:color="231F20"/>
            </w:tcBorders>
          </w:tcPr>
          <w:p>
            <w:pPr>
              <w:spacing w:after="0"/>
              <w:rPr>
                <w:sz w:val="3"/>
                <w:szCs w:val="3"/>
                <w:color w:val="auto"/>
              </w:rPr>
            </w:pPr>
          </w:p>
        </w:tc>
      </w:tr>
    </w:tbl>
    <w:p>
      <w:pPr>
        <w:spacing w:after="0" w:line="174" w:lineRule="exact"/>
        <w:rPr>
          <w:sz w:val="20"/>
          <w:szCs w:val="20"/>
          <w:color w:val="auto"/>
        </w:rPr>
      </w:pPr>
    </w:p>
    <w:p>
      <w:pPr>
        <w:spacing w:after="0"/>
        <w:tabs>
          <w:tab w:leader="none" w:pos="8120" w:val="left"/>
        </w:tabs>
        <w:rPr>
          <w:sz w:val="20"/>
          <w:szCs w:val="20"/>
          <w:color w:val="auto"/>
        </w:rPr>
      </w:pPr>
      <w:r>
        <w:rPr>
          <w:rFonts w:ascii="Arial" w:cs="Arial" w:eastAsia="Arial" w:hAnsi="Arial"/>
          <w:sz w:val="16"/>
          <w:szCs w:val="16"/>
          <w:color w:val="231F20"/>
        </w:rPr>
        <w:t>* Free cash flow is cash flow from o erations calculated n accorda ce w th U.S. ge era y acce pted account n</w:t>
      </w:r>
      <w:r>
        <w:rPr>
          <w:sz w:val="20"/>
          <w:szCs w:val="20"/>
          <w:color w:val="auto"/>
        </w:rPr>
        <w:tab/>
      </w:r>
      <w:r>
        <w:rPr>
          <w:rFonts w:ascii="Arial" w:cs="Arial" w:eastAsia="Arial" w:hAnsi="Arial"/>
          <w:sz w:val="15"/>
          <w:szCs w:val="15"/>
          <w:color w:val="231F20"/>
        </w:rPr>
        <w:t>rincip es (“GAAP ”) ess</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cap tal expend tures Free cash flow does not nclude adjustments for certain non-d scretionary cash flows such as ma dato y debt</w:t>
      </w:r>
    </w:p>
    <w:p>
      <w:pPr>
        <w:spacing w:after="0" w:line="18" w:lineRule="exact"/>
        <w:rPr>
          <w:sz w:val="20"/>
          <w:szCs w:val="20"/>
          <w:color w:val="auto"/>
        </w:rPr>
      </w:pPr>
    </w:p>
    <w:p>
      <w:pPr>
        <w:ind w:left="100"/>
        <w:spacing w:after="0"/>
        <w:tabs>
          <w:tab w:leader="none" w:pos="4080" w:val="left"/>
        </w:tabs>
        <w:rPr>
          <w:sz w:val="20"/>
          <w:szCs w:val="20"/>
          <w:color w:val="auto"/>
        </w:rPr>
      </w:pPr>
      <w:r>
        <w:rPr>
          <w:rFonts w:ascii="Arial" w:cs="Arial" w:eastAsia="Arial" w:hAnsi="Arial"/>
          <w:sz w:val="16"/>
          <w:szCs w:val="16"/>
          <w:color w:val="231F20"/>
        </w:rPr>
        <w:t>re ayments. Free cash flow is a measure not der ved</w:t>
        <w:tab/>
        <w:t>accordance with GAAP. Management believes that free cash f ow provides nvestor</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w th helpful supp eme tal nformation abo t the Compa y s ab ity to fund interna growth, m ake acquisitions repay debt and related nterest,</w:t>
      </w:r>
    </w:p>
    <w:p>
      <w:pPr>
        <w:spacing w:after="0" w:line="18" w:lineRule="exact"/>
        <w:rPr>
          <w:sz w:val="20"/>
          <w:szCs w:val="20"/>
          <w:color w:val="auto"/>
        </w:rPr>
      </w:pPr>
    </w:p>
    <w:p>
      <w:pPr>
        <w:ind w:left="100"/>
        <w:spacing w:after="0"/>
        <w:tabs>
          <w:tab w:leader="none" w:pos="2980" w:val="left"/>
        </w:tabs>
        <w:rPr>
          <w:sz w:val="20"/>
          <w:szCs w:val="20"/>
          <w:color w:val="auto"/>
        </w:rPr>
      </w:pPr>
      <w:r>
        <w:rPr>
          <w:rFonts w:ascii="Arial" w:cs="Arial" w:eastAsia="Arial" w:hAnsi="Arial"/>
          <w:sz w:val="16"/>
          <w:szCs w:val="16"/>
          <w:color w:val="231F20"/>
        </w:rPr>
        <w:t>pay dividends and rep rchase commo</w:t>
        <w:tab/>
        <w:t>stock. This measure may be inconsistent with simila measures presented by other companies.</w:t>
      </w:r>
    </w:p>
    <w:p>
      <w:pPr>
        <w:spacing w:after="0" w:line="180" w:lineRule="exact"/>
        <w:rPr>
          <w:sz w:val="20"/>
          <w:szCs w:val="20"/>
          <w:color w:val="auto"/>
        </w:rPr>
      </w:pPr>
    </w:p>
    <w:p>
      <w:pPr>
        <w:spacing w:after="0"/>
        <w:tabs>
          <w:tab w:leader="none" w:pos="5000" w:val="left"/>
          <w:tab w:leader="none" w:pos="6300" w:val="left"/>
        </w:tabs>
        <w:rPr>
          <w:sz w:val="20"/>
          <w:szCs w:val="20"/>
          <w:color w:val="auto"/>
        </w:rPr>
      </w:pPr>
      <w:r>
        <w:rPr>
          <w:rFonts w:ascii="Arial" w:cs="Arial" w:eastAsia="Arial" w:hAnsi="Arial"/>
          <w:sz w:val="16"/>
          <w:szCs w:val="16"/>
          <w:color w:val="231F20"/>
        </w:rPr>
        <w:t>The Free Cash F ow presented above i c ude cash f ows from conti</w:t>
        <w:tab/>
        <w:t>ng and disco ti</w:t>
        <w:tab/>
        <w:t>ed operat ons</w:t>
      </w:r>
    </w:p>
    <w:p>
      <w:pPr>
        <w:sectPr>
          <w:pgSz w:w="12240" w:h="15840" w:orient="portrait"/>
          <w:cols w:equalWidth="0" w:num="1">
            <w:col w:w="10240"/>
          </w:cols>
          <w:pgMar w:left="1000" w:top="1051" w:right="1000" w:bottom="3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231F20"/>
        </w:rPr>
        <w:t>103</w:t>
      </w:r>
    </w:p>
    <w:p>
      <w:pPr>
        <w:sectPr>
          <w:pgSz w:w="12240" w:h="15840" w:orient="portrait"/>
          <w:cols w:equalWidth="0" w:num="1">
            <w:col w:w="10240"/>
          </w:cols>
          <w:pgMar w:left="1000" w:top="1051" w:right="1000" w:bottom="393" w:gutter="0" w:footer="0" w:header="0"/>
          <w:type w:val="continuous"/>
        </w:sectPr>
      </w:pPr>
    </w:p>
    <w:bookmarkStart w:id="111" w:name="page112"/>
    <w:bookmarkEnd w:id="111"/>
    <w:p>
      <w:pPr>
        <w:spacing w:after="0"/>
        <w:rPr>
          <w:sz w:val="20"/>
          <w:szCs w:val="20"/>
          <w:color w:val="auto"/>
        </w:rPr>
      </w:pPr>
      <w:r>
        <w:rPr>
          <w:rFonts w:ascii="Arial" w:cs="Arial" w:eastAsia="Arial" w:hAnsi="Arial"/>
          <w:sz w:val="20"/>
          <w:szCs w:val="20"/>
          <w:b w:val="1"/>
          <w:bCs w:val="1"/>
          <w:color w:val="231F20"/>
        </w:rPr>
        <w:t>Definitions of Terms: Non-GAAP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56515</wp:posOffset>
                </wp:positionV>
                <wp:extent cx="651256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210">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45pt" to="512.4pt,4.45pt" o:allowincell="f" strokecolor="#231F20" strokeweight="0.2528pt"/>
            </w:pict>
          </mc:Fallback>
        </mc:AlternateConten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20"/>
                <w:szCs w:val="20"/>
                <w:color w:val="auto"/>
              </w:rPr>
            </w:pPr>
            <w:r>
              <w:rPr>
                <w:rFonts w:ascii="Arial" w:cs="Arial" w:eastAsia="Arial" w:hAnsi="Arial"/>
                <w:sz w:val="16"/>
                <w:szCs w:val="16"/>
                <w:color w:val="231F20"/>
                <w:w w:val="91"/>
              </w:rPr>
              <w:t>(a)</w:t>
            </w:r>
          </w:p>
        </w:tc>
        <w:tc>
          <w:tcPr>
            <w:tcW w:w="1360" w:type="dxa"/>
            <w:vAlign w:val="bottom"/>
            <w:gridSpan w:val="3"/>
          </w:tcPr>
          <w:p>
            <w:pPr>
              <w:ind w:left="40"/>
              <w:spacing w:after="0"/>
              <w:rPr>
                <w:sz w:val="20"/>
                <w:szCs w:val="20"/>
                <w:color w:val="auto"/>
              </w:rPr>
            </w:pPr>
            <w:r>
              <w:rPr>
                <w:rFonts w:ascii="Arial" w:cs="Arial" w:eastAsia="Arial" w:hAnsi="Arial"/>
                <w:sz w:val="16"/>
                <w:szCs w:val="16"/>
                <w:color w:val="231F20"/>
              </w:rPr>
              <w:t>Operating incom</w:t>
            </w:r>
          </w:p>
        </w:tc>
        <w:tc>
          <w:tcPr>
            <w:tcW w:w="1880" w:type="dxa"/>
            <w:vAlign w:val="bottom"/>
            <w:gridSpan w:val="9"/>
          </w:tcPr>
          <w:p>
            <w:pPr>
              <w:ind w:left="20"/>
              <w:spacing w:after="0"/>
              <w:rPr>
                <w:sz w:val="20"/>
                <w:szCs w:val="20"/>
                <w:color w:val="auto"/>
              </w:rPr>
            </w:pPr>
            <w:r>
              <w:rPr>
                <w:rFonts w:ascii="Arial" w:cs="Arial" w:eastAsia="Arial" w:hAnsi="Arial"/>
                <w:sz w:val="16"/>
                <w:szCs w:val="16"/>
                <w:color w:val="231F20"/>
                <w:w w:val="96"/>
              </w:rPr>
              <w:t>(l oss) before charges/ga n</w:t>
            </w:r>
          </w:p>
        </w:tc>
        <w:tc>
          <w:tcPr>
            <w:tcW w:w="1860" w:type="dxa"/>
            <w:vAlign w:val="bottom"/>
            <w:gridSpan w:val="10"/>
          </w:tcPr>
          <w:p>
            <w:pPr>
              <w:jc w:val="right"/>
              <w:spacing w:after="0"/>
              <w:rPr>
                <w:sz w:val="20"/>
                <w:szCs w:val="20"/>
                <w:color w:val="auto"/>
              </w:rPr>
            </w:pPr>
            <w:r>
              <w:rPr>
                <w:rFonts w:ascii="Arial" w:cs="Arial" w:eastAsia="Arial" w:hAnsi="Arial"/>
                <w:sz w:val="16"/>
                <w:szCs w:val="16"/>
                <w:color w:val="231F20"/>
              </w:rPr>
              <w:t>s ca culated as operat n</w:t>
            </w:r>
          </w:p>
        </w:tc>
        <w:tc>
          <w:tcPr>
            <w:tcW w:w="2040" w:type="dxa"/>
            <w:vAlign w:val="bottom"/>
            <w:gridSpan w:val="11"/>
          </w:tcPr>
          <w:p>
            <w:pPr>
              <w:ind w:left="160"/>
              <w:spacing w:after="0"/>
              <w:rPr>
                <w:sz w:val="20"/>
                <w:szCs w:val="20"/>
                <w:color w:val="auto"/>
              </w:rPr>
            </w:pPr>
            <w:r>
              <w:rPr>
                <w:rFonts w:ascii="Arial" w:cs="Arial" w:eastAsia="Arial" w:hAnsi="Arial"/>
                <w:sz w:val="16"/>
                <w:szCs w:val="16"/>
                <w:color w:val="231F20"/>
              </w:rPr>
              <w:t>ncome der ved n accord a</w:t>
            </w:r>
          </w:p>
        </w:tc>
        <w:tc>
          <w:tcPr>
            <w:tcW w:w="1760" w:type="dxa"/>
            <w:vAlign w:val="bottom"/>
            <w:gridSpan w:val="5"/>
          </w:tcPr>
          <w:p>
            <w:pPr>
              <w:ind w:left="80"/>
              <w:spacing w:after="0"/>
              <w:rPr>
                <w:sz w:val="20"/>
                <w:szCs w:val="20"/>
                <w:color w:val="auto"/>
              </w:rPr>
            </w:pPr>
            <w:r>
              <w:rPr>
                <w:rFonts w:ascii="Arial" w:cs="Arial" w:eastAsia="Arial" w:hAnsi="Arial"/>
                <w:sz w:val="16"/>
                <w:szCs w:val="16"/>
                <w:color w:val="231F20"/>
              </w:rPr>
              <w:t>ce w th GAAP exc ud n</w:t>
            </w:r>
          </w:p>
        </w:tc>
        <w:tc>
          <w:tcPr>
            <w:tcW w:w="520" w:type="dxa"/>
            <w:vAlign w:val="bottom"/>
            <w:gridSpan w:val="2"/>
          </w:tcPr>
          <w:p>
            <w:pPr>
              <w:jc w:val="right"/>
              <w:ind w:right="39"/>
              <w:spacing w:after="0"/>
              <w:rPr>
                <w:sz w:val="20"/>
                <w:szCs w:val="20"/>
                <w:color w:val="auto"/>
              </w:rPr>
            </w:pPr>
            <w:r>
              <w:rPr>
                <w:rFonts w:ascii="Arial" w:cs="Arial" w:eastAsia="Arial" w:hAnsi="Arial"/>
                <w:sz w:val="16"/>
                <w:szCs w:val="16"/>
                <w:color w:val="231F20"/>
              </w:rPr>
              <w:t>rest</w:t>
            </w:r>
          </w:p>
        </w:tc>
        <w:tc>
          <w:tcPr>
            <w:tcW w:w="620" w:type="dxa"/>
            <w:vAlign w:val="bottom"/>
          </w:tcPr>
          <w:p>
            <w:pPr>
              <w:ind w:left="20"/>
              <w:spacing w:after="0"/>
              <w:rPr>
                <w:sz w:val="20"/>
                <w:szCs w:val="20"/>
                <w:color w:val="auto"/>
              </w:rPr>
            </w:pPr>
            <w:r>
              <w:rPr>
                <w:rFonts w:ascii="Arial" w:cs="Arial" w:eastAsia="Arial" w:hAnsi="Arial"/>
                <w:sz w:val="16"/>
                <w:szCs w:val="16"/>
                <w:color w:val="231F20"/>
              </w:rPr>
              <w:t>ctur ng</w:t>
            </w:r>
          </w:p>
        </w:tc>
      </w:tr>
      <w:tr>
        <w:trPr>
          <w:trHeight w:val="202"/>
        </w:trPr>
        <w:tc>
          <w:tcPr>
            <w:tcW w:w="200" w:type="dxa"/>
            <w:vAlign w:val="bottom"/>
          </w:tcPr>
          <w:p>
            <w:pPr>
              <w:spacing w:after="0"/>
              <w:rPr>
                <w:sz w:val="17"/>
                <w:szCs w:val="17"/>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231F20"/>
              </w:rPr>
              <w:t>othe</w:t>
            </w:r>
          </w:p>
        </w:tc>
        <w:tc>
          <w:tcPr>
            <w:tcW w:w="2400" w:type="dxa"/>
            <w:vAlign w:val="bottom"/>
            <w:gridSpan w:val="8"/>
          </w:tcPr>
          <w:p>
            <w:pPr>
              <w:spacing w:after="0"/>
              <w:rPr>
                <w:sz w:val="20"/>
                <w:szCs w:val="20"/>
                <w:color w:val="auto"/>
              </w:rPr>
            </w:pPr>
            <w:r>
              <w:rPr>
                <w:rFonts w:ascii="Arial" w:cs="Arial" w:eastAsia="Arial" w:hAnsi="Arial"/>
                <w:sz w:val="16"/>
                <w:szCs w:val="16"/>
                <w:color w:val="231F20"/>
              </w:rPr>
              <w:t>ch arges/ga n s, ASSA tra sact o</w:t>
            </w:r>
          </w:p>
        </w:tc>
        <w:tc>
          <w:tcPr>
            <w:tcW w:w="800" w:type="dxa"/>
            <w:vAlign w:val="bottom"/>
            <w:gridSpan w:val="4"/>
          </w:tcPr>
          <w:p>
            <w:pPr>
              <w:ind w:left="20"/>
              <w:spacing w:after="0"/>
              <w:rPr>
                <w:sz w:val="20"/>
                <w:szCs w:val="20"/>
                <w:color w:val="auto"/>
              </w:rPr>
            </w:pPr>
            <w:r>
              <w:rPr>
                <w:rFonts w:ascii="Arial" w:cs="Arial" w:eastAsia="Arial" w:hAnsi="Arial"/>
                <w:sz w:val="16"/>
                <w:szCs w:val="16"/>
                <w:color w:val="231F20"/>
              </w:rPr>
              <w:t>expenses</w:t>
            </w:r>
          </w:p>
        </w:tc>
        <w:tc>
          <w:tcPr>
            <w:tcW w:w="800" w:type="dxa"/>
            <w:vAlign w:val="bottom"/>
            <w:gridSpan w:val="5"/>
          </w:tcPr>
          <w:p>
            <w:pPr>
              <w:spacing w:after="0"/>
              <w:rPr>
                <w:sz w:val="20"/>
                <w:szCs w:val="20"/>
                <w:color w:val="auto"/>
              </w:rPr>
            </w:pPr>
            <w:r>
              <w:rPr>
                <w:rFonts w:ascii="Arial" w:cs="Arial" w:eastAsia="Arial" w:hAnsi="Arial"/>
                <w:sz w:val="16"/>
                <w:szCs w:val="16"/>
                <w:color w:val="231F20"/>
                <w:w w:val="97"/>
              </w:rPr>
              <w:t>amort zat o</w:t>
            </w:r>
          </w:p>
        </w:tc>
        <w:tc>
          <w:tcPr>
            <w:tcW w:w="340" w:type="dxa"/>
            <w:vAlign w:val="bottom"/>
          </w:tcPr>
          <w:p>
            <w:pPr>
              <w:ind w:left="120"/>
              <w:spacing w:after="0"/>
              <w:rPr>
                <w:sz w:val="20"/>
                <w:szCs w:val="20"/>
                <w:color w:val="auto"/>
              </w:rPr>
            </w:pPr>
            <w:r>
              <w:rPr>
                <w:rFonts w:ascii="Arial" w:cs="Arial" w:eastAsia="Arial" w:hAnsi="Arial"/>
                <w:sz w:val="16"/>
                <w:szCs w:val="16"/>
                <w:color w:val="231F20"/>
              </w:rPr>
              <w:t>of</w:t>
            </w:r>
          </w:p>
        </w:tc>
        <w:tc>
          <w:tcPr>
            <w:tcW w:w="1160" w:type="dxa"/>
            <w:vAlign w:val="bottom"/>
            <w:gridSpan w:val="6"/>
          </w:tcPr>
          <w:p>
            <w:pPr>
              <w:spacing w:after="0"/>
              <w:rPr>
                <w:sz w:val="20"/>
                <w:szCs w:val="20"/>
                <w:color w:val="auto"/>
              </w:rPr>
            </w:pPr>
            <w:r>
              <w:rPr>
                <w:rFonts w:ascii="Arial" w:cs="Arial" w:eastAsia="Arial" w:hAnsi="Arial"/>
                <w:sz w:val="16"/>
                <w:szCs w:val="16"/>
                <w:color w:val="231F20"/>
              </w:rPr>
              <w:t>nventory step u</w:t>
            </w:r>
          </w:p>
        </w:tc>
        <w:tc>
          <w:tcPr>
            <w:tcW w:w="4080" w:type="dxa"/>
            <w:vAlign w:val="bottom"/>
            <w:gridSpan w:val="15"/>
          </w:tcPr>
          <w:p>
            <w:pPr>
              <w:ind w:left="100"/>
              <w:spacing w:after="0"/>
              <w:rPr>
                <w:sz w:val="20"/>
                <w:szCs w:val="20"/>
                <w:color w:val="auto"/>
              </w:rPr>
            </w:pPr>
            <w:r>
              <w:rPr>
                <w:rFonts w:ascii="Arial" w:cs="Arial" w:eastAsia="Arial" w:hAnsi="Arial"/>
                <w:sz w:val="16"/>
                <w:szCs w:val="16"/>
                <w:color w:val="231F20"/>
              </w:rPr>
              <w:t>assoc ated w th acqu s t o  of th  ASSA bus nesses</w:t>
            </w:r>
          </w:p>
        </w:tc>
      </w:tr>
      <w:tr>
        <w:trPr>
          <w:trHeight w:val="202"/>
        </w:trPr>
        <w:tc>
          <w:tcPr>
            <w:tcW w:w="200" w:type="dxa"/>
            <w:vAlign w:val="bottom"/>
          </w:tcPr>
          <w:p>
            <w:pPr>
              <w:spacing w:after="0"/>
              <w:rPr>
                <w:sz w:val="17"/>
                <w:szCs w:val="17"/>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231F20"/>
              </w:rPr>
              <w:t>asset</w:t>
            </w:r>
          </w:p>
        </w:tc>
        <w:tc>
          <w:tcPr>
            <w:tcW w:w="1440" w:type="dxa"/>
            <w:vAlign w:val="bottom"/>
            <w:gridSpan w:val="4"/>
          </w:tcPr>
          <w:p>
            <w:pPr>
              <w:spacing w:after="0"/>
              <w:rPr>
                <w:sz w:val="20"/>
                <w:szCs w:val="20"/>
                <w:color w:val="auto"/>
              </w:rPr>
            </w:pPr>
            <w:r>
              <w:rPr>
                <w:rFonts w:ascii="Arial" w:cs="Arial" w:eastAsia="Arial" w:hAnsi="Arial"/>
                <w:sz w:val="16"/>
                <w:szCs w:val="16"/>
                <w:color w:val="231F20"/>
              </w:rPr>
              <w:t>im  airment charge</w:t>
            </w:r>
          </w:p>
        </w:tc>
        <w:tc>
          <w:tcPr>
            <w:tcW w:w="960" w:type="dxa"/>
            <w:vAlign w:val="bottom"/>
            <w:gridSpan w:val="4"/>
          </w:tcPr>
          <w:p>
            <w:pPr>
              <w:ind w:left="40"/>
              <w:spacing w:after="0"/>
              <w:rPr>
                <w:sz w:val="20"/>
                <w:szCs w:val="20"/>
                <w:color w:val="auto"/>
              </w:rPr>
            </w:pPr>
            <w:r>
              <w:rPr>
                <w:rFonts w:ascii="Arial" w:cs="Arial" w:eastAsia="Arial" w:hAnsi="Arial"/>
                <w:sz w:val="16"/>
                <w:szCs w:val="16"/>
                <w:color w:val="231F20"/>
              </w:rPr>
              <w:t>a d charge</w:t>
            </w:r>
          </w:p>
        </w:tc>
        <w:tc>
          <w:tcPr>
            <w:tcW w:w="220" w:type="dxa"/>
            <w:vAlign w:val="bottom"/>
          </w:tcPr>
          <w:p>
            <w:pPr>
              <w:jc w:val="center"/>
              <w:spacing w:after="0"/>
              <w:rPr>
                <w:sz w:val="20"/>
                <w:szCs w:val="20"/>
                <w:color w:val="auto"/>
              </w:rPr>
            </w:pPr>
            <w:r>
              <w:rPr>
                <w:rFonts w:ascii="Arial" w:cs="Arial" w:eastAsia="Arial" w:hAnsi="Arial"/>
                <w:sz w:val="16"/>
                <w:szCs w:val="16"/>
                <w:color w:val="231F20"/>
              </w:rPr>
              <w:t>fo</w:t>
            </w:r>
          </w:p>
        </w:tc>
        <w:tc>
          <w:tcPr>
            <w:tcW w:w="660" w:type="dxa"/>
            <w:vAlign w:val="bottom"/>
            <w:gridSpan w:val="4"/>
          </w:tcPr>
          <w:p>
            <w:pPr>
              <w:ind w:left="40"/>
              <w:spacing w:after="0"/>
              <w:rPr>
                <w:sz w:val="20"/>
                <w:szCs w:val="20"/>
                <w:color w:val="auto"/>
              </w:rPr>
            </w:pPr>
            <w:r>
              <w:rPr>
                <w:rFonts w:ascii="Arial" w:cs="Arial" w:eastAsia="Arial" w:hAnsi="Arial"/>
                <w:sz w:val="16"/>
                <w:szCs w:val="16"/>
                <w:color w:val="231F20"/>
                <w:w w:val="97"/>
              </w:rPr>
              <w:t>a compe</w:t>
            </w:r>
          </w:p>
        </w:tc>
        <w:tc>
          <w:tcPr>
            <w:tcW w:w="1060" w:type="dxa"/>
            <w:vAlign w:val="bottom"/>
            <w:gridSpan w:val="5"/>
          </w:tcPr>
          <w:p>
            <w:pPr>
              <w:ind w:left="100"/>
              <w:spacing w:after="0"/>
              <w:rPr>
                <w:sz w:val="20"/>
                <w:szCs w:val="20"/>
                <w:color w:val="auto"/>
              </w:rPr>
            </w:pPr>
            <w:r>
              <w:rPr>
                <w:rFonts w:ascii="Arial" w:cs="Arial" w:eastAsia="Arial" w:hAnsi="Arial"/>
                <w:sz w:val="16"/>
                <w:szCs w:val="16"/>
                <w:color w:val="231F20"/>
              </w:rPr>
              <w:t>satio  arra</w:t>
            </w:r>
          </w:p>
        </w:tc>
        <w:tc>
          <w:tcPr>
            <w:tcW w:w="1000" w:type="dxa"/>
            <w:vAlign w:val="bottom"/>
            <w:gridSpan w:val="5"/>
          </w:tcPr>
          <w:p>
            <w:pPr>
              <w:spacing w:after="0"/>
              <w:rPr>
                <w:sz w:val="20"/>
                <w:szCs w:val="20"/>
                <w:color w:val="auto"/>
              </w:rPr>
            </w:pPr>
            <w:r>
              <w:rPr>
                <w:rFonts w:ascii="Arial" w:cs="Arial" w:eastAsia="Arial" w:hAnsi="Arial"/>
                <w:sz w:val="16"/>
                <w:szCs w:val="16"/>
                <w:color w:val="231F20"/>
              </w:rPr>
              <w:t>eme t w th th</w:t>
            </w:r>
          </w:p>
        </w:tc>
        <w:tc>
          <w:tcPr>
            <w:tcW w:w="1060" w:type="dxa"/>
            <w:vAlign w:val="bottom"/>
            <w:gridSpan w:val="6"/>
          </w:tcPr>
          <w:p>
            <w:pPr>
              <w:ind w:left="100"/>
              <w:spacing w:after="0"/>
              <w:rPr>
                <w:sz w:val="20"/>
                <w:szCs w:val="20"/>
                <w:color w:val="auto"/>
              </w:rPr>
            </w:pPr>
            <w:r>
              <w:rPr>
                <w:rFonts w:ascii="Arial" w:cs="Arial" w:eastAsia="Arial" w:hAnsi="Arial"/>
                <w:sz w:val="16"/>
                <w:szCs w:val="16"/>
                <w:color w:val="231F20"/>
              </w:rPr>
              <w:t>form er ow e</w:t>
            </w:r>
          </w:p>
        </w:tc>
        <w:tc>
          <w:tcPr>
            <w:tcW w:w="1400" w:type="dxa"/>
            <w:vAlign w:val="bottom"/>
            <w:gridSpan w:val="5"/>
          </w:tcPr>
          <w:p>
            <w:pPr>
              <w:ind w:left="40"/>
              <w:spacing w:after="0"/>
              <w:rPr>
                <w:sz w:val="20"/>
                <w:szCs w:val="20"/>
                <w:color w:val="auto"/>
              </w:rPr>
            </w:pPr>
            <w:r>
              <w:rPr>
                <w:rFonts w:ascii="Arial" w:cs="Arial" w:eastAsia="Arial" w:hAnsi="Arial"/>
                <w:sz w:val="16"/>
                <w:szCs w:val="16"/>
                <w:color w:val="231F20"/>
              </w:rPr>
              <w:t>of Sola . Operatin</w:t>
            </w:r>
          </w:p>
        </w:tc>
        <w:tc>
          <w:tcPr>
            <w:tcW w:w="1780" w:type="dxa"/>
            <w:vAlign w:val="bottom"/>
            <w:gridSpan w:val="5"/>
          </w:tcPr>
          <w:p>
            <w:pPr>
              <w:jc w:val="right"/>
              <w:ind w:right="219"/>
              <w:spacing w:after="0"/>
              <w:rPr>
                <w:sz w:val="20"/>
                <w:szCs w:val="20"/>
                <w:color w:val="auto"/>
              </w:rPr>
            </w:pPr>
            <w:r>
              <w:rPr>
                <w:rFonts w:ascii="Arial" w:cs="Arial" w:eastAsia="Arial" w:hAnsi="Arial"/>
                <w:sz w:val="16"/>
                <w:szCs w:val="16"/>
                <w:color w:val="231F20"/>
              </w:rPr>
              <w:t>ncome (loss) before</w:t>
            </w:r>
          </w:p>
        </w:tc>
      </w:tr>
      <w:tr>
        <w:trPr>
          <w:trHeight w:val="202"/>
        </w:trPr>
        <w:tc>
          <w:tcPr>
            <w:tcW w:w="200" w:type="dxa"/>
            <w:vAlign w:val="bottom"/>
          </w:tcPr>
          <w:p>
            <w:pPr>
              <w:spacing w:after="0"/>
              <w:rPr>
                <w:sz w:val="17"/>
                <w:szCs w:val="17"/>
                <w:color w:val="auto"/>
              </w:rPr>
            </w:pPr>
          </w:p>
        </w:tc>
        <w:tc>
          <w:tcPr>
            <w:tcW w:w="2040" w:type="dxa"/>
            <w:vAlign w:val="bottom"/>
            <w:gridSpan w:val="7"/>
          </w:tcPr>
          <w:p>
            <w:pPr>
              <w:ind w:left="40"/>
              <w:spacing w:after="0"/>
              <w:rPr>
                <w:sz w:val="20"/>
                <w:szCs w:val="20"/>
                <w:color w:val="auto"/>
              </w:rPr>
            </w:pPr>
            <w:r>
              <w:rPr>
                <w:rFonts w:ascii="Arial" w:cs="Arial" w:eastAsia="Arial" w:hAnsi="Arial"/>
                <w:sz w:val="16"/>
                <w:szCs w:val="16"/>
                <w:color w:val="231F20"/>
              </w:rPr>
              <w:t>charges/ga ns s a measur</w:t>
            </w:r>
          </w:p>
        </w:tc>
        <w:tc>
          <w:tcPr>
            <w:tcW w:w="820" w:type="dxa"/>
            <w:vAlign w:val="bottom"/>
            <w:gridSpan w:val="3"/>
          </w:tcPr>
          <w:p>
            <w:pPr>
              <w:jc w:val="right"/>
              <w:spacing w:after="0"/>
              <w:rPr>
                <w:sz w:val="20"/>
                <w:szCs w:val="20"/>
                <w:color w:val="auto"/>
              </w:rPr>
            </w:pPr>
            <w:r>
              <w:rPr>
                <w:rFonts w:ascii="Arial" w:cs="Arial" w:eastAsia="Arial" w:hAnsi="Arial"/>
                <w:sz w:val="16"/>
                <w:szCs w:val="16"/>
                <w:color w:val="231F20"/>
                <w:w w:val="97"/>
              </w:rPr>
              <w:t>not der ved</w:t>
            </w:r>
          </w:p>
        </w:tc>
        <w:tc>
          <w:tcPr>
            <w:tcW w:w="880" w:type="dxa"/>
            <w:vAlign w:val="bottom"/>
            <w:gridSpan w:val="5"/>
          </w:tcPr>
          <w:p>
            <w:pPr>
              <w:ind w:left="80"/>
              <w:spacing w:after="0"/>
              <w:rPr>
                <w:sz w:val="20"/>
                <w:szCs w:val="20"/>
                <w:color w:val="auto"/>
              </w:rPr>
            </w:pPr>
            <w:r>
              <w:rPr>
                <w:rFonts w:ascii="Arial" w:cs="Arial" w:eastAsia="Arial" w:hAnsi="Arial"/>
                <w:sz w:val="16"/>
                <w:szCs w:val="16"/>
                <w:color w:val="231F20"/>
              </w:rPr>
              <w:t>n accorda</w:t>
            </w:r>
          </w:p>
        </w:tc>
        <w:tc>
          <w:tcPr>
            <w:tcW w:w="1060" w:type="dxa"/>
            <w:vAlign w:val="bottom"/>
            <w:gridSpan w:val="5"/>
          </w:tcPr>
          <w:p>
            <w:pPr>
              <w:ind w:left="20"/>
              <w:spacing w:after="0"/>
              <w:rPr>
                <w:sz w:val="20"/>
                <w:szCs w:val="20"/>
                <w:color w:val="auto"/>
              </w:rPr>
            </w:pPr>
            <w:r>
              <w:rPr>
                <w:rFonts w:ascii="Arial" w:cs="Arial" w:eastAsia="Arial" w:hAnsi="Arial"/>
                <w:sz w:val="16"/>
                <w:szCs w:val="16"/>
                <w:color w:val="231F20"/>
              </w:rPr>
              <w:t>ce w th GAAP</w:t>
            </w:r>
          </w:p>
        </w:tc>
        <w:tc>
          <w:tcPr>
            <w:tcW w:w="300" w:type="dxa"/>
            <w:vAlign w:val="bottom"/>
            <w:gridSpan w:val="2"/>
          </w:tcPr>
          <w:p>
            <w:pPr>
              <w:ind w:left="40"/>
              <w:spacing w:after="0"/>
              <w:rPr>
                <w:sz w:val="20"/>
                <w:szCs w:val="20"/>
                <w:color w:val="auto"/>
              </w:rPr>
            </w:pPr>
            <w:r>
              <w:rPr>
                <w:rFonts w:ascii="Arial" w:cs="Arial" w:eastAsia="Arial" w:hAnsi="Arial"/>
                <w:sz w:val="16"/>
                <w:szCs w:val="16"/>
                <w:color w:val="231F20"/>
              </w:rPr>
              <w:t>Ma</w:t>
            </w:r>
          </w:p>
        </w:tc>
        <w:tc>
          <w:tcPr>
            <w:tcW w:w="700" w:type="dxa"/>
            <w:vAlign w:val="bottom"/>
            <w:gridSpan w:val="3"/>
          </w:tcPr>
          <w:p>
            <w:pPr>
              <w:ind w:left="40"/>
              <w:spacing w:after="0"/>
              <w:rPr>
                <w:sz w:val="20"/>
                <w:szCs w:val="20"/>
                <w:color w:val="auto"/>
              </w:rPr>
            </w:pPr>
            <w:r>
              <w:rPr>
                <w:rFonts w:ascii="Arial" w:cs="Arial" w:eastAsia="Arial" w:hAnsi="Arial"/>
                <w:sz w:val="16"/>
                <w:szCs w:val="16"/>
                <w:color w:val="231F20"/>
              </w:rPr>
              <w:t>agement</w:t>
            </w:r>
          </w:p>
        </w:tc>
        <w:tc>
          <w:tcPr>
            <w:tcW w:w="1260" w:type="dxa"/>
            <w:vAlign w:val="bottom"/>
            <w:gridSpan w:val="7"/>
          </w:tcPr>
          <w:p>
            <w:pPr>
              <w:ind w:left="120"/>
              <w:spacing w:after="0"/>
              <w:rPr>
                <w:sz w:val="20"/>
                <w:szCs w:val="20"/>
                <w:color w:val="auto"/>
              </w:rPr>
            </w:pPr>
            <w:r>
              <w:rPr>
                <w:rFonts w:ascii="Arial" w:cs="Arial" w:eastAsia="Arial" w:hAnsi="Arial"/>
                <w:sz w:val="16"/>
                <w:szCs w:val="16"/>
                <w:color w:val="231F20"/>
                <w:w w:val="99"/>
              </w:rPr>
              <w:t>ses th s measur</w:t>
            </w:r>
          </w:p>
        </w:tc>
        <w:tc>
          <w:tcPr>
            <w:tcW w:w="8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color w:val="231F20"/>
              </w:rPr>
              <w:t>to eva uate th</w:t>
            </w:r>
          </w:p>
        </w:tc>
        <w:tc>
          <w:tcPr>
            <w:tcW w:w="420" w:type="dxa"/>
            <w:vAlign w:val="bottom"/>
          </w:tcPr>
          <w:p>
            <w:pPr>
              <w:spacing w:after="0"/>
              <w:rPr>
                <w:sz w:val="20"/>
                <w:szCs w:val="20"/>
                <w:color w:val="auto"/>
              </w:rPr>
            </w:pPr>
            <w:r>
              <w:rPr>
                <w:rFonts w:ascii="Arial" w:cs="Arial" w:eastAsia="Arial" w:hAnsi="Arial"/>
                <w:sz w:val="16"/>
                <w:szCs w:val="16"/>
                <w:color w:val="231F20"/>
                <w:w w:val="95"/>
              </w:rPr>
              <w:t>return</w:t>
            </w:r>
          </w:p>
        </w:tc>
        <w:tc>
          <w:tcPr>
            <w:tcW w:w="1360" w:type="dxa"/>
            <w:vAlign w:val="bottom"/>
            <w:gridSpan w:val="4"/>
          </w:tcPr>
          <w:p>
            <w:pPr>
              <w:jc w:val="right"/>
              <w:ind w:right="199"/>
              <w:spacing w:after="0"/>
              <w:rPr>
                <w:sz w:val="20"/>
                <w:szCs w:val="20"/>
                <w:color w:val="auto"/>
              </w:rPr>
            </w:pPr>
            <w:r>
              <w:rPr>
                <w:rFonts w:ascii="Arial" w:cs="Arial" w:eastAsia="Arial" w:hAnsi="Arial"/>
                <w:sz w:val="16"/>
                <w:szCs w:val="16"/>
                <w:color w:val="231F20"/>
              </w:rPr>
              <w:t>generated by</w:t>
            </w:r>
          </w:p>
        </w:tc>
      </w:tr>
      <w:tr>
        <w:trPr>
          <w:trHeight w:val="202"/>
        </w:trPr>
        <w:tc>
          <w:tcPr>
            <w:tcW w:w="20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231F20"/>
              </w:rPr>
              <w:t>th</w:t>
            </w:r>
          </w:p>
        </w:tc>
        <w:tc>
          <w:tcPr>
            <w:tcW w:w="1140" w:type="dxa"/>
            <w:vAlign w:val="bottom"/>
            <w:gridSpan w:val="2"/>
          </w:tcPr>
          <w:p>
            <w:pPr>
              <w:ind w:left="100"/>
              <w:spacing w:after="0"/>
              <w:rPr>
                <w:sz w:val="20"/>
                <w:szCs w:val="20"/>
                <w:color w:val="auto"/>
              </w:rPr>
            </w:pPr>
            <w:r>
              <w:rPr>
                <w:rFonts w:ascii="Arial" w:cs="Arial" w:eastAsia="Arial" w:hAnsi="Arial"/>
                <w:sz w:val="16"/>
                <w:szCs w:val="16"/>
                <w:color w:val="231F20"/>
                <w:w w:val="97"/>
              </w:rPr>
              <w:t>Co mpany and</w:t>
            </w:r>
          </w:p>
        </w:tc>
        <w:tc>
          <w:tcPr>
            <w:tcW w:w="160" w:type="dxa"/>
            <w:vAlign w:val="bottom"/>
          </w:tcPr>
          <w:p>
            <w:pPr>
              <w:ind w:left="40"/>
              <w:spacing w:after="0"/>
              <w:rPr>
                <w:sz w:val="20"/>
                <w:szCs w:val="20"/>
                <w:color w:val="auto"/>
              </w:rPr>
            </w:pPr>
            <w:r>
              <w:rPr>
                <w:rFonts w:ascii="Arial" w:cs="Arial" w:eastAsia="Arial" w:hAnsi="Arial"/>
                <w:sz w:val="16"/>
                <w:szCs w:val="16"/>
                <w:color w:val="231F20"/>
              </w:rPr>
              <w:t>t</w:t>
            </w:r>
          </w:p>
        </w:tc>
        <w:tc>
          <w:tcPr>
            <w:tcW w:w="4000" w:type="dxa"/>
            <w:vAlign w:val="bottom"/>
            <w:gridSpan w:val="20"/>
          </w:tcPr>
          <w:p>
            <w:pPr>
              <w:ind w:left="60"/>
              <w:spacing w:after="0"/>
              <w:rPr>
                <w:sz w:val="20"/>
                <w:szCs w:val="20"/>
                <w:color w:val="auto"/>
              </w:rPr>
            </w:pPr>
            <w:r>
              <w:rPr>
                <w:rFonts w:ascii="Arial" w:cs="Arial" w:eastAsia="Arial" w:hAnsi="Arial"/>
                <w:sz w:val="16"/>
                <w:szCs w:val="16"/>
                <w:color w:val="231F20"/>
              </w:rPr>
              <w:t>bus ness segme ts  Manageme nt be eves th s measur</w:t>
            </w:r>
          </w:p>
        </w:tc>
        <w:tc>
          <w:tcPr>
            <w:tcW w:w="2260" w:type="dxa"/>
            <w:vAlign w:val="bottom"/>
            <w:gridSpan w:val="11"/>
          </w:tcPr>
          <w:p>
            <w:pPr>
              <w:jc w:val="right"/>
              <w:spacing w:after="0"/>
              <w:rPr>
                <w:sz w:val="20"/>
                <w:szCs w:val="20"/>
                <w:color w:val="auto"/>
              </w:rPr>
            </w:pPr>
            <w:r>
              <w:rPr>
                <w:rFonts w:ascii="Arial" w:cs="Arial" w:eastAsia="Arial" w:hAnsi="Arial"/>
                <w:sz w:val="16"/>
                <w:szCs w:val="16"/>
                <w:color w:val="231F20"/>
              </w:rPr>
              <w:t>prov des nvestors w th he pfu</w:t>
            </w:r>
          </w:p>
        </w:tc>
        <w:tc>
          <w:tcPr>
            <w:tcW w:w="1120" w:type="dxa"/>
            <w:vAlign w:val="bottom"/>
            <w:gridSpan w:val="3"/>
          </w:tcPr>
          <w:p>
            <w:pPr>
              <w:ind w:left="60"/>
              <w:spacing w:after="0"/>
              <w:rPr>
                <w:sz w:val="20"/>
                <w:szCs w:val="20"/>
                <w:color w:val="auto"/>
              </w:rPr>
            </w:pPr>
            <w:r>
              <w:rPr>
                <w:rFonts w:ascii="Arial" w:cs="Arial" w:eastAsia="Arial" w:hAnsi="Arial"/>
                <w:sz w:val="16"/>
                <w:szCs w:val="16"/>
                <w:color w:val="231F20"/>
              </w:rPr>
              <w:t>supp e menta</w:t>
            </w:r>
          </w:p>
        </w:tc>
        <w:tc>
          <w:tcPr>
            <w:tcW w:w="1140" w:type="dxa"/>
            <w:vAlign w:val="bottom"/>
            <w:gridSpan w:val="3"/>
          </w:tcPr>
          <w:p>
            <w:pPr>
              <w:jc w:val="right"/>
              <w:ind w:right="299"/>
              <w:spacing w:after="0"/>
              <w:rPr>
                <w:sz w:val="20"/>
                <w:szCs w:val="20"/>
                <w:color w:val="auto"/>
              </w:rPr>
            </w:pPr>
            <w:r>
              <w:rPr>
                <w:rFonts w:ascii="Arial" w:cs="Arial" w:eastAsia="Arial" w:hAnsi="Arial"/>
                <w:sz w:val="16"/>
                <w:szCs w:val="16"/>
                <w:color w:val="231F20"/>
                <w:w w:val="96"/>
              </w:rPr>
              <w:t>nformat on</w:t>
            </w:r>
          </w:p>
        </w:tc>
      </w:tr>
      <w:tr>
        <w:trPr>
          <w:trHeight w:val="202"/>
        </w:trPr>
        <w:tc>
          <w:tcPr>
            <w:tcW w:w="200" w:type="dxa"/>
            <w:vAlign w:val="bottom"/>
          </w:tcPr>
          <w:p>
            <w:pPr>
              <w:spacing w:after="0"/>
              <w:rPr>
                <w:sz w:val="17"/>
                <w:szCs w:val="17"/>
                <w:color w:val="auto"/>
              </w:rPr>
            </w:pPr>
          </w:p>
        </w:tc>
        <w:tc>
          <w:tcPr>
            <w:tcW w:w="1720" w:type="dxa"/>
            <w:vAlign w:val="bottom"/>
            <w:gridSpan w:val="5"/>
          </w:tcPr>
          <w:p>
            <w:pPr>
              <w:ind w:left="40"/>
              <w:spacing w:after="0"/>
              <w:rPr>
                <w:sz w:val="20"/>
                <w:szCs w:val="20"/>
                <w:color w:val="auto"/>
              </w:rPr>
            </w:pPr>
            <w:r>
              <w:rPr>
                <w:rFonts w:ascii="Arial" w:cs="Arial" w:eastAsia="Arial" w:hAnsi="Arial"/>
                <w:sz w:val="16"/>
                <w:szCs w:val="16"/>
                <w:color w:val="231F20"/>
              </w:rPr>
              <w:t>regardin  th  unde rly n</w:t>
            </w:r>
          </w:p>
        </w:tc>
        <w:tc>
          <w:tcPr>
            <w:tcW w:w="960" w:type="dxa"/>
            <w:vAlign w:val="bottom"/>
            <w:gridSpan w:val="4"/>
          </w:tcPr>
          <w:p>
            <w:pPr>
              <w:jc w:val="right"/>
              <w:spacing w:after="0"/>
              <w:rPr>
                <w:sz w:val="20"/>
                <w:szCs w:val="20"/>
                <w:color w:val="auto"/>
              </w:rPr>
            </w:pPr>
            <w:r>
              <w:rPr>
                <w:rFonts w:ascii="Arial" w:cs="Arial" w:eastAsia="Arial" w:hAnsi="Arial"/>
                <w:sz w:val="16"/>
                <w:szCs w:val="16"/>
                <w:color w:val="231F20"/>
              </w:rPr>
              <w:t>performanc</w:t>
            </w:r>
          </w:p>
        </w:tc>
        <w:tc>
          <w:tcPr>
            <w:tcW w:w="560" w:type="dxa"/>
            <w:vAlign w:val="bottom"/>
            <w:gridSpan w:val="3"/>
          </w:tcPr>
          <w:p>
            <w:pPr>
              <w:jc w:val="center"/>
              <w:spacing w:after="0"/>
              <w:rPr>
                <w:sz w:val="20"/>
                <w:szCs w:val="20"/>
                <w:color w:val="auto"/>
              </w:rPr>
            </w:pPr>
            <w:r>
              <w:rPr>
                <w:rFonts w:ascii="Arial" w:cs="Arial" w:eastAsia="Arial" w:hAnsi="Arial"/>
                <w:sz w:val="16"/>
                <w:szCs w:val="16"/>
                <w:color w:val="231F20"/>
                <w:w w:val="96"/>
              </w:rPr>
              <w:t>of th</w:t>
            </w:r>
          </w:p>
        </w:tc>
        <w:tc>
          <w:tcPr>
            <w:tcW w:w="1220" w:type="dxa"/>
            <w:vAlign w:val="bottom"/>
            <w:gridSpan w:val="7"/>
          </w:tcPr>
          <w:p>
            <w:pPr>
              <w:spacing w:after="0"/>
              <w:rPr>
                <w:sz w:val="20"/>
                <w:szCs w:val="20"/>
                <w:color w:val="auto"/>
              </w:rPr>
            </w:pPr>
            <w:r>
              <w:rPr>
                <w:rFonts w:ascii="Arial" w:cs="Arial" w:eastAsia="Arial" w:hAnsi="Arial"/>
                <w:sz w:val="16"/>
                <w:szCs w:val="16"/>
                <w:color w:val="231F20"/>
              </w:rPr>
              <w:t>Company from</w:t>
            </w:r>
          </w:p>
        </w:tc>
        <w:tc>
          <w:tcPr>
            <w:tcW w:w="640" w:type="dxa"/>
            <w:vAlign w:val="bottom"/>
            <w:gridSpan w:val="3"/>
          </w:tcPr>
          <w:p>
            <w:pPr>
              <w:spacing w:after="0"/>
              <w:rPr>
                <w:sz w:val="20"/>
                <w:szCs w:val="20"/>
                <w:color w:val="auto"/>
              </w:rPr>
            </w:pPr>
            <w:r>
              <w:rPr>
                <w:rFonts w:ascii="Arial" w:cs="Arial" w:eastAsia="Arial" w:hAnsi="Arial"/>
                <w:sz w:val="16"/>
                <w:szCs w:val="16"/>
                <w:color w:val="231F20"/>
              </w:rPr>
              <w:t>eriod to</w:t>
            </w:r>
          </w:p>
        </w:tc>
        <w:tc>
          <w:tcPr>
            <w:tcW w:w="1460" w:type="dxa"/>
            <w:vAlign w:val="bottom"/>
            <w:gridSpan w:val="8"/>
          </w:tcPr>
          <w:p>
            <w:pPr>
              <w:ind w:left="60"/>
              <w:spacing w:after="0"/>
              <w:rPr>
                <w:sz w:val="20"/>
                <w:szCs w:val="20"/>
                <w:color w:val="auto"/>
              </w:rPr>
            </w:pPr>
            <w:r>
              <w:rPr>
                <w:rFonts w:ascii="Arial" w:cs="Arial" w:eastAsia="Arial" w:hAnsi="Arial"/>
                <w:sz w:val="16"/>
                <w:szCs w:val="16"/>
                <w:color w:val="231F20"/>
              </w:rPr>
              <w:t>er od. Th s measur</w:t>
            </w:r>
          </w:p>
        </w:tc>
        <w:tc>
          <w:tcPr>
            <w:tcW w:w="2340" w:type="dxa"/>
            <w:vAlign w:val="bottom"/>
            <w:gridSpan w:val="8"/>
          </w:tcPr>
          <w:p>
            <w:pPr>
              <w:ind w:left="60"/>
              <w:spacing w:after="0"/>
              <w:rPr>
                <w:sz w:val="20"/>
                <w:szCs w:val="20"/>
                <w:color w:val="auto"/>
              </w:rPr>
            </w:pPr>
            <w:r>
              <w:rPr>
                <w:rFonts w:ascii="Arial" w:cs="Arial" w:eastAsia="Arial" w:hAnsi="Arial"/>
                <w:sz w:val="16"/>
                <w:szCs w:val="16"/>
                <w:color w:val="231F20"/>
              </w:rPr>
              <w:t>may be inconsistent w th s mila</w:t>
            </w:r>
          </w:p>
        </w:tc>
        <w:tc>
          <w:tcPr>
            <w:tcW w:w="520" w:type="dxa"/>
            <w:vAlign w:val="bottom"/>
            <w:gridSpan w:val="2"/>
          </w:tcPr>
          <w:p>
            <w:pPr>
              <w:jc w:val="right"/>
              <w:ind w:right="19"/>
              <w:spacing w:after="0"/>
              <w:rPr>
                <w:sz w:val="20"/>
                <w:szCs w:val="20"/>
                <w:color w:val="auto"/>
              </w:rPr>
            </w:pPr>
            <w:r>
              <w:rPr>
                <w:rFonts w:ascii="Arial" w:cs="Arial" w:eastAsia="Arial" w:hAnsi="Arial"/>
                <w:sz w:val="16"/>
                <w:szCs w:val="16"/>
                <w:color w:val="231F20"/>
              </w:rPr>
              <w:t>meas</w:t>
            </w:r>
          </w:p>
        </w:tc>
        <w:tc>
          <w:tcPr>
            <w:tcW w:w="620" w:type="dxa"/>
            <w:vAlign w:val="bottom"/>
          </w:tcPr>
          <w:p>
            <w:pPr>
              <w:spacing w:after="0"/>
              <w:rPr>
                <w:sz w:val="20"/>
                <w:szCs w:val="20"/>
                <w:color w:val="auto"/>
              </w:rPr>
            </w:pPr>
            <w:r>
              <w:rPr>
                <w:rFonts w:ascii="Arial" w:cs="Arial" w:eastAsia="Arial" w:hAnsi="Arial"/>
                <w:sz w:val="16"/>
                <w:szCs w:val="16"/>
                <w:color w:val="231F20"/>
              </w:rPr>
              <w:t>res</w:t>
            </w:r>
          </w:p>
        </w:tc>
      </w:tr>
      <w:tr>
        <w:trPr>
          <w:trHeight w:val="202"/>
        </w:trPr>
        <w:tc>
          <w:tcPr>
            <w:tcW w:w="200" w:type="dxa"/>
            <w:vAlign w:val="bottom"/>
          </w:tcPr>
          <w:p>
            <w:pPr>
              <w:spacing w:after="0"/>
              <w:rPr>
                <w:sz w:val="17"/>
                <w:szCs w:val="17"/>
                <w:color w:val="auto"/>
              </w:rPr>
            </w:pPr>
          </w:p>
        </w:tc>
        <w:tc>
          <w:tcPr>
            <w:tcW w:w="1360" w:type="dxa"/>
            <w:vAlign w:val="bottom"/>
            <w:gridSpan w:val="3"/>
          </w:tcPr>
          <w:p>
            <w:pPr>
              <w:ind w:left="140"/>
              <w:spacing w:after="0"/>
              <w:rPr>
                <w:sz w:val="20"/>
                <w:szCs w:val="20"/>
                <w:color w:val="auto"/>
              </w:rPr>
            </w:pPr>
            <w:r>
              <w:rPr>
                <w:rFonts w:ascii="Arial" w:cs="Arial" w:eastAsia="Arial" w:hAnsi="Arial"/>
                <w:sz w:val="16"/>
                <w:szCs w:val="16"/>
                <w:color w:val="231F20"/>
              </w:rPr>
              <w:t>resented by othe</w:t>
            </w:r>
          </w:p>
        </w:tc>
        <w:tc>
          <w:tcPr>
            <w:tcW w:w="980" w:type="dxa"/>
            <w:vAlign w:val="bottom"/>
            <w:gridSpan w:val="5"/>
          </w:tcPr>
          <w:p>
            <w:pPr>
              <w:ind w:left="80"/>
              <w:spacing w:after="0"/>
              <w:rPr>
                <w:sz w:val="20"/>
                <w:szCs w:val="20"/>
                <w:color w:val="auto"/>
              </w:rPr>
            </w:pPr>
            <w:r>
              <w:rPr>
                <w:rFonts w:ascii="Arial" w:cs="Arial" w:eastAsia="Arial" w:hAnsi="Arial"/>
                <w:sz w:val="16"/>
                <w:szCs w:val="16"/>
                <w:color w:val="231F20"/>
              </w:rPr>
              <w:t>compa 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44"/>
        </w:trPr>
        <w:tc>
          <w:tcPr>
            <w:tcW w:w="1720" w:type="dxa"/>
            <w:vAlign w:val="bottom"/>
            <w:gridSpan w:val="5"/>
          </w:tcPr>
          <w:p>
            <w:pPr>
              <w:spacing w:after="0"/>
              <w:rPr>
                <w:sz w:val="20"/>
                <w:szCs w:val="20"/>
                <w:color w:val="auto"/>
              </w:rPr>
            </w:pPr>
            <w:r>
              <w:rPr>
                <w:rFonts w:ascii="Arial" w:cs="Arial" w:eastAsia="Arial" w:hAnsi="Arial"/>
                <w:sz w:val="16"/>
                <w:szCs w:val="16"/>
                <w:color w:val="231F20"/>
              </w:rPr>
              <w:t>(b) Diluted earnings pe</w:t>
            </w:r>
          </w:p>
        </w:tc>
        <w:tc>
          <w:tcPr>
            <w:tcW w:w="380" w:type="dxa"/>
            <w:vAlign w:val="bottom"/>
            <w:gridSpan w:val="2"/>
          </w:tcPr>
          <w:p>
            <w:pPr>
              <w:spacing w:after="0"/>
              <w:rPr>
                <w:sz w:val="20"/>
                <w:szCs w:val="20"/>
                <w:color w:val="auto"/>
              </w:rPr>
            </w:pPr>
            <w:r>
              <w:rPr>
                <w:rFonts w:ascii="Arial" w:cs="Arial" w:eastAsia="Arial" w:hAnsi="Arial"/>
                <w:sz w:val="16"/>
                <w:szCs w:val="16"/>
                <w:color w:val="231F20"/>
              </w:rPr>
              <w:t>shar</w:t>
            </w:r>
          </w:p>
        </w:tc>
        <w:tc>
          <w:tcPr>
            <w:tcW w:w="1180" w:type="dxa"/>
            <w:vAlign w:val="bottom"/>
            <w:gridSpan w:val="5"/>
          </w:tcPr>
          <w:p>
            <w:pPr>
              <w:ind w:left="60"/>
              <w:spacing w:after="0"/>
              <w:rPr>
                <w:sz w:val="20"/>
                <w:szCs w:val="20"/>
                <w:color w:val="auto"/>
              </w:rPr>
            </w:pPr>
            <w:r>
              <w:rPr>
                <w:rFonts w:ascii="Arial" w:cs="Arial" w:eastAsia="Arial" w:hAnsi="Arial"/>
                <w:sz w:val="16"/>
                <w:szCs w:val="16"/>
                <w:color w:val="231F20"/>
              </w:rPr>
              <w:t>from continu n</w:t>
            </w:r>
          </w:p>
        </w:tc>
        <w:tc>
          <w:tcPr>
            <w:tcW w:w="5180" w:type="dxa"/>
            <w:vAlign w:val="bottom"/>
            <w:gridSpan w:val="25"/>
          </w:tcPr>
          <w:p>
            <w:pPr>
              <w:ind w:left="60"/>
              <w:spacing w:after="0"/>
              <w:rPr>
                <w:sz w:val="20"/>
                <w:szCs w:val="20"/>
                <w:color w:val="auto"/>
              </w:rPr>
            </w:pPr>
            <w:r>
              <w:rPr>
                <w:rFonts w:ascii="Arial" w:cs="Arial" w:eastAsia="Arial" w:hAnsi="Arial"/>
                <w:sz w:val="16"/>
                <w:szCs w:val="16"/>
                <w:color w:val="231F20"/>
              </w:rPr>
              <w:t>operations before charges/gains is calculated as income from continu n</w:t>
            </w:r>
          </w:p>
        </w:tc>
        <w:tc>
          <w:tcPr>
            <w:tcW w:w="1160" w:type="dxa"/>
            <w:vAlign w:val="bottom"/>
            <w:gridSpan w:val="4"/>
          </w:tcPr>
          <w:p>
            <w:pPr>
              <w:jc w:val="right"/>
              <w:ind w:right="39"/>
              <w:spacing w:after="0"/>
              <w:rPr>
                <w:sz w:val="20"/>
                <w:szCs w:val="20"/>
                <w:color w:val="auto"/>
              </w:rPr>
            </w:pPr>
            <w:r>
              <w:rPr>
                <w:rFonts w:ascii="Arial" w:cs="Arial" w:eastAsia="Arial" w:hAnsi="Arial"/>
                <w:sz w:val="16"/>
                <w:szCs w:val="16"/>
                <w:color w:val="231F20"/>
              </w:rPr>
              <w:t>operat ons o</w:t>
            </w:r>
          </w:p>
        </w:tc>
        <w:tc>
          <w:tcPr>
            <w:tcW w:w="620" w:type="dxa"/>
            <w:vAlign w:val="bottom"/>
          </w:tcPr>
          <w:p>
            <w:pPr>
              <w:ind w:left="20"/>
              <w:spacing w:after="0"/>
              <w:rPr>
                <w:sz w:val="20"/>
                <w:szCs w:val="20"/>
                <w:color w:val="auto"/>
              </w:rPr>
            </w:pPr>
            <w:r>
              <w:rPr>
                <w:rFonts w:ascii="Arial" w:cs="Arial" w:eastAsia="Arial" w:hAnsi="Arial"/>
                <w:sz w:val="16"/>
                <w:szCs w:val="16"/>
                <w:color w:val="231F20"/>
              </w:rPr>
              <w:t>a d uted</w:t>
            </w:r>
          </w:p>
        </w:tc>
      </w:tr>
      <w:tr>
        <w:trPr>
          <w:trHeight w:val="202"/>
        </w:trPr>
        <w:tc>
          <w:tcPr>
            <w:tcW w:w="200" w:type="dxa"/>
            <w:vAlign w:val="bottom"/>
          </w:tcPr>
          <w:p>
            <w:pPr>
              <w:spacing w:after="0"/>
              <w:rPr>
                <w:sz w:val="17"/>
                <w:szCs w:val="17"/>
                <w:color w:val="auto"/>
              </w:rPr>
            </w:pPr>
          </w:p>
        </w:tc>
        <w:tc>
          <w:tcPr>
            <w:tcW w:w="220" w:type="dxa"/>
            <w:vAlign w:val="bottom"/>
          </w:tcPr>
          <w:p>
            <w:pPr>
              <w:ind w:left="140"/>
              <w:spacing w:after="0"/>
              <w:rPr>
                <w:sz w:val="20"/>
                <w:szCs w:val="20"/>
                <w:color w:val="auto"/>
              </w:rPr>
            </w:pPr>
            <w:r>
              <w:rPr>
                <w:rFonts w:ascii="Arial" w:cs="Arial" w:eastAsia="Arial" w:hAnsi="Arial"/>
                <w:sz w:val="15"/>
                <w:szCs w:val="15"/>
                <w:color w:val="231F20"/>
                <w:w w:val="71"/>
              </w:rPr>
              <w:t>e</w:t>
            </w:r>
          </w:p>
        </w:tc>
        <w:tc>
          <w:tcPr>
            <w:tcW w:w="2120" w:type="dxa"/>
            <w:vAlign w:val="bottom"/>
            <w:gridSpan w:val="7"/>
          </w:tcPr>
          <w:p>
            <w:pPr>
              <w:ind w:left="100"/>
              <w:spacing w:after="0"/>
              <w:rPr>
                <w:sz w:val="20"/>
                <w:szCs w:val="20"/>
                <w:color w:val="auto"/>
              </w:rPr>
            </w:pPr>
            <w:r>
              <w:rPr>
                <w:rFonts w:ascii="Arial" w:cs="Arial" w:eastAsia="Arial" w:hAnsi="Arial"/>
                <w:sz w:val="16"/>
                <w:szCs w:val="16"/>
                <w:color w:val="231F20"/>
              </w:rPr>
              <w:t>sh ar  bas s exc ud ng rest</w:t>
            </w:r>
          </w:p>
        </w:tc>
        <w:tc>
          <w:tcPr>
            <w:tcW w:w="340" w:type="dxa"/>
            <w:vAlign w:val="bottom"/>
          </w:tcPr>
          <w:p>
            <w:pPr>
              <w:jc w:val="right"/>
              <w:spacing w:after="0"/>
              <w:rPr>
                <w:sz w:val="20"/>
                <w:szCs w:val="20"/>
                <w:color w:val="auto"/>
              </w:rPr>
            </w:pPr>
            <w:r>
              <w:rPr>
                <w:rFonts w:ascii="Arial" w:cs="Arial" w:eastAsia="Arial" w:hAnsi="Arial"/>
                <w:sz w:val="16"/>
                <w:szCs w:val="16"/>
                <w:color w:val="231F20"/>
              </w:rPr>
              <w:t>ctur</w:t>
            </w:r>
          </w:p>
        </w:tc>
        <w:tc>
          <w:tcPr>
            <w:tcW w:w="1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231F20"/>
              </w:rPr>
              <w:t>a</w:t>
            </w:r>
          </w:p>
        </w:tc>
        <w:tc>
          <w:tcPr>
            <w:tcW w:w="580" w:type="dxa"/>
            <w:vAlign w:val="bottom"/>
            <w:gridSpan w:val="3"/>
          </w:tcPr>
          <w:p>
            <w:pPr>
              <w:ind w:left="20"/>
              <w:spacing w:after="0"/>
              <w:rPr>
                <w:sz w:val="20"/>
                <w:szCs w:val="20"/>
                <w:color w:val="auto"/>
              </w:rPr>
            </w:pPr>
            <w:r>
              <w:rPr>
                <w:rFonts w:ascii="Arial" w:cs="Arial" w:eastAsia="Arial" w:hAnsi="Arial"/>
                <w:sz w:val="16"/>
                <w:szCs w:val="16"/>
                <w:color w:val="231F20"/>
              </w:rPr>
              <w:t>d othe</w:t>
            </w:r>
          </w:p>
        </w:tc>
        <w:tc>
          <w:tcPr>
            <w:tcW w:w="1860" w:type="dxa"/>
            <w:vAlign w:val="bottom"/>
            <w:gridSpan w:val="10"/>
          </w:tcPr>
          <w:p>
            <w:pPr>
              <w:spacing w:after="0"/>
              <w:rPr>
                <w:sz w:val="20"/>
                <w:szCs w:val="20"/>
                <w:color w:val="auto"/>
              </w:rPr>
            </w:pPr>
            <w:r>
              <w:rPr>
                <w:rFonts w:ascii="Arial" w:cs="Arial" w:eastAsia="Arial" w:hAnsi="Arial"/>
                <w:sz w:val="16"/>
                <w:szCs w:val="16"/>
                <w:color w:val="231F20"/>
              </w:rPr>
              <w:t>charges/gains, ASSA tra</w:t>
            </w:r>
          </w:p>
        </w:tc>
        <w:tc>
          <w:tcPr>
            <w:tcW w:w="440" w:type="dxa"/>
            <w:vAlign w:val="bottom"/>
            <w:gridSpan w:val="2"/>
          </w:tcPr>
          <w:p>
            <w:pPr>
              <w:spacing w:after="0"/>
              <w:rPr>
                <w:sz w:val="20"/>
                <w:szCs w:val="20"/>
                <w:color w:val="auto"/>
              </w:rPr>
            </w:pPr>
            <w:r>
              <w:rPr>
                <w:rFonts w:ascii="Arial" w:cs="Arial" w:eastAsia="Arial" w:hAnsi="Arial"/>
                <w:sz w:val="16"/>
                <w:szCs w:val="16"/>
                <w:color w:val="231F20"/>
              </w:rPr>
              <w:t>sactio</w:t>
            </w:r>
          </w:p>
        </w:tc>
        <w:tc>
          <w:tcPr>
            <w:tcW w:w="380" w:type="dxa"/>
            <w:vAlign w:val="bottom"/>
            <w:gridSpan w:val="2"/>
          </w:tcPr>
          <w:p>
            <w:pPr>
              <w:ind w:left="120"/>
              <w:spacing w:after="0"/>
              <w:rPr>
                <w:sz w:val="20"/>
                <w:szCs w:val="20"/>
                <w:color w:val="auto"/>
              </w:rPr>
            </w:pPr>
            <w:r>
              <w:rPr>
                <w:rFonts w:ascii="Arial" w:cs="Arial" w:eastAsia="Arial" w:hAnsi="Arial"/>
                <w:sz w:val="16"/>
                <w:szCs w:val="16"/>
                <w:color w:val="231F20"/>
              </w:rPr>
              <w:t>ex</w:t>
            </w:r>
          </w:p>
        </w:tc>
        <w:tc>
          <w:tcPr>
            <w:tcW w:w="120" w:type="dxa"/>
            <w:vAlign w:val="bottom"/>
          </w:tcPr>
          <w:p>
            <w:pPr>
              <w:spacing w:after="0"/>
              <w:rPr>
                <w:sz w:val="20"/>
                <w:szCs w:val="20"/>
                <w:color w:val="auto"/>
              </w:rPr>
            </w:pPr>
            <w:r>
              <w:rPr>
                <w:rFonts w:ascii="Arial" w:cs="Arial" w:eastAsia="Arial" w:hAnsi="Arial"/>
                <w:sz w:val="16"/>
                <w:szCs w:val="16"/>
                <w:color w:val="231F20"/>
              </w:rPr>
              <w:t>e</w:t>
            </w:r>
          </w:p>
        </w:tc>
        <w:tc>
          <w:tcPr>
            <w:tcW w:w="400" w:type="dxa"/>
            <w:vAlign w:val="bottom"/>
            <w:gridSpan w:val="2"/>
          </w:tcPr>
          <w:p>
            <w:pPr>
              <w:jc w:val="center"/>
              <w:spacing w:after="0"/>
              <w:rPr>
                <w:sz w:val="20"/>
                <w:szCs w:val="20"/>
                <w:color w:val="auto"/>
              </w:rPr>
            </w:pPr>
            <w:r>
              <w:rPr>
                <w:rFonts w:ascii="Arial" w:cs="Arial" w:eastAsia="Arial" w:hAnsi="Arial"/>
                <w:sz w:val="16"/>
                <w:szCs w:val="16"/>
                <w:color w:val="231F20"/>
                <w:w w:val="96"/>
              </w:rPr>
              <w:t>ses</w:t>
            </w:r>
          </w:p>
        </w:tc>
        <w:tc>
          <w:tcPr>
            <w:tcW w:w="920" w:type="dxa"/>
            <w:vAlign w:val="bottom"/>
            <w:gridSpan w:val="4"/>
          </w:tcPr>
          <w:p>
            <w:pPr>
              <w:spacing w:after="0"/>
              <w:rPr>
                <w:sz w:val="20"/>
                <w:szCs w:val="20"/>
                <w:color w:val="auto"/>
              </w:rPr>
            </w:pPr>
            <w:r>
              <w:rPr>
                <w:rFonts w:ascii="Arial" w:cs="Arial" w:eastAsia="Arial" w:hAnsi="Arial"/>
                <w:sz w:val="16"/>
                <w:szCs w:val="16"/>
                <w:color w:val="231F20"/>
              </w:rPr>
              <w:t>amort zat o</w:t>
            </w:r>
          </w:p>
        </w:tc>
        <w:tc>
          <w:tcPr>
            <w:tcW w:w="1420" w:type="dxa"/>
            <w:vAlign w:val="bottom"/>
            <w:gridSpan w:val="4"/>
          </w:tcPr>
          <w:p>
            <w:pPr>
              <w:jc w:val="right"/>
              <w:spacing w:after="0"/>
              <w:rPr>
                <w:sz w:val="20"/>
                <w:szCs w:val="20"/>
                <w:color w:val="auto"/>
              </w:rPr>
            </w:pPr>
            <w:r>
              <w:rPr>
                <w:rFonts w:ascii="Arial" w:cs="Arial" w:eastAsia="Arial" w:hAnsi="Arial"/>
                <w:sz w:val="16"/>
                <w:szCs w:val="16"/>
                <w:color w:val="231F20"/>
                <w:w w:val="96"/>
              </w:rPr>
              <w:t>of inve ntory step-u</w:t>
            </w:r>
          </w:p>
        </w:tc>
        <w:tc>
          <w:tcPr>
            <w:tcW w:w="840" w:type="dxa"/>
            <w:vAlign w:val="bottom"/>
            <w:gridSpan w:val="2"/>
          </w:tcPr>
          <w:p>
            <w:pPr>
              <w:ind w:left="80"/>
              <w:spacing w:after="0"/>
              <w:rPr>
                <w:sz w:val="20"/>
                <w:szCs w:val="20"/>
                <w:color w:val="auto"/>
              </w:rPr>
            </w:pPr>
            <w:r>
              <w:rPr>
                <w:rFonts w:ascii="Arial" w:cs="Arial" w:eastAsia="Arial" w:hAnsi="Arial"/>
                <w:sz w:val="16"/>
                <w:szCs w:val="16"/>
                <w:color w:val="231F20"/>
                <w:w w:val="95"/>
              </w:rPr>
              <w:t>assoc ated</w:t>
            </w:r>
          </w:p>
        </w:tc>
      </w:tr>
      <w:tr>
        <w:trPr>
          <w:trHeight w:val="202"/>
        </w:trPr>
        <w:tc>
          <w:tcPr>
            <w:tcW w:w="200" w:type="dxa"/>
            <w:vAlign w:val="bottom"/>
          </w:tcPr>
          <w:p>
            <w:pPr>
              <w:spacing w:after="0"/>
              <w:rPr>
                <w:sz w:val="17"/>
                <w:szCs w:val="17"/>
                <w:color w:val="auto"/>
              </w:rPr>
            </w:pPr>
          </w:p>
        </w:tc>
        <w:tc>
          <w:tcPr>
            <w:tcW w:w="1520" w:type="dxa"/>
            <w:vAlign w:val="bottom"/>
            <w:gridSpan w:val="4"/>
          </w:tcPr>
          <w:p>
            <w:pPr>
              <w:ind w:left="40"/>
              <w:spacing w:after="0"/>
              <w:rPr>
                <w:sz w:val="20"/>
                <w:szCs w:val="20"/>
                <w:color w:val="auto"/>
              </w:rPr>
            </w:pPr>
            <w:r>
              <w:rPr>
                <w:rFonts w:ascii="Arial" w:cs="Arial" w:eastAsia="Arial" w:hAnsi="Arial"/>
                <w:sz w:val="16"/>
                <w:szCs w:val="16"/>
                <w:color w:val="231F20"/>
                <w:w w:val="99"/>
              </w:rPr>
              <w:t>w th acquis t on of th</w:t>
            </w:r>
          </w:p>
        </w:tc>
        <w:tc>
          <w:tcPr>
            <w:tcW w:w="2760" w:type="dxa"/>
            <w:vAlign w:val="bottom"/>
            <w:gridSpan w:val="14"/>
          </w:tcPr>
          <w:p>
            <w:pPr>
              <w:jc w:val="center"/>
              <w:spacing w:after="0"/>
              <w:rPr>
                <w:sz w:val="20"/>
                <w:szCs w:val="20"/>
                <w:color w:val="auto"/>
              </w:rPr>
            </w:pPr>
            <w:r>
              <w:rPr>
                <w:rFonts w:ascii="Arial" w:cs="Arial" w:eastAsia="Arial" w:hAnsi="Arial"/>
                <w:sz w:val="16"/>
                <w:szCs w:val="16"/>
                <w:color w:val="231F20"/>
              </w:rPr>
              <w:t>ASSA bus nesses asset impairment</w:t>
            </w:r>
          </w:p>
        </w:tc>
        <w:tc>
          <w:tcPr>
            <w:tcW w:w="640" w:type="dxa"/>
            <w:vAlign w:val="bottom"/>
            <w:gridSpan w:val="3"/>
          </w:tcPr>
          <w:p>
            <w:pPr>
              <w:jc w:val="center"/>
              <w:spacing w:after="0"/>
              <w:rPr>
                <w:sz w:val="20"/>
                <w:szCs w:val="20"/>
                <w:color w:val="auto"/>
              </w:rPr>
            </w:pPr>
            <w:r>
              <w:rPr>
                <w:rFonts w:ascii="Arial" w:cs="Arial" w:eastAsia="Arial" w:hAnsi="Arial"/>
                <w:sz w:val="16"/>
                <w:szCs w:val="16"/>
                <w:color w:val="231F20"/>
              </w:rPr>
              <w:t>charges</w:t>
            </w:r>
          </w:p>
        </w:tc>
        <w:tc>
          <w:tcPr>
            <w:tcW w:w="600" w:type="dxa"/>
            <w:vAlign w:val="bottom"/>
            <w:gridSpan w:val="3"/>
          </w:tcPr>
          <w:p>
            <w:pPr>
              <w:ind w:left="40"/>
              <w:spacing w:after="0"/>
              <w:rPr>
                <w:sz w:val="20"/>
                <w:szCs w:val="20"/>
                <w:color w:val="auto"/>
              </w:rPr>
            </w:pPr>
            <w:r>
              <w:rPr>
                <w:rFonts w:ascii="Arial" w:cs="Arial" w:eastAsia="Arial" w:hAnsi="Arial"/>
                <w:sz w:val="16"/>
                <w:szCs w:val="16"/>
                <w:color w:val="231F20"/>
              </w:rPr>
              <w:t>charge</w:t>
            </w:r>
          </w:p>
        </w:tc>
        <w:tc>
          <w:tcPr>
            <w:tcW w:w="280" w:type="dxa"/>
            <w:vAlign w:val="bottom"/>
          </w:tcPr>
          <w:p>
            <w:pPr>
              <w:jc w:val="center"/>
              <w:spacing w:after="0"/>
              <w:rPr>
                <w:sz w:val="20"/>
                <w:szCs w:val="20"/>
                <w:color w:val="auto"/>
              </w:rPr>
            </w:pPr>
            <w:r>
              <w:rPr>
                <w:rFonts w:ascii="Arial" w:cs="Arial" w:eastAsia="Arial" w:hAnsi="Arial"/>
                <w:sz w:val="16"/>
                <w:szCs w:val="16"/>
                <w:color w:val="231F20"/>
              </w:rPr>
              <w:t>fo</w:t>
            </w:r>
          </w:p>
        </w:tc>
        <w:tc>
          <w:tcPr>
            <w:tcW w:w="660" w:type="dxa"/>
            <w:vAlign w:val="bottom"/>
            <w:gridSpan w:val="4"/>
          </w:tcPr>
          <w:p>
            <w:pPr>
              <w:ind w:left="20"/>
              <w:spacing w:after="0"/>
              <w:rPr>
                <w:sz w:val="20"/>
                <w:szCs w:val="20"/>
                <w:color w:val="auto"/>
              </w:rPr>
            </w:pPr>
            <w:r>
              <w:rPr>
                <w:rFonts w:ascii="Arial" w:cs="Arial" w:eastAsia="Arial" w:hAnsi="Arial"/>
                <w:sz w:val="16"/>
                <w:szCs w:val="16"/>
                <w:color w:val="231F20"/>
              </w:rPr>
              <w:t>a compe</w:t>
            </w:r>
          </w:p>
        </w:tc>
        <w:tc>
          <w:tcPr>
            <w:tcW w:w="940" w:type="dxa"/>
            <w:vAlign w:val="bottom"/>
            <w:gridSpan w:val="5"/>
          </w:tcPr>
          <w:p>
            <w:pPr>
              <w:ind w:left="80"/>
              <w:spacing w:after="0"/>
              <w:rPr>
                <w:sz w:val="20"/>
                <w:szCs w:val="20"/>
                <w:color w:val="auto"/>
              </w:rPr>
            </w:pPr>
            <w:r>
              <w:rPr>
                <w:rFonts w:ascii="Arial" w:cs="Arial" w:eastAsia="Arial" w:hAnsi="Arial"/>
                <w:sz w:val="16"/>
                <w:szCs w:val="16"/>
                <w:color w:val="231F20"/>
                <w:w w:val="98"/>
              </w:rPr>
              <w:t>sat on arran</w:t>
            </w:r>
          </w:p>
        </w:tc>
        <w:tc>
          <w:tcPr>
            <w:tcW w:w="2640" w:type="dxa"/>
            <w:vAlign w:val="bottom"/>
            <w:gridSpan w:val="7"/>
          </w:tcPr>
          <w:p>
            <w:pPr>
              <w:jc w:val="right"/>
              <w:ind w:right="219"/>
              <w:spacing w:after="0"/>
              <w:rPr>
                <w:sz w:val="20"/>
                <w:szCs w:val="20"/>
                <w:color w:val="auto"/>
              </w:rPr>
            </w:pPr>
            <w:r>
              <w:rPr>
                <w:rFonts w:ascii="Arial" w:cs="Arial" w:eastAsia="Arial" w:hAnsi="Arial"/>
                <w:sz w:val="16"/>
                <w:szCs w:val="16"/>
                <w:color w:val="231F20"/>
              </w:rPr>
              <w:t>eme t w th th  former owne  of</w:t>
            </w:r>
          </w:p>
        </w:tc>
      </w:tr>
      <w:tr>
        <w:trPr>
          <w:trHeight w:val="202"/>
        </w:trPr>
        <w:tc>
          <w:tcPr>
            <w:tcW w:w="200" w:type="dxa"/>
            <w:vAlign w:val="bottom"/>
          </w:tcPr>
          <w:p>
            <w:pPr>
              <w:spacing w:after="0"/>
              <w:rPr>
                <w:sz w:val="17"/>
                <w:szCs w:val="17"/>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231F20"/>
              </w:rPr>
              <w:t>So a</w:t>
            </w:r>
          </w:p>
        </w:tc>
        <w:tc>
          <w:tcPr>
            <w:tcW w:w="3200" w:type="dxa"/>
            <w:vAlign w:val="bottom"/>
            <w:gridSpan w:val="12"/>
          </w:tcPr>
          <w:p>
            <w:pPr>
              <w:spacing w:after="0"/>
              <w:rPr>
                <w:sz w:val="20"/>
                <w:szCs w:val="20"/>
                <w:color w:val="auto"/>
              </w:rPr>
            </w:pPr>
            <w:r>
              <w:rPr>
                <w:rFonts w:ascii="Arial" w:cs="Arial" w:eastAsia="Arial" w:hAnsi="Arial"/>
                <w:sz w:val="16"/>
                <w:szCs w:val="16"/>
                <w:color w:val="231F20"/>
              </w:rPr>
              <w:t>a d actuaria gains/losses assoc ated w th o</w:t>
            </w:r>
          </w:p>
        </w:tc>
        <w:tc>
          <w:tcPr>
            <w:tcW w:w="80" w:type="dxa"/>
            <w:vAlign w:val="bottom"/>
          </w:tcPr>
          <w:p>
            <w:pPr>
              <w:spacing w:after="0"/>
              <w:rPr>
                <w:sz w:val="17"/>
                <w:szCs w:val="17"/>
                <w:color w:val="auto"/>
              </w:rPr>
            </w:pPr>
          </w:p>
        </w:tc>
        <w:tc>
          <w:tcPr>
            <w:tcW w:w="1580" w:type="dxa"/>
            <w:vAlign w:val="bottom"/>
            <w:gridSpan w:val="8"/>
          </w:tcPr>
          <w:p>
            <w:pPr>
              <w:jc w:val="center"/>
              <w:spacing w:after="0"/>
              <w:rPr>
                <w:sz w:val="20"/>
                <w:szCs w:val="20"/>
                <w:color w:val="auto"/>
              </w:rPr>
            </w:pPr>
            <w:r>
              <w:rPr>
                <w:rFonts w:ascii="Arial" w:cs="Arial" w:eastAsia="Arial" w:hAnsi="Arial"/>
                <w:sz w:val="16"/>
                <w:szCs w:val="16"/>
                <w:color w:val="231F20"/>
              </w:rPr>
              <w:t>def ned benef t p a s</w:t>
            </w:r>
          </w:p>
        </w:tc>
        <w:tc>
          <w:tcPr>
            <w:tcW w:w="880" w:type="dxa"/>
            <w:vAlign w:val="bottom"/>
            <w:gridSpan w:val="4"/>
          </w:tcPr>
          <w:p>
            <w:pPr>
              <w:jc w:val="center"/>
              <w:spacing w:after="0"/>
              <w:rPr>
                <w:sz w:val="20"/>
                <w:szCs w:val="20"/>
                <w:color w:val="auto"/>
              </w:rPr>
            </w:pPr>
            <w:r>
              <w:rPr>
                <w:rFonts w:ascii="Arial" w:cs="Arial" w:eastAsia="Arial" w:hAnsi="Arial"/>
                <w:sz w:val="16"/>
                <w:szCs w:val="16"/>
                <w:color w:val="231F20"/>
                <w:w w:val="96"/>
              </w:rPr>
              <w:t>Th s meas</w:t>
            </w:r>
          </w:p>
        </w:tc>
        <w:tc>
          <w:tcPr>
            <w:tcW w:w="140" w:type="dxa"/>
            <w:vAlign w:val="bottom"/>
          </w:tcPr>
          <w:p>
            <w:pPr>
              <w:ind w:left="40"/>
              <w:spacing w:after="0"/>
              <w:rPr>
                <w:sz w:val="20"/>
                <w:szCs w:val="20"/>
                <w:color w:val="auto"/>
              </w:rPr>
            </w:pPr>
            <w:r>
              <w:rPr>
                <w:rFonts w:ascii="Arial" w:cs="Arial" w:eastAsia="Arial" w:hAnsi="Arial"/>
                <w:sz w:val="16"/>
                <w:szCs w:val="16"/>
                <w:color w:val="231F20"/>
              </w:rPr>
              <w:t>r</w:t>
            </w:r>
          </w:p>
        </w:tc>
        <w:tc>
          <w:tcPr>
            <w:tcW w:w="520" w:type="dxa"/>
            <w:vAlign w:val="bottom"/>
            <w:gridSpan w:val="3"/>
          </w:tcPr>
          <w:p>
            <w:pPr>
              <w:ind w:left="80"/>
              <w:spacing w:after="0"/>
              <w:rPr>
                <w:sz w:val="20"/>
                <w:szCs w:val="20"/>
                <w:color w:val="auto"/>
              </w:rPr>
            </w:pPr>
            <w:r>
              <w:rPr>
                <w:rFonts w:ascii="Arial" w:cs="Arial" w:eastAsia="Arial" w:hAnsi="Arial"/>
                <w:sz w:val="16"/>
                <w:szCs w:val="16"/>
                <w:color w:val="231F20"/>
              </w:rPr>
              <w:t>is not</w:t>
            </w:r>
          </w:p>
        </w:tc>
        <w:tc>
          <w:tcPr>
            <w:tcW w:w="3180" w:type="dxa"/>
            <w:vAlign w:val="bottom"/>
            <w:gridSpan w:val="10"/>
          </w:tcPr>
          <w:p>
            <w:pPr>
              <w:ind w:left="20"/>
              <w:spacing w:after="0"/>
              <w:rPr>
                <w:sz w:val="20"/>
                <w:szCs w:val="20"/>
                <w:color w:val="auto"/>
              </w:rPr>
            </w:pPr>
            <w:r>
              <w:rPr>
                <w:rFonts w:ascii="Arial" w:cs="Arial" w:eastAsia="Arial" w:hAnsi="Arial"/>
                <w:sz w:val="16"/>
                <w:szCs w:val="16"/>
                <w:color w:val="231F20"/>
              </w:rPr>
              <w:t>n accorda ce w th GAAP Management</w:t>
            </w:r>
          </w:p>
        </w:tc>
      </w:tr>
      <w:tr>
        <w:trPr>
          <w:trHeight w:val="202"/>
        </w:trPr>
        <w:tc>
          <w:tcPr>
            <w:tcW w:w="20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color w:val="231F20"/>
              </w:rPr>
              <w:t>uses this measur</w:t>
            </w:r>
          </w:p>
        </w:tc>
        <w:tc>
          <w:tcPr>
            <w:tcW w:w="980" w:type="dxa"/>
            <w:vAlign w:val="bottom"/>
            <w:gridSpan w:val="5"/>
          </w:tcPr>
          <w:p>
            <w:pPr>
              <w:ind w:left="20"/>
              <w:spacing w:after="0"/>
              <w:rPr>
                <w:sz w:val="20"/>
                <w:szCs w:val="20"/>
                <w:color w:val="auto"/>
              </w:rPr>
            </w:pPr>
            <w:r>
              <w:rPr>
                <w:rFonts w:ascii="Arial" w:cs="Arial" w:eastAsia="Arial" w:hAnsi="Arial"/>
                <w:sz w:val="16"/>
                <w:szCs w:val="16"/>
                <w:color w:val="231F20"/>
                <w:w w:val="96"/>
              </w:rPr>
              <w:t>to eva uate th</w:t>
            </w:r>
          </w:p>
        </w:tc>
        <w:tc>
          <w:tcPr>
            <w:tcW w:w="740" w:type="dxa"/>
            <w:vAlign w:val="bottom"/>
            <w:gridSpan w:val="3"/>
          </w:tcPr>
          <w:p>
            <w:pPr>
              <w:jc w:val="right"/>
              <w:spacing w:after="0"/>
              <w:rPr>
                <w:sz w:val="20"/>
                <w:szCs w:val="20"/>
                <w:color w:val="auto"/>
              </w:rPr>
            </w:pPr>
            <w:r>
              <w:rPr>
                <w:rFonts w:ascii="Arial" w:cs="Arial" w:eastAsia="Arial" w:hAnsi="Arial"/>
                <w:sz w:val="16"/>
                <w:szCs w:val="16"/>
                <w:color w:val="231F20"/>
              </w:rPr>
              <w:t>Compa</w:t>
            </w:r>
          </w:p>
        </w:tc>
        <w:tc>
          <w:tcPr>
            <w:tcW w:w="1720" w:type="dxa"/>
            <w:vAlign w:val="bottom"/>
            <w:gridSpan w:val="9"/>
          </w:tcPr>
          <w:p>
            <w:pPr>
              <w:ind w:left="20"/>
              <w:spacing w:after="0"/>
              <w:rPr>
                <w:sz w:val="20"/>
                <w:szCs w:val="20"/>
                <w:color w:val="auto"/>
              </w:rPr>
            </w:pPr>
            <w:r>
              <w:rPr>
                <w:rFonts w:ascii="Arial" w:cs="Arial" w:eastAsia="Arial" w:hAnsi="Arial"/>
                <w:sz w:val="16"/>
                <w:szCs w:val="16"/>
                <w:color w:val="231F20"/>
              </w:rPr>
              <w:t>y s overall performanc</w:t>
            </w:r>
          </w:p>
        </w:tc>
        <w:tc>
          <w:tcPr>
            <w:tcW w:w="2340" w:type="dxa"/>
            <w:vAlign w:val="bottom"/>
            <w:gridSpan w:val="13"/>
          </w:tcPr>
          <w:p>
            <w:pPr>
              <w:ind w:left="20"/>
              <w:spacing w:after="0"/>
              <w:rPr>
                <w:sz w:val="20"/>
                <w:szCs w:val="20"/>
                <w:color w:val="auto"/>
              </w:rPr>
            </w:pPr>
            <w:r>
              <w:rPr>
                <w:rFonts w:ascii="Arial" w:cs="Arial" w:eastAsia="Arial" w:hAnsi="Arial"/>
                <w:sz w:val="16"/>
                <w:szCs w:val="16"/>
                <w:color w:val="231F20"/>
              </w:rPr>
              <w:t>and believes t provides investor</w:t>
            </w:r>
          </w:p>
        </w:tc>
        <w:tc>
          <w:tcPr>
            <w:tcW w:w="2900" w:type="dxa"/>
            <w:vAlign w:val="bottom"/>
            <w:gridSpan w:val="8"/>
          </w:tcPr>
          <w:p>
            <w:pPr>
              <w:ind w:left="100"/>
              <w:spacing w:after="0"/>
              <w:rPr>
                <w:sz w:val="20"/>
                <w:szCs w:val="20"/>
                <w:color w:val="auto"/>
              </w:rPr>
            </w:pPr>
            <w:r>
              <w:rPr>
                <w:rFonts w:ascii="Arial" w:cs="Arial" w:eastAsia="Arial" w:hAnsi="Arial"/>
                <w:sz w:val="16"/>
                <w:szCs w:val="16"/>
                <w:color w:val="231F20"/>
              </w:rPr>
              <w:t>with helpfu suppleme ntal nformation</w:t>
            </w:r>
          </w:p>
        </w:tc>
      </w:tr>
      <w:tr>
        <w:trPr>
          <w:trHeight w:val="202"/>
        </w:trPr>
        <w:tc>
          <w:tcPr>
            <w:tcW w:w="20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color w:val="231F20"/>
              </w:rPr>
              <w:t>about th  Compa</w:t>
            </w:r>
          </w:p>
        </w:tc>
        <w:tc>
          <w:tcPr>
            <w:tcW w:w="160" w:type="dxa"/>
            <w:vAlign w:val="bottom"/>
          </w:tcPr>
          <w:p>
            <w:pPr>
              <w:ind w:left="20"/>
              <w:spacing w:after="0"/>
              <w:rPr>
                <w:sz w:val="20"/>
                <w:szCs w:val="20"/>
                <w:color w:val="auto"/>
              </w:rPr>
            </w:pPr>
            <w:r>
              <w:rPr>
                <w:rFonts w:ascii="Arial" w:cs="Arial" w:eastAsia="Arial" w:hAnsi="Arial"/>
                <w:sz w:val="16"/>
                <w:szCs w:val="16"/>
                <w:color w:val="231F20"/>
              </w:rPr>
              <w:t>y</w:t>
            </w:r>
          </w:p>
        </w:tc>
        <w:tc>
          <w:tcPr>
            <w:tcW w:w="1860" w:type="dxa"/>
            <w:vAlign w:val="bottom"/>
            <w:gridSpan w:val="9"/>
          </w:tcPr>
          <w:p>
            <w:pPr>
              <w:ind w:left="100"/>
              <w:spacing w:after="0"/>
              <w:rPr>
                <w:sz w:val="20"/>
                <w:szCs w:val="20"/>
                <w:color w:val="auto"/>
              </w:rPr>
            </w:pPr>
            <w:r>
              <w:rPr>
                <w:rFonts w:ascii="Arial" w:cs="Arial" w:eastAsia="Arial" w:hAnsi="Arial"/>
                <w:sz w:val="16"/>
                <w:szCs w:val="16"/>
                <w:color w:val="231F20"/>
              </w:rPr>
              <w:t>unde rlying performanc</w:t>
            </w:r>
          </w:p>
        </w:tc>
        <w:tc>
          <w:tcPr>
            <w:tcW w:w="1540" w:type="dxa"/>
            <w:vAlign w:val="bottom"/>
            <w:gridSpan w:val="8"/>
          </w:tcPr>
          <w:p>
            <w:pPr>
              <w:ind w:left="20"/>
              <w:spacing w:after="0"/>
              <w:rPr>
                <w:sz w:val="20"/>
                <w:szCs w:val="20"/>
                <w:color w:val="auto"/>
              </w:rPr>
            </w:pPr>
            <w:r>
              <w:rPr>
                <w:rFonts w:ascii="Arial" w:cs="Arial" w:eastAsia="Arial" w:hAnsi="Arial"/>
                <w:sz w:val="16"/>
                <w:szCs w:val="16"/>
                <w:color w:val="231F20"/>
              </w:rPr>
              <w:t>from per od to period</w:t>
            </w:r>
          </w:p>
        </w:tc>
        <w:tc>
          <w:tcPr>
            <w:tcW w:w="1640" w:type="dxa"/>
            <w:vAlign w:val="bottom"/>
            <w:gridSpan w:val="9"/>
          </w:tcPr>
          <w:p>
            <w:pPr>
              <w:jc w:val="center"/>
              <w:ind w:left="19"/>
              <w:spacing w:after="0"/>
              <w:rPr>
                <w:sz w:val="20"/>
                <w:szCs w:val="20"/>
                <w:color w:val="auto"/>
              </w:rPr>
            </w:pPr>
            <w:r>
              <w:rPr>
                <w:rFonts w:ascii="Arial" w:cs="Arial" w:eastAsia="Arial" w:hAnsi="Arial"/>
                <w:sz w:val="16"/>
                <w:szCs w:val="16"/>
                <w:color w:val="231F20"/>
              </w:rPr>
              <w:t>Howeve , this measur</w:t>
            </w:r>
          </w:p>
        </w:tc>
        <w:tc>
          <w:tcPr>
            <w:tcW w:w="3480" w:type="dxa"/>
            <w:vAlign w:val="bottom"/>
            <w:gridSpan w:val="11"/>
          </w:tcPr>
          <w:p>
            <w:pPr>
              <w:jc w:val="right"/>
              <w:ind w:right="99"/>
              <w:spacing w:after="0"/>
              <w:rPr>
                <w:sz w:val="20"/>
                <w:szCs w:val="20"/>
                <w:color w:val="auto"/>
              </w:rPr>
            </w:pPr>
            <w:r>
              <w:rPr>
                <w:rFonts w:ascii="Arial" w:cs="Arial" w:eastAsia="Arial" w:hAnsi="Arial"/>
                <w:sz w:val="16"/>
                <w:szCs w:val="16"/>
                <w:color w:val="231F20"/>
              </w:rPr>
              <w:t>may not be consistent with simi a measures</w:t>
            </w:r>
          </w:p>
        </w:tc>
      </w:tr>
      <w:tr>
        <w:trPr>
          <w:trHeight w:val="202"/>
        </w:trPr>
        <w:tc>
          <w:tcPr>
            <w:tcW w:w="20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color w:val="231F20"/>
              </w:rPr>
              <w:t>presented by othe</w:t>
            </w:r>
          </w:p>
        </w:tc>
        <w:tc>
          <w:tcPr>
            <w:tcW w:w="980" w:type="dxa"/>
            <w:vAlign w:val="bottom"/>
            <w:gridSpan w:val="5"/>
          </w:tcPr>
          <w:p>
            <w:pPr>
              <w:ind w:left="80"/>
              <w:spacing w:after="0"/>
              <w:rPr>
                <w:sz w:val="20"/>
                <w:szCs w:val="20"/>
                <w:color w:val="auto"/>
              </w:rPr>
            </w:pPr>
            <w:r>
              <w:rPr>
                <w:rFonts w:ascii="Arial" w:cs="Arial" w:eastAsia="Arial" w:hAnsi="Arial"/>
                <w:sz w:val="16"/>
                <w:szCs w:val="16"/>
                <w:color w:val="231F20"/>
              </w:rPr>
              <w:t>companies.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44"/>
        </w:trPr>
        <w:tc>
          <w:tcPr>
            <w:tcW w:w="5120" w:type="dxa"/>
            <w:vAlign w:val="bottom"/>
            <w:gridSpan w:val="22"/>
          </w:tcPr>
          <w:p>
            <w:pPr>
              <w:spacing w:after="0"/>
              <w:rPr>
                <w:sz w:val="20"/>
                <w:szCs w:val="20"/>
                <w:color w:val="auto"/>
              </w:rPr>
            </w:pPr>
            <w:r>
              <w:rPr>
                <w:rFonts w:ascii="Arial" w:cs="Arial" w:eastAsia="Arial" w:hAnsi="Arial"/>
                <w:sz w:val="16"/>
                <w:szCs w:val="16"/>
                <w:color w:val="231F20"/>
              </w:rPr>
              <w:t>(c) EBITDA before charges/gains s calculated as ncome from continui</w:t>
            </w:r>
          </w:p>
        </w:tc>
        <w:tc>
          <w:tcPr>
            <w:tcW w:w="1280" w:type="dxa"/>
            <w:vAlign w:val="bottom"/>
            <w:gridSpan w:val="6"/>
          </w:tcPr>
          <w:p>
            <w:pPr>
              <w:ind w:left="160"/>
              <w:spacing w:after="0"/>
              <w:rPr>
                <w:sz w:val="20"/>
                <w:szCs w:val="20"/>
                <w:color w:val="auto"/>
              </w:rPr>
            </w:pPr>
            <w:r>
              <w:rPr>
                <w:rFonts w:ascii="Arial" w:cs="Arial" w:eastAsia="Arial" w:hAnsi="Arial"/>
                <w:sz w:val="16"/>
                <w:szCs w:val="16"/>
                <w:color w:val="231F20"/>
              </w:rPr>
              <w:t>operations, net</w:t>
            </w:r>
          </w:p>
        </w:tc>
        <w:tc>
          <w:tcPr>
            <w:tcW w:w="3000" w:type="dxa"/>
            <w:vAlign w:val="bottom"/>
            <w:gridSpan w:val="12"/>
          </w:tcPr>
          <w:p>
            <w:pPr>
              <w:ind w:left="20"/>
              <w:spacing w:after="0"/>
              <w:rPr>
                <w:sz w:val="20"/>
                <w:szCs w:val="20"/>
                <w:color w:val="auto"/>
              </w:rPr>
            </w:pPr>
            <w:r>
              <w:rPr>
                <w:rFonts w:ascii="Arial" w:cs="Arial" w:eastAsia="Arial" w:hAnsi="Arial"/>
                <w:sz w:val="16"/>
                <w:szCs w:val="16"/>
                <w:color w:val="231F20"/>
              </w:rPr>
              <w:t>of tax in accordance with GAAP, exclud n</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2"/>
        </w:trPr>
        <w:tc>
          <w:tcPr>
            <w:tcW w:w="200" w:type="dxa"/>
            <w:vAlign w:val="bottom"/>
          </w:tcPr>
          <w:p>
            <w:pPr>
              <w:spacing w:after="0"/>
              <w:rPr>
                <w:sz w:val="17"/>
                <w:szCs w:val="17"/>
                <w:color w:val="auto"/>
              </w:rPr>
            </w:pPr>
          </w:p>
        </w:tc>
        <w:tc>
          <w:tcPr>
            <w:tcW w:w="3380" w:type="dxa"/>
            <w:vAlign w:val="bottom"/>
            <w:gridSpan w:val="13"/>
          </w:tcPr>
          <w:p>
            <w:pPr>
              <w:ind w:left="40"/>
              <w:spacing w:after="0"/>
              <w:rPr>
                <w:sz w:val="20"/>
                <w:szCs w:val="20"/>
                <w:color w:val="auto"/>
              </w:rPr>
            </w:pPr>
            <w:r>
              <w:rPr>
                <w:rFonts w:ascii="Arial" w:cs="Arial" w:eastAsia="Arial" w:hAnsi="Arial"/>
                <w:sz w:val="16"/>
                <w:szCs w:val="16"/>
                <w:color w:val="231F20"/>
              </w:rPr>
              <w:t>depreciation, amortization of intan ible assets,</w:t>
            </w:r>
          </w:p>
        </w:tc>
        <w:tc>
          <w:tcPr>
            <w:tcW w:w="360" w:type="dxa"/>
            <w:vAlign w:val="bottom"/>
            <w:gridSpan w:val="2"/>
          </w:tcPr>
          <w:p>
            <w:pPr>
              <w:ind w:left="100"/>
              <w:spacing w:after="0"/>
              <w:rPr>
                <w:sz w:val="20"/>
                <w:szCs w:val="20"/>
                <w:color w:val="auto"/>
              </w:rPr>
            </w:pPr>
            <w:r>
              <w:rPr>
                <w:rFonts w:ascii="Arial" w:cs="Arial" w:eastAsia="Arial" w:hAnsi="Arial"/>
                <w:sz w:val="16"/>
                <w:szCs w:val="16"/>
                <w:color w:val="231F20"/>
              </w:rPr>
              <w:t>est</w:t>
            </w:r>
          </w:p>
        </w:tc>
        <w:tc>
          <w:tcPr>
            <w:tcW w:w="540" w:type="dxa"/>
            <w:vAlign w:val="bottom"/>
            <w:gridSpan w:val="3"/>
          </w:tcPr>
          <w:p>
            <w:pPr>
              <w:ind w:left="100"/>
              <w:spacing w:after="0"/>
              <w:rPr>
                <w:sz w:val="20"/>
                <w:szCs w:val="20"/>
                <w:color w:val="auto"/>
              </w:rPr>
            </w:pPr>
            <w:r>
              <w:rPr>
                <w:rFonts w:ascii="Arial" w:cs="Arial" w:eastAsia="Arial" w:hAnsi="Arial"/>
                <w:sz w:val="16"/>
                <w:szCs w:val="16"/>
                <w:color w:val="231F20"/>
              </w:rPr>
              <w:t>ct rin</w:t>
            </w:r>
          </w:p>
        </w:tc>
        <w:tc>
          <w:tcPr>
            <w:tcW w:w="820" w:type="dxa"/>
            <w:vAlign w:val="bottom"/>
            <w:gridSpan w:val="4"/>
          </w:tcPr>
          <w:p>
            <w:pPr>
              <w:ind w:left="120"/>
              <w:spacing w:after="0"/>
              <w:rPr>
                <w:sz w:val="20"/>
                <w:szCs w:val="20"/>
                <w:color w:val="auto"/>
              </w:rPr>
            </w:pPr>
            <w:r>
              <w:rPr>
                <w:rFonts w:ascii="Arial" w:cs="Arial" w:eastAsia="Arial" w:hAnsi="Arial"/>
                <w:sz w:val="16"/>
                <w:szCs w:val="16"/>
                <w:color w:val="231F20"/>
              </w:rPr>
              <w:t>and othe</w:t>
            </w:r>
          </w:p>
        </w:tc>
        <w:tc>
          <w:tcPr>
            <w:tcW w:w="2300" w:type="dxa"/>
            <w:vAlign w:val="bottom"/>
            <w:gridSpan w:val="12"/>
          </w:tcPr>
          <w:p>
            <w:pPr>
              <w:ind w:left="20"/>
              <w:spacing w:after="0"/>
              <w:rPr>
                <w:sz w:val="20"/>
                <w:szCs w:val="20"/>
                <w:color w:val="auto"/>
              </w:rPr>
            </w:pPr>
            <w:r>
              <w:rPr>
                <w:rFonts w:ascii="Arial" w:cs="Arial" w:eastAsia="Arial" w:hAnsi="Arial"/>
                <w:sz w:val="16"/>
                <w:szCs w:val="16"/>
                <w:color w:val="231F20"/>
              </w:rPr>
              <w:t>charges/ga ns, ASSA transactio</w:t>
            </w:r>
          </w:p>
        </w:tc>
        <w:tc>
          <w:tcPr>
            <w:tcW w:w="380" w:type="dxa"/>
            <w:vAlign w:val="bottom"/>
          </w:tcPr>
          <w:p>
            <w:pPr>
              <w:ind w:left="140"/>
              <w:spacing w:after="0"/>
              <w:rPr>
                <w:sz w:val="20"/>
                <w:szCs w:val="20"/>
                <w:color w:val="auto"/>
              </w:rPr>
            </w:pPr>
            <w:r>
              <w:rPr>
                <w:rFonts w:ascii="Arial" w:cs="Arial" w:eastAsia="Arial" w:hAnsi="Arial"/>
                <w:sz w:val="16"/>
                <w:szCs w:val="16"/>
                <w:color w:val="231F20"/>
              </w:rPr>
              <w:t>ex</w:t>
            </w:r>
          </w:p>
        </w:tc>
        <w:tc>
          <w:tcPr>
            <w:tcW w:w="1420" w:type="dxa"/>
            <w:vAlign w:val="bottom"/>
            <w:gridSpan w:val="4"/>
          </w:tcPr>
          <w:p>
            <w:pPr>
              <w:jc w:val="right"/>
              <w:spacing w:after="0"/>
              <w:rPr>
                <w:sz w:val="20"/>
                <w:szCs w:val="20"/>
                <w:color w:val="auto"/>
              </w:rPr>
            </w:pPr>
            <w:r>
              <w:rPr>
                <w:rFonts w:ascii="Arial" w:cs="Arial" w:eastAsia="Arial" w:hAnsi="Arial"/>
                <w:sz w:val="16"/>
                <w:szCs w:val="16"/>
                <w:color w:val="231F20"/>
              </w:rPr>
              <w:t>enses, amortization</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2"/>
        </w:trPr>
        <w:tc>
          <w:tcPr>
            <w:tcW w:w="200" w:type="dxa"/>
            <w:vAlign w:val="bottom"/>
          </w:tcPr>
          <w:p>
            <w:pPr>
              <w:spacing w:after="0"/>
              <w:rPr>
                <w:sz w:val="17"/>
                <w:szCs w:val="17"/>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color w:val="231F20"/>
              </w:rPr>
              <w:t>of inventory step-</w:t>
            </w:r>
          </w:p>
        </w:tc>
        <w:tc>
          <w:tcPr>
            <w:tcW w:w="160" w:type="dxa"/>
            <w:vAlign w:val="bottom"/>
          </w:tcPr>
          <w:p>
            <w:pPr>
              <w:spacing w:after="0"/>
              <w:rPr>
                <w:sz w:val="17"/>
                <w:szCs w:val="17"/>
                <w:color w:val="auto"/>
              </w:rPr>
            </w:pPr>
          </w:p>
        </w:tc>
        <w:tc>
          <w:tcPr>
            <w:tcW w:w="1860" w:type="dxa"/>
            <w:vAlign w:val="bottom"/>
            <w:gridSpan w:val="9"/>
          </w:tcPr>
          <w:p>
            <w:pPr>
              <w:spacing w:after="0"/>
              <w:rPr>
                <w:sz w:val="20"/>
                <w:szCs w:val="20"/>
                <w:color w:val="auto"/>
              </w:rPr>
            </w:pPr>
            <w:r>
              <w:rPr>
                <w:rFonts w:ascii="Arial" w:cs="Arial" w:eastAsia="Arial" w:hAnsi="Arial"/>
                <w:sz w:val="16"/>
                <w:szCs w:val="16"/>
                <w:color w:val="231F20"/>
              </w:rPr>
              <w:t>associated with acquisitio</w:t>
            </w:r>
          </w:p>
        </w:tc>
        <w:tc>
          <w:tcPr>
            <w:tcW w:w="520" w:type="dxa"/>
            <w:vAlign w:val="bottom"/>
            <w:gridSpan w:val="3"/>
          </w:tcPr>
          <w:p>
            <w:pPr>
              <w:ind w:left="120"/>
              <w:spacing w:after="0"/>
              <w:rPr>
                <w:sz w:val="20"/>
                <w:szCs w:val="20"/>
                <w:color w:val="auto"/>
              </w:rPr>
            </w:pPr>
            <w:r>
              <w:rPr>
                <w:rFonts w:ascii="Arial" w:cs="Arial" w:eastAsia="Arial" w:hAnsi="Arial"/>
                <w:sz w:val="16"/>
                <w:szCs w:val="16"/>
                <w:color w:val="231F20"/>
              </w:rPr>
              <w:t>of th</w:t>
            </w:r>
          </w:p>
        </w:tc>
        <w:tc>
          <w:tcPr>
            <w:tcW w:w="900" w:type="dxa"/>
            <w:vAlign w:val="bottom"/>
            <w:gridSpan w:val="4"/>
          </w:tcPr>
          <w:p>
            <w:pPr>
              <w:ind w:left="40"/>
              <w:spacing w:after="0"/>
              <w:rPr>
                <w:sz w:val="20"/>
                <w:szCs w:val="20"/>
                <w:color w:val="auto"/>
              </w:rPr>
            </w:pPr>
            <w:r>
              <w:rPr>
                <w:rFonts w:ascii="Arial" w:cs="Arial" w:eastAsia="Arial" w:hAnsi="Arial"/>
                <w:sz w:val="16"/>
                <w:szCs w:val="16"/>
                <w:color w:val="231F20"/>
              </w:rPr>
              <w:t>ASSA busi</w:t>
            </w:r>
          </w:p>
        </w:tc>
        <w:tc>
          <w:tcPr>
            <w:tcW w:w="520" w:type="dxa"/>
            <w:vAlign w:val="bottom"/>
            <w:gridSpan w:val="3"/>
          </w:tcPr>
          <w:p>
            <w:pPr>
              <w:spacing w:after="0"/>
              <w:rPr>
                <w:sz w:val="20"/>
                <w:szCs w:val="20"/>
                <w:color w:val="auto"/>
              </w:rPr>
            </w:pPr>
            <w:r>
              <w:rPr>
                <w:rFonts w:ascii="Arial" w:cs="Arial" w:eastAsia="Arial" w:hAnsi="Arial"/>
                <w:sz w:val="16"/>
                <w:szCs w:val="16"/>
                <w:color w:val="231F20"/>
              </w:rPr>
              <w:t>esses</w:t>
            </w:r>
          </w:p>
        </w:tc>
        <w:tc>
          <w:tcPr>
            <w:tcW w:w="1240" w:type="dxa"/>
            <w:vAlign w:val="bottom"/>
            <w:gridSpan w:val="7"/>
          </w:tcPr>
          <w:p>
            <w:pPr>
              <w:spacing w:after="0"/>
              <w:rPr>
                <w:sz w:val="20"/>
                <w:szCs w:val="20"/>
                <w:color w:val="auto"/>
              </w:rPr>
            </w:pPr>
            <w:r>
              <w:rPr>
                <w:rFonts w:ascii="Arial" w:cs="Arial" w:eastAsia="Arial" w:hAnsi="Arial"/>
                <w:sz w:val="16"/>
                <w:szCs w:val="16"/>
                <w:color w:val="231F20"/>
              </w:rPr>
              <w:t>asset m airment</w:t>
            </w:r>
          </w:p>
        </w:tc>
        <w:tc>
          <w:tcPr>
            <w:tcW w:w="1220" w:type="dxa"/>
            <w:vAlign w:val="bottom"/>
            <w:gridSpan w:val="5"/>
          </w:tcPr>
          <w:p>
            <w:pPr>
              <w:jc w:val="right"/>
              <w:spacing w:after="0"/>
              <w:rPr>
                <w:sz w:val="20"/>
                <w:szCs w:val="20"/>
                <w:color w:val="auto"/>
              </w:rPr>
            </w:pPr>
            <w:r>
              <w:rPr>
                <w:rFonts w:ascii="Arial" w:cs="Arial" w:eastAsia="Arial" w:hAnsi="Arial"/>
                <w:sz w:val="16"/>
                <w:szCs w:val="16"/>
                <w:color w:val="231F20"/>
              </w:rPr>
              <w:t>charges, charge</w:t>
            </w:r>
          </w:p>
        </w:tc>
        <w:tc>
          <w:tcPr>
            <w:tcW w:w="1420" w:type="dxa"/>
            <w:vAlign w:val="bottom"/>
            <w:gridSpan w:val="4"/>
          </w:tcPr>
          <w:p>
            <w:pPr>
              <w:jc w:val="right"/>
              <w:spacing w:after="0"/>
              <w:rPr>
                <w:sz w:val="20"/>
                <w:szCs w:val="20"/>
                <w:color w:val="auto"/>
              </w:rPr>
            </w:pPr>
            <w:r>
              <w:rPr>
                <w:rFonts w:ascii="Arial" w:cs="Arial" w:eastAsia="Arial" w:hAnsi="Arial"/>
                <w:sz w:val="16"/>
                <w:szCs w:val="16"/>
                <w:color w:val="231F20"/>
              </w:rPr>
              <w:t>fo  a compe satio</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2"/>
        </w:trPr>
        <w:tc>
          <w:tcPr>
            <w:tcW w:w="200" w:type="dxa"/>
            <w:vAlign w:val="bottom"/>
          </w:tcPr>
          <w:p>
            <w:pPr>
              <w:spacing w:after="0"/>
              <w:rPr>
                <w:sz w:val="17"/>
                <w:szCs w:val="17"/>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231F20"/>
              </w:rPr>
              <w:t>arra</w:t>
            </w:r>
          </w:p>
        </w:tc>
        <w:tc>
          <w:tcPr>
            <w:tcW w:w="1060" w:type="dxa"/>
            <w:vAlign w:val="bottom"/>
            <w:gridSpan w:val="2"/>
          </w:tcPr>
          <w:p>
            <w:pPr>
              <w:ind w:left="40"/>
              <w:spacing w:after="0"/>
              <w:rPr>
                <w:sz w:val="20"/>
                <w:szCs w:val="20"/>
                <w:color w:val="auto"/>
              </w:rPr>
            </w:pPr>
            <w:r>
              <w:rPr>
                <w:rFonts w:ascii="Arial" w:cs="Arial" w:eastAsia="Arial" w:hAnsi="Arial"/>
                <w:sz w:val="16"/>
                <w:szCs w:val="16"/>
                <w:color w:val="231F20"/>
              </w:rPr>
              <w:t>eme t w th th</w:t>
            </w:r>
          </w:p>
        </w:tc>
        <w:tc>
          <w:tcPr>
            <w:tcW w:w="820" w:type="dxa"/>
            <w:vAlign w:val="bottom"/>
            <w:gridSpan w:val="4"/>
          </w:tcPr>
          <w:p>
            <w:pPr>
              <w:ind w:left="100"/>
              <w:spacing w:after="0"/>
              <w:rPr>
                <w:sz w:val="20"/>
                <w:szCs w:val="20"/>
                <w:color w:val="auto"/>
              </w:rPr>
            </w:pPr>
            <w:r>
              <w:rPr>
                <w:rFonts w:ascii="Arial" w:cs="Arial" w:eastAsia="Arial" w:hAnsi="Arial"/>
                <w:sz w:val="16"/>
                <w:szCs w:val="16"/>
                <w:color w:val="231F20"/>
                <w:w w:val="92"/>
              </w:rPr>
              <w:t>form er ow</w:t>
            </w:r>
          </w:p>
        </w:tc>
        <w:tc>
          <w:tcPr>
            <w:tcW w:w="1560" w:type="dxa"/>
            <w:vAlign w:val="bottom"/>
            <w:gridSpan w:val="8"/>
          </w:tcPr>
          <w:p>
            <w:pPr>
              <w:ind w:left="100"/>
              <w:spacing w:after="0"/>
              <w:rPr>
                <w:sz w:val="20"/>
                <w:szCs w:val="20"/>
                <w:color w:val="auto"/>
              </w:rPr>
            </w:pPr>
            <w:r>
              <w:rPr>
                <w:rFonts w:ascii="Arial" w:cs="Arial" w:eastAsia="Arial" w:hAnsi="Arial"/>
                <w:sz w:val="16"/>
                <w:szCs w:val="16"/>
                <w:color w:val="231F20"/>
              </w:rPr>
              <w:t>e  of So a , actuar a</w:t>
            </w:r>
          </w:p>
        </w:tc>
        <w:tc>
          <w:tcPr>
            <w:tcW w:w="2300" w:type="dxa"/>
            <w:vAlign w:val="bottom"/>
            <w:gridSpan w:val="11"/>
          </w:tcPr>
          <w:p>
            <w:pPr>
              <w:jc w:val="right"/>
              <w:spacing w:after="0"/>
              <w:rPr>
                <w:sz w:val="20"/>
                <w:szCs w:val="20"/>
                <w:color w:val="auto"/>
              </w:rPr>
            </w:pPr>
            <w:r>
              <w:rPr>
                <w:rFonts w:ascii="Arial" w:cs="Arial" w:eastAsia="Arial" w:hAnsi="Arial"/>
                <w:sz w:val="16"/>
                <w:szCs w:val="16"/>
                <w:color w:val="231F20"/>
              </w:rPr>
              <w:t>ga ns/ osses assoc ated w th ou</w:t>
            </w:r>
          </w:p>
        </w:tc>
        <w:tc>
          <w:tcPr>
            <w:tcW w:w="360" w:type="dxa"/>
            <w:vAlign w:val="bottom"/>
            <w:gridSpan w:val="3"/>
          </w:tcPr>
          <w:p>
            <w:pPr>
              <w:ind w:left="100"/>
              <w:spacing w:after="0"/>
              <w:rPr>
                <w:sz w:val="20"/>
                <w:szCs w:val="20"/>
                <w:color w:val="auto"/>
              </w:rPr>
            </w:pPr>
            <w:r>
              <w:rPr>
                <w:rFonts w:ascii="Arial" w:cs="Arial" w:eastAsia="Arial" w:hAnsi="Arial"/>
                <w:sz w:val="16"/>
                <w:szCs w:val="16"/>
                <w:color w:val="231F20"/>
              </w:rPr>
              <w:t>def</w:t>
            </w:r>
          </w:p>
        </w:tc>
        <w:tc>
          <w:tcPr>
            <w:tcW w:w="500" w:type="dxa"/>
            <w:vAlign w:val="bottom"/>
            <w:gridSpan w:val="2"/>
          </w:tcPr>
          <w:p>
            <w:pPr>
              <w:ind w:left="100"/>
              <w:spacing w:after="0"/>
              <w:rPr>
                <w:sz w:val="20"/>
                <w:szCs w:val="20"/>
                <w:color w:val="auto"/>
              </w:rPr>
            </w:pPr>
            <w:r>
              <w:rPr>
                <w:rFonts w:ascii="Arial" w:cs="Arial" w:eastAsia="Arial" w:hAnsi="Arial"/>
                <w:sz w:val="16"/>
                <w:szCs w:val="16"/>
                <w:color w:val="231F20"/>
                <w:w w:val="94"/>
              </w:rPr>
              <w:t>ed be</w:t>
            </w:r>
          </w:p>
        </w:tc>
        <w:tc>
          <w:tcPr>
            <w:tcW w:w="80" w:type="dxa"/>
            <w:vAlign w:val="bottom"/>
          </w:tcPr>
          <w:p>
            <w:pPr>
              <w:spacing w:after="0"/>
              <w:rPr>
                <w:sz w:val="17"/>
                <w:szCs w:val="17"/>
                <w:color w:val="auto"/>
              </w:rPr>
            </w:pPr>
          </w:p>
        </w:tc>
        <w:tc>
          <w:tcPr>
            <w:tcW w:w="1540" w:type="dxa"/>
            <w:vAlign w:val="bottom"/>
            <w:gridSpan w:val="4"/>
          </w:tcPr>
          <w:p>
            <w:pPr>
              <w:ind w:left="20"/>
              <w:spacing w:after="0"/>
              <w:rPr>
                <w:sz w:val="20"/>
                <w:szCs w:val="20"/>
                <w:color w:val="auto"/>
              </w:rPr>
            </w:pPr>
            <w:r>
              <w:rPr>
                <w:rFonts w:ascii="Arial" w:cs="Arial" w:eastAsia="Arial" w:hAnsi="Arial"/>
                <w:sz w:val="16"/>
                <w:szCs w:val="16"/>
                <w:color w:val="231F20"/>
              </w:rPr>
              <w:t>ef t p a s, nterest ex</w:t>
            </w:r>
          </w:p>
        </w:tc>
        <w:tc>
          <w:tcPr>
            <w:tcW w:w="220" w:type="dxa"/>
            <w:vAlign w:val="bottom"/>
          </w:tcPr>
          <w:p>
            <w:pPr>
              <w:ind w:left="40"/>
              <w:spacing w:after="0"/>
              <w:rPr>
                <w:sz w:val="20"/>
                <w:szCs w:val="20"/>
                <w:color w:val="auto"/>
              </w:rPr>
            </w:pPr>
            <w:r>
              <w:rPr>
                <w:rFonts w:ascii="Arial" w:cs="Arial" w:eastAsia="Arial" w:hAnsi="Arial"/>
                <w:sz w:val="16"/>
                <w:szCs w:val="16"/>
                <w:color w:val="231F20"/>
              </w:rPr>
              <w:t>e</w:t>
            </w:r>
          </w:p>
        </w:tc>
        <w:tc>
          <w:tcPr>
            <w:tcW w:w="300" w:type="dxa"/>
            <w:vAlign w:val="bottom"/>
          </w:tcPr>
          <w:p>
            <w:pPr>
              <w:jc w:val="right"/>
              <w:spacing w:after="0"/>
              <w:rPr>
                <w:sz w:val="20"/>
                <w:szCs w:val="20"/>
                <w:color w:val="auto"/>
              </w:rPr>
            </w:pPr>
            <w:r>
              <w:rPr>
                <w:rFonts w:ascii="Arial" w:cs="Arial" w:eastAsia="Arial" w:hAnsi="Arial"/>
                <w:sz w:val="16"/>
                <w:szCs w:val="16"/>
                <w:color w:val="231F20"/>
              </w:rPr>
              <w:t>s  a</w:t>
            </w:r>
          </w:p>
        </w:tc>
        <w:tc>
          <w:tcPr>
            <w:tcW w:w="220" w:type="dxa"/>
            <w:vAlign w:val="bottom"/>
          </w:tcPr>
          <w:p>
            <w:pPr>
              <w:jc w:val="center"/>
              <w:spacing w:after="0"/>
              <w:rPr>
                <w:sz w:val="20"/>
                <w:szCs w:val="20"/>
                <w:color w:val="auto"/>
              </w:rPr>
            </w:pPr>
            <w:r>
              <w:rPr>
                <w:rFonts w:ascii="Arial" w:cs="Arial" w:eastAsia="Arial" w:hAnsi="Arial"/>
                <w:sz w:val="16"/>
                <w:szCs w:val="16"/>
                <w:color w:val="231F20"/>
                <w:w w:val="89"/>
              </w:rPr>
              <w:t>d</w:t>
            </w:r>
          </w:p>
        </w:tc>
        <w:tc>
          <w:tcPr>
            <w:tcW w:w="620" w:type="dxa"/>
            <w:vAlign w:val="bottom"/>
          </w:tcPr>
          <w:p>
            <w:pPr>
              <w:jc w:val="right"/>
              <w:spacing w:after="0"/>
              <w:rPr>
                <w:sz w:val="20"/>
                <w:szCs w:val="20"/>
                <w:color w:val="auto"/>
              </w:rPr>
            </w:pPr>
            <w:r>
              <w:rPr>
                <w:rFonts w:ascii="Arial" w:cs="Arial" w:eastAsia="Arial" w:hAnsi="Arial"/>
                <w:sz w:val="16"/>
                <w:szCs w:val="16"/>
                <w:color w:val="231F20"/>
              </w:rPr>
              <w:t>ncome</w:t>
            </w:r>
          </w:p>
        </w:tc>
      </w:tr>
      <w:tr>
        <w:trPr>
          <w:trHeight w:val="202"/>
        </w:trPr>
        <w:tc>
          <w:tcPr>
            <w:tcW w:w="200" w:type="dxa"/>
            <w:vAlign w:val="bottom"/>
          </w:tcPr>
          <w:p>
            <w:pPr>
              <w:spacing w:after="0"/>
              <w:rPr>
                <w:sz w:val="17"/>
                <w:szCs w:val="17"/>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231F20"/>
              </w:rPr>
              <w:t>taxes</w:t>
            </w:r>
          </w:p>
        </w:tc>
        <w:tc>
          <w:tcPr>
            <w:tcW w:w="2220" w:type="dxa"/>
            <w:vAlign w:val="bottom"/>
            <w:gridSpan w:val="7"/>
          </w:tcPr>
          <w:p>
            <w:pPr>
              <w:ind w:left="60"/>
              <w:spacing w:after="0"/>
              <w:rPr>
                <w:sz w:val="20"/>
                <w:szCs w:val="20"/>
                <w:color w:val="auto"/>
              </w:rPr>
            </w:pPr>
            <w:r>
              <w:rPr>
                <w:rFonts w:ascii="Arial" w:cs="Arial" w:eastAsia="Arial" w:hAnsi="Arial"/>
                <w:sz w:val="16"/>
                <w:szCs w:val="16"/>
                <w:color w:val="231F20"/>
              </w:rPr>
              <w:t>EB TDA before ch arges/ga n</w:t>
            </w:r>
          </w:p>
        </w:tc>
        <w:tc>
          <w:tcPr>
            <w:tcW w:w="980" w:type="dxa"/>
            <w:vAlign w:val="bottom"/>
            <w:gridSpan w:val="5"/>
          </w:tcPr>
          <w:p>
            <w:pPr>
              <w:ind w:left="20"/>
              <w:spacing w:after="0"/>
              <w:rPr>
                <w:sz w:val="20"/>
                <w:szCs w:val="20"/>
                <w:color w:val="auto"/>
              </w:rPr>
            </w:pPr>
            <w:r>
              <w:rPr>
                <w:rFonts w:ascii="Arial" w:cs="Arial" w:eastAsia="Arial" w:hAnsi="Arial"/>
                <w:sz w:val="16"/>
                <w:szCs w:val="16"/>
                <w:color w:val="231F20"/>
              </w:rPr>
              <w:t>s a measur</w:t>
            </w:r>
          </w:p>
        </w:tc>
        <w:tc>
          <w:tcPr>
            <w:tcW w:w="1660" w:type="dxa"/>
            <w:vAlign w:val="bottom"/>
            <w:gridSpan w:val="9"/>
          </w:tcPr>
          <w:p>
            <w:pPr>
              <w:jc w:val="center"/>
              <w:spacing w:after="0"/>
              <w:rPr>
                <w:sz w:val="20"/>
                <w:szCs w:val="20"/>
                <w:color w:val="auto"/>
              </w:rPr>
            </w:pPr>
            <w:r>
              <w:rPr>
                <w:rFonts w:ascii="Arial" w:cs="Arial" w:eastAsia="Arial" w:hAnsi="Arial"/>
                <w:sz w:val="16"/>
                <w:szCs w:val="16"/>
                <w:color w:val="231F20"/>
              </w:rPr>
              <w:t>ot der ved n accord a</w:t>
            </w:r>
          </w:p>
        </w:tc>
        <w:tc>
          <w:tcPr>
            <w:tcW w:w="3360" w:type="dxa"/>
            <w:vAlign w:val="bottom"/>
            <w:gridSpan w:val="14"/>
          </w:tcPr>
          <w:p>
            <w:pPr>
              <w:ind w:left="20"/>
              <w:spacing w:after="0"/>
              <w:rPr>
                <w:sz w:val="20"/>
                <w:szCs w:val="20"/>
                <w:color w:val="auto"/>
              </w:rPr>
            </w:pPr>
            <w:r>
              <w:rPr>
                <w:rFonts w:ascii="Arial" w:cs="Arial" w:eastAsia="Arial" w:hAnsi="Arial"/>
                <w:sz w:val="16"/>
                <w:szCs w:val="16"/>
                <w:color w:val="231F20"/>
              </w:rPr>
              <w:t>ce w th GAAP. Ma agement uses th s measur</w:t>
            </w:r>
          </w:p>
        </w:tc>
        <w:tc>
          <w:tcPr>
            <w:tcW w:w="1360" w:type="dxa"/>
            <w:vAlign w:val="bottom"/>
            <w:gridSpan w:val="4"/>
          </w:tcPr>
          <w:p>
            <w:pPr>
              <w:jc w:val="right"/>
              <w:ind w:right="539"/>
              <w:spacing w:after="0"/>
              <w:rPr>
                <w:sz w:val="20"/>
                <w:szCs w:val="20"/>
                <w:color w:val="auto"/>
              </w:rPr>
            </w:pPr>
            <w:r>
              <w:rPr>
                <w:rFonts w:ascii="Arial" w:cs="Arial" w:eastAsia="Arial" w:hAnsi="Arial"/>
                <w:sz w:val="16"/>
                <w:szCs w:val="16"/>
                <w:color w:val="231F20"/>
              </w:rPr>
              <w:t>to assess</w:t>
            </w:r>
          </w:p>
        </w:tc>
      </w:tr>
      <w:tr>
        <w:trPr>
          <w:trHeight w:val="202"/>
        </w:trPr>
        <w:tc>
          <w:tcPr>
            <w:tcW w:w="200" w:type="dxa"/>
            <w:vAlign w:val="bottom"/>
          </w:tcPr>
          <w:p>
            <w:pPr>
              <w:spacing w:after="0"/>
              <w:rPr>
                <w:sz w:val="17"/>
                <w:szCs w:val="17"/>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231F20"/>
              </w:rPr>
              <w:t>retur</w:t>
            </w:r>
          </w:p>
        </w:tc>
        <w:tc>
          <w:tcPr>
            <w:tcW w:w="1260" w:type="dxa"/>
            <w:vAlign w:val="bottom"/>
            <w:gridSpan w:val="3"/>
          </w:tcPr>
          <w:p>
            <w:pPr>
              <w:ind w:left="120"/>
              <w:spacing w:after="0"/>
              <w:rPr>
                <w:sz w:val="20"/>
                <w:szCs w:val="20"/>
                <w:color w:val="auto"/>
              </w:rPr>
            </w:pPr>
            <w:r>
              <w:rPr>
                <w:rFonts w:ascii="Arial" w:cs="Arial" w:eastAsia="Arial" w:hAnsi="Arial"/>
                <w:sz w:val="16"/>
                <w:szCs w:val="16"/>
                <w:color w:val="231F20"/>
              </w:rPr>
              <w:t>gene ated by th</w:t>
            </w:r>
          </w:p>
        </w:tc>
        <w:tc>
          <w:tcPr>
            <w:tcW w:w="3380" w:type="dxa"/>
            <w:vAlign w:val="bottom"/>
            <w:gridSpan w:val="17"/>
          </w:tcPr>
          <w:p>
            <w:pPr>
              <w:jc w:val="right"/>
              <w:spacing w:after="0"/>
              <w:rPr>
                <w:sz w:val="20"/>
                <w:szCs w:val="20"/>
                <w:color w:val="auto"/>
              </w:rPr>
            </w:pPr>
            <w:r>
              <w:rPr>
                <w:rFonts w:ascii="Arial" w:cs="Arial" w:eastAsia="Arial" w:hAnsi="Arial"/>
                <w:sz w:val="16"/>
                <w:szCs w:val="16"/>
                <w:color w:val="231F20"/>
              </w:rPr>
              <w:t>Company. Management be eves th s measur</w:t>
            </w:r>
          </w:p>
        </w:tc>
        <w:tc>
          <w:tcPr>
            <w:tcW w:w="1360" w:type="dxa"/>
            <w:vAlign w:val="bottom"/>
            <w:gridSpan w:val="7"/>
          </w:tcPr>
          <w:p>
            <w:pPr>
              <w:ind w:left="200"/>
              <w:spacing w:after="0"/>
              <w:rPr>
                <w:sz w:val="20"/>
                <w:szCs w:val="20"/>
                <w:color w:val="auto"/>
              </w:rPr>
            </w:pPr>
            <w:r>
              <w:rPr>
                <w:rFonts w:ascii="Arial" w:cs="Arial" w:eastAsia="Arial" w:hAnsi="Arial"/>
                <w:sz w:val="16"/>
                <w:szCs w:val="16"/>
                <w:color w:val="231F20"/>
              </w:rPr>
              <w:t>rov des nvestor</w:t>
            </w:r>
          </w:p>
        </w:tc>
        <w:tc>
          <w:tcPr>
            <w:tcW w:w="100" w:type="dxa"/>
            <w:vAlign w:val="bottom"/>
          </w:tcPr>
          <w:p>
            <w:pPr>
              <w:spacing w:after="0"/>
              <w:rPr>
                <w:sz w:val="17"/>
                <w:szCs w:val="17"/>
                <w:color w:val="auto"/>
              </w:rPr>
            </w:pPr>
          </w:p>
        </w:tc>
        <w:tc>
          <w:tcPr>
            <w:tcW w:w="2640" w:type="dxa"/>
            <w:vAlign w:val="bottom"/>
            <w:gridSpan w:val="9"/>
          </w:tcPr>
          <w:p>
            <w:pPr>
              <w:jc w:val="right"/>
              <w:spacing w:after="0"/>
              <w:rPr>
                <w:sz w:val="20"/>
                <w:szCs w:val="20"/>
                <w:color w:val="auto"/>
              </w:rPr>
            </w:pPr>
            <w:r>
              <w:rPr>
                <w:rFonts w:ascii="Arial" w:cs="Arial" w:eastAsia="Arial" w:hAnsi="Arial"/>
                <w:sz w:val="16"/>
                <w:szCs w:val="16"/>
                <w:color w:val="231F20"/>
              </w:rPr>
              <w:t>w th he pfu su p ementa  nformat o</w:t>
            </w:r>
          </w:p>
        </w:tc>
        <w:tc>
          <w:tcPr>
            <w:tcW w:w="840" w:type="dxa"/>
            <w:vAlign w:val="bottom"/>
            <w:gridSpan w:val="2"/>
          </w:tcPr>
          <w:p>
            <w:pPr>
              <w:ind w:left="80"/>
              <w:spacing w:after="0"/>
              <w:rPr>
                <w:sz w:val="20"/>
                <w:szCs w:val="20"/>
                <w:color w:val="auto"/>
              </w:rPr>
            </w:pPr>
            <w:r>
              <w:rPr>
                <w:rFonts w:ascii="Arial" w:cs="Arial" w:eastAsia="Arial" w:hAnsi="Arial"/>
                <w:sz w:val="16"/>
                <w:szCs w:val="16"/>
                <w:color w:val="231F20"/>
              </w:rPr>
              <w:t>abo t th</w:t>
            </w:r>
          </w:p>
        </w:tc>
      </w:tr>
      <w:tr>
        <w:trPr>
          <w:trHeight w:val="202"/>
        </w:trPr>
        <w:tc>
          <w:tcPr>
            <w:tcW w:w="200" w:type="dxa"/>
            <w:vAlign w:val="bottom"/>
          </w:tcPr>
          <w:p>
            <w:pPr>
              <w:spacing w:after="0"/>
              <w:rPr>
                <w:sz w:val="17"/>
                <w:szCs w:val="17"/>
                <w:color w:val="auto"/>
              </w:rPr>
            </w:pPr>
          </w:p>
        </w:tc>
        <w:tc>
          <w:tcPr>
            <w:tcW w:w="1900" w:type="dxa"/>
            <w:vAlign w:val="bottom"/>
            <w:gridSpan w:val="6"/>
          </w:tcPr>
          <w:p>
            <w:pPr>
              <w:ind w:left="40"/>
              <w:spacing w:after="0"/>
              <w:rPr>
                <w:sz w:val="20"/>
                <w:szCs w:val="20"/>
                <w:color w:val="auto"/>
              </w:rPr>
            </w:pPr>
            <w:r>
              <w:rPr>
                <w:rFonts w:ascii="Arial" w:cs="Arial" w:eastAsia="Arial" w:hAnsi="Arial"/>
                <w:sz w:val="16"/>
                <w:szCs w:val="16"/>
                <w:color w:val="231F20"/>
              </w:rPr>
              <w:t>Compa y s ab  ty to fund</w:t>
            </w:r>
          </w:p>
        </w:tc>
        <w:tc>
          <w:tcPr>
            <w:tcW w:w="1180" w:type="dxa"/>
            <w:vAlign w:val="bottom"/>
            <w:gridSpan w:val="5"/>
          </w:tcPr>
          <w:p>
            <w:pPr>
              <w:ind w:left="40"/>
              <w:spacing w:after="0"/>
              <w:rPr>
                <w:sz w:val="20"/>
                <w:szCs w:val="20"/>
                <w:color w:val="auto"/>
              </w:rPr>
            </w:pPr>
            <w:r>
              <w:rPr>
                <w:rFonts w:ascii="Arial" w:cs="Arial" w:eastAsia="Arial" w:hAnsi="Arial"/>
                <w:sz w:val="16"/>
                <w:szCs w:val="16"/>
                <w:color w:val="231F20"/>
              </w:rPr>
              <w:t>nterna growth</w:t>
            </w:r>
          </w:p>
        </w:tc>
        <w:tc>
          <w:tcPr>
            <w:tcW w:w="1200" w:type="dxa"/>
            <w:vAlign w:val="bottom"/>
            <w:gridSpan w:val="7"/>
          </w:tcPr>
          <w:p>
            <w:pPr>
              <w:spacing w:after="0"/>
              <w:rPr>
                <w:sz w:val="20"/>
                <w:szCs w:val="20"/>
                <w:color w:val="auto"/>
              </w:rPr>
            </w:pPr>
            <w:r>
              <w:rPr>
                <w:rFonts w:ascii="Arial" w:cs="Arial" w:eastAsia="Arial" w:hAnsi="Arial"/>
                <w:sz w:val="16"/>
                <w:szCs w:val="16"/>
                <w:color w:val="231F20"/>
              </w:rPr>
              <w:t>make acqu s t o</w:t>
            </w:r>
          </w:p>
        </w:tc>
        <w:tc>
          <w:tcPr>
            <w:tcW w:w="640" w:type="dxa"/>
            <w:vAlign w:val="bottom"/>
            <w:gridSpan w:val="3"/>
          </w:tcPr>
          <w:p>
            <w:pPr>
              <w:ind w:left="120"/>
              <w:spacing w:after="0"/>
              <w:rPr>
                <w:sz w:val="20"/>
                <w:szCs w:val="20"/>
                <w:color w:val="auto"/>
              </w:rPr>
            </w:pPr>
            <w:r>
              <w:rPr>
                <w:rFonts w:ascii="Arial" w:cs="Arial" w:eastAsia="Arial" w:hAnsi="Arial"/>
                <w:sz w:val="16"/>
                <w:szCs w:val="16"/>
                <w:color w:val="231F20"/>
              </w:rPr>
              <w:t>a d re</w:t>
            </w:r>
          </w:p>
        </w:tc>
        <w:tc>
          <w:tcPr>
            <w:tcW w:w="1420" w:type="dxa"/>
            <w:vAlign w:val="bottom"/>
            <w:gridSpan w:val="7"/>
          </w:tcPr>
          <w:p>
            <w:pPr>
              <w:ind w:left="40"/>
              <w:spacing w:after="0"/>
              <w:rPr>
                <w:sz w:val="20"/>
                <w:szCs w:val="20"/>
                <w:color w:val="auto"/>
              </w:rPr>
            </w:pPr>
            <w:r>
              <w:rPr>
                <w:rFonts w:ascii="Arial" w:cs="Arial" w:eastAsia="Arial" w:hAnsi="Arial"/>
                <w:sz w:val="16"/>
                <w:szCs w:val="16"/>
                <w:color w:val="231F20"/>
              </w:rPr>
              <w:t>ay debt a d re ated</w:t>
            </w:r>
          </w:p>
        </w:tc>
        <w:tc>
          <w:tcPr>
            <w:tcW w:w="2560" w:type="dxa"/>
            <w:vAlign w:val="bottom"/>
            <w:gridSpan w:val="10"/>
          </w:tcPr>
          <w:p>
            <w:pPr>
              <w:ind w:left="80"/>
              <w:spacing w:after="0"/>
              <w:rPr>
                <w:sz w:val="20"/>
                <w:szCs w:val="20"/>
                <w:color w:val="auto"/>
              </w:rPr>
            </w:pPr>
            <w:r>
              <w:rPr>
                <w:rFonts w:ascii="Arial" w:cs="Arial" w:eastAsia="Arial" w:hAnsi="Arial"/>
                <w:sz w:val="16"/>
                <w:szCs w:val="16"/>
                <w:color w:val="231F20"/>
              </w:rPr>
              <w:t>nterest. Th s measur  may be nco</w:t>
            </w:r>
          </w:p>
        </w:tc>
        <w:tc>
          <w:tcPr>
            <w:tcW w:w="1140" w:type="dxa"/>
            <w:vAlign w:val="bottom"/>
            <w:gridSpan w:val="3"/>
          </w:tcPr>
          <w:p>
            <w:pPr>
              <w:jc w:val="right"/>
              <w:ind w:right="179"/>
              <w:spacing w:after="0"/>
              <w:rPr>
                <w:sz w:val="20"/>
                <w:szCs w:val="20"/>
                <w:color w:val="auto"/>
              </w:rPr>
            </w:pPr>
            <w:r>
              <w:rPr>
                <w:rFonts w:ascii="Arial" w:cs="Arial" w:eastAsia="Arial" w:hAnsi="Arial"/>
                <w:sz w:val="16"/>
                <w:szCs w:val="16"/>
                <w:color w:val="231F20"/>
              </w:rPr>
              <w:t>s stent w th</w:t>
            </w:r>
          </w:p>
        </w:tc>
      </w:tr>
      <w:tr>
        <w:trPr>
          <w:trHeight w:val="202"/>
        </w:trPr>
        <w:tc>
          <w:tcPr>
            <w:tcW w:w="200" w:type="dxa"/>
            <w:vAlign w:val="bottom"/>
          </w:tcPr>
          <w:p>
            <w:pPr>
              <w:spacing w:after="0"/>
              <w:rPr>
                <w:sz w:val="17"/>
                <w:szCs w:val="17"/>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231F20"/>
              </w:rPr>
              <w:t>s m a</w:t>
            </w:r>
          </w:p>
        </w:tc>
        <w:tc>
          <w:tcPr>
            <w:tcW w:w="1260" w:type="dxa"/>
            <w:vAlign w:val="bottom"/>
            <w:gridSpan w:val="3"/>
          </w:tcPr>
          <w:p>
            <w:pPr>
              <w:ind w:left="80"/>
              <w:spacing w:after="0"/>
              <w:rPr>
                <w:sz w:val="20"/>
                <w:szCs w:val="20"/>
                <w:color w:val="auto"/>
              </w:rPr>
            </w:pPr>
            <w:r>
              <w:rPr>
                <w:rFonts w:ascii="Arial" w:cs="Arial" w:eastAsia="Arial" w:hAnsi="Arial"/>
                <w:sz w:val="16"/>
                <w:szCs w:val="16"/>
                <w:color w:val="231F20"/>
              </w:rPr>
              <w:t>measures prese</w:t>
            </w:r>
          </w:p>
        </w:tc>
        <w:tc>
          <w:tcPr>
            <w:tcW w:w="960" w:type="dxa"/>
            <w:vAlign w:val="bottom"/>
            <w:gridSpan w:val="4"/>
          </w:tcPr>
          <w:p>
            <w:pPr>
              <w:ind w:left="60"/>
              <w:spacing w:after="0"/>
              <w:rPr>
                <w:sz w:val="20"/>
                <w:szCs w:val="20"/>
                <w:color w:val="auto"/>
              </w:rPr>
            </w:pPr>
            <w:r>
              <w:rPr>
                <w:rFonts w:ascii="Arial" w:cs="Arial" w:eastAsia="Arial" w:hAnsi="Arial"/>
                <w:sz w:val="16"/>
                <w:szCs w:val="16"/>
                <w:color w:val="231F20"/>
              </w:rPr>
              <w:t>ted by othe</w:t>
            </w:r>
          </w:p>
        </w:tc>
        <w:tc>
          <w:tcPr>
            <w:tcW w:w="560" w:type="dxa"/>
            <w:vAlign w:val="bottom"/>
            <w:gridSpan w:val="3"/>
          </w:tcPr>
          <w:p>
            <w:pPr>
              <w:jc w:val="center"/>
              <w:spacing w:after="0"/>
              <w:rPr>
                <w:sz w:val="20"/>
                <w:szCs w:val="20"/>
                <w:color w:val="auto"/>
              </w:rPr>
            </w:pPr>
            <w:r>
              <w:rPr>
                <w:rFonts w:ascii="Arial" w:cs="Arial" w:eastAsia="Arial" w:hAnsi="Arial"/>
                <w:sz w:val="16"/>
                <w:szCs w:val="16"/>
                <w:color w:val="231F20"/>
              </w:rPr>
              <w:t>compa</w:t>
            </w:r>
          </w:p>
        </w:tc>
        <w:tc>
          <w:tcPr>
            <w:tcW w:w="420" w:type="dxa"/>
            <w:vAlign w:val="bottom"/>
            <w:gridSpan w:val="2"/>
          </w:tcPr>
          <w:p>
            <w:pPr>
              <w:ind w:left="80"/>
              <w:spacing w:after="0"/>
              <w:rPr>
                <w:sz w:val="20"/>
                <w:szCs w:val="20"/>
                <w:color w:val="auto"/>
              </w:rPr>
            </w:pPr>
            <w:r>
              <w:rPr>
                <w:rFonts w:ascii="Arial" w:cs="Arial" w:eastAsia="Arial" w:hAnsi="Arial"/>
                <w:sz w:val="16"/>
                <w:szCs w:val="16"/>
                <w:color w:val="231F20"/>
              </w:rPr>
              <w:t>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44"/>
        </w:trPr>
        <w:tc>
          <w:tcPr>
            <w:tcW w:w="1560" w:type="dxa"/>
            <w:vAlign w:val="bottom"/>
            <w:gridSpan w:val="4"/>
          </w:tcPr>
          <w:p>
            <w:pPr>
              <w:spacing w:after="0"/>
              <w:rPr>
                <w:sz w:val="20"/>
                <w:szCs w:val="20"/>
                <w:color w:val="auto"/>
              </w:rPr>
            </w:pPr>
            <w:r>
              <w:rPr>
                <w:rFonts w:ascii="Arial" w:cs="Arial" w:eastAsia="Arial" w:hAnsi="Arial"/>
                <w:sz w:val="16"/>
                <w:szCs w:val="16"/>
                <w:color w:val="231F20"/>
                <w:w w:val="99"/>
              </w:rPr>
              <w:t>(d) At Corporate, othe</w:t>
            </w:r>
          </w:p>
        </w:tc>
        <w:tc>
          <w:tcPr>
            <w:tcW w:w="680" w:type="dxa"/>
            <w:vAlign w:val="bottom"/>
            <w:gridSpan w:val="4"/>
          </w:tcPr>
          <w:p>
            <w:pPr>
              <w:ind w:left="100"/>
              <w:spacing w:after="0"/>
              <w:rPr>
                <w:sz w:val="20"/>
                <w:szCs w:val="20"/>
                <w:color w:val="auto"/>
              </w:rPr>
            </w:pPr>
            <w:r>
              <w:rPr>
                <w:rFonts w:ascii="Arial" w:cs="Arial" w:eastAsia="Arial" w:hAnsi="Arial"/>
                <w:sz w:val="16"/>
                <w:szCs w:val="16"/>
                <w:color w:val="231F20"/>
              </w:rPr>
              <w:t>charge</w:t>
            </w:r>
          </w:p>
        </w:tc>
        <w:tc>
          <w:tcPr>
            <w:tcW w:w="820" w:type="dxa"/>
            <w:vAlign w:val="bottom"/>
            <w:gridSpan w:val="3"/>
          </w:tcPr>
          <w:p>
            <w:pPr>
              <w:jc w:val="right"/>
              <w:spacing w:after="0"/>
              <w:rPr>
                <w:sz w:val="20"/>
                <w:szCs w:val="20"/>
                <w:color w:val="auto"/>
              </w:rPr>
            </w:pPr>
            <w:r>
              <w:rPr>
                <w:rFonts w:ascii="Arial" w:cs="Arial" w:eastAsia="Arial" w:hAnsi="Arial"/>
                <w:sz w:val="16"/>
                <w:szCs w:val="16"/>
                <w:color w:val="231F20"/>
              </w:rPr>
              <w:t>a so nc ud</w:t>
            </w:r>
          </w:p>
        </w:tc>
        <w:tc>
          <w:tcPr>
            <w:tcW w:w="380" w:type="dxa"/>
            <w:vAlign w:val="bottom"/>
            <w:gridSpan w:val="2"/>
          </w:tcPr>
          <w:p>
            <w:pPr>
              <w:ind w:left="140"/>
              <w:spacing w:after="0"/>
              <w:rPr>
                <w:sz w:val="20"/>
                <w:szCs w:val="20"/>
                <w:color w:val="auto"/>
              </w:rPr>
            </w:pPr>
            <w:r>
              <w:rPr>
                <w:rFonts w:ascii="Arial" w:cs="Arial" w:eastAsia="Arial" w:hAnsi="Arial"/>
                <w:sz w:val="16"/>
                <w:szCs w:val="16"/>
                <w:color w:val="231F20"/>
              </w:rPr>
              <w:t>ex</w:t>
            </w:r>
          </w:p>
        </w:tc>
        <w:tc>
          <w:tcPr>
            <w:tcW w:w="860" w:type="dxa"/>
            <w:vAlign w:val="bottom"/>
            <w:gridSpan w:val="5"/>
          </w:tcPr>
          <w:p>
            <w:pPr>
              <w:ind w:left="20"/>
              <w:spacing w:after="0"/>
              <w:rPr>
                <w:sz w:val="20"/>
                <w:szCs w:val="20"/>
                <w:color w:val="auto"/>
              </w:rPr>
            </w:pPr>
            <w:r>
              <w:rPr>
                <w:rFonts w:ascii="Arial" w:cs="Arial" w:eastAsia="Arial" w:hAnsi="Arial"/>
                <w:sz w:val="16"/>
                <w:szCs w:val="16"/>
                <w:color w:val="231F20"/>
                <w:w w:val="96"/>
              </w:rPr>
              <w:t>end tures of</w:t>
            </w:r>
          </w:p>
        </w:tc>
        <w:tc>
          <w:tcPr>
            <w:tcW w:w="700" w:type="dxa"/>
            <w:vAlign w:val="bottom"/>
            <w:gridSpan w:val="3"/>
          </w:tcPr>
          <w:p>
            <w:pPr>
              <w:jc w:val="center"/>
              <w:ind w:left="19"/>
              <w:spacing w:after="0"/>
              <w:rPr>
                <w:sz w:val="20"/>
                <w:szCs w:val="20"/>
                <w:color w:val="auto"/>
              </w:rPr>
            </w:pPr>
            <w:r>
              <w:rPr>
                <w:rFonts w:ascii="Arial" w:cs="Arial" w:eastAsia="Arial" w:hAnsi="Arial"/>
                <w:sz w:val="16"/>
                <w:szCs w:val="16"/>
                <w:color w:val="231F20"/>
                <w:w w:val="97"/>
              </w:rPr>
              <w:t>$19.7 mi</w:t>
            </w:r>
          </w:p>
        </w:tc>
        <w:tc>
          <w:tcPr>
            <w:tcW w:w="520" w:type="dxa"/>
            <w:vAlign w:val="bottom"/>
            <w:gridSpan w:val="3"/>
          </w:tcPr>
          <w:p>
            <w:pPr>
              <w:ind w:left="100"/>
              <w:spacing w:after="0"/>
              <w:rPr>
                <w:sz w:val="20"/>
                <w:szCs w:val="20"/>
                <w:color w:val="auto"/>
              </w:rPr>
            </w:pPr>
            <w:r>
              <w:rPr>
                <w:rFonts w:ascii="Arial" w:cs="Arial" w:eastAsia="Arial" w:hAnsi="Arial"/>
                <w:sz w:val="16"/>
                <w:szCs w:val="16"/>
                <w:color w:val="231F20"/>
              </w:rPr>
              <w:t>on fo</w:t>
            </w:r>
          </w:p>
        </w:tc>
        <w:tc>
          <w:tcPr>
            <w:tcW w:w="200" w:type="dxa"/>
            <w:vAlign w:val="bottom"/>
          </w:tcPr>
          <w:p>
            <w:pPr>
              <w:ind w:left="40"/>
              <w:spacing w:after="0"/>
              <w:rPr>
                <w:sz w:val="20"/>
                <w:szCs w:val="20"/>
                <w:color w:val="auto"/>
              </w:rPr>
            </w:pPr>
            <w:r>
              <w:rPr>
                <w:rFonts w:ascii="Arial" w:cs="Arial" w:eastAsia="Arial" w:hAnsi="Arial"/>
                <w:sz w:val="16"/>
                <w:szCs w:val="16"/>
                <w:color w:val="231F20"/>
              </w:rPr>
              <w:t>th</w:t>
            </w:r>
          </w:p>
        </w:tc>
        <w:tc>
          <w:tcPr>
            <w:tcW w:w="680" w:type="dxa"/>
            <w:vAlign w:val="bottom"/>
            <w:gridSpan w:val="3"/>
          </w:tcPr>
          <w:p>
            <w:pPr>
              <w:jc w:val="right"/>
              <w:spacing w:after="0"/>
              <w:rPr>
                <w:sz w:val="20"/>
                <w:szCs w:val="20"/>
                <w:color w:val="auto"/>
              </w:rPr>
            </w:pPr>
            <w:r>
              <w:rPr>
                <w:rFonts w:ascii="Arial" w:cs="Arial" w:eastAsia="Arial" w:hAnsi="Arial"/>
                <w:sz w:val="16"/>
                <w:szCs w:val="16"/>
                <w:color w:val="231F20"/>
              </w:rPr>
              <w:t>f fty-tw</w:t>
            </w:r>
          </w:p>
        </w:tc>
        <w:tc>
          <w:tcPr>
            <w:tcW w:w="660" w:type="dxa"/>
            <w:vAlign w:val="bottom"/>
            <w:gridSpan w:val="4"/>
          </w:tcPr>
          <w:p>
            <w:pPr>
              <w:ind w:left="60"/>
              <w:spacing w:after="0"/>
              <w:rPr>
                <w:sz w:val="20"/>
                <w:szCs w:val="20"/>
                <w:color w:val="auto"/>
              </w:rPr>
            </w:pPr>
            <w:r>
              <w:rPr>
                <w:rFonts w:ascii="Arial" w:cs="Arial" w:eastAsia="Arial" w:hAnsi="Arial"/>
                <w:sz w:val="16"/>
                <w:szCs w:val="16"/>
                <w:color w:val="231F20"/>
              </w:rPr>
              <w:t>week  e</w:t>
            </w:r>
          </w:p>
        </w:tc>
        <w:tc>
          <w:tcPr>
            <w:tcW w:w="2560" w:type="dxa"/>
            <w:vAlign w:val="bottom"/>
            <w:gridSpan w:val="9"/>
          </w:tcPr>
          <w:p>
            <w:pPr>
              <w:jc w:val="right"/>
              <w:ind w:right="19"/>
              <w:spacing w:after="0"/>
              <w:rPr>
                <w:sz w:val="20"/>
                <w:szCs w:val="20"/>
                <w:color w:val="auto"/>
              </w:rPr>
            </w:pPr>
            <w:r>
              <w:rPr>
                <w:rFonts w:ascii="Arial" w:cs="Arial" w:eastAsia="Arial" w:hAnsi="Arial"/>
                <w:sz w:val="16"/>
                <w:szCs w:val="16"/>
                <w:color w:val="231F20"/>
              </w:rPr>
              <w:t>ded December 30, 2023, fo  exte</w:t>
            </w:r>
          </w:p>
        </w:tc>
        <w:tc>
          <w:tcPr>
            <w:tcW w:w="620" w:type="dxa"/>
            <w:vAlign w:val="bottom"/>
          </w:tcPr>
          <w:p>
            <w:pPr>
              <w:jc w:val="right"/>
              <w:ind w:right="359"/>
              <w:spacing w:after="0"/>
              <w:rPr>
                <w:sz w:val="20"/>
                <w:szCs w:val="20"/>
                <w:color w:val="auto"/>
              </w:rPr>
            </w:pPr>
            <w:r>
              <w:rPr>
                <w:rFonts w:ascii="Arial" w:cs="Arial" w:eastAsia="Arial" w:hAnsi="Arial"/>
                <w:sz w:val="16"/>
                <w:szCs w:val="16"/>
                <w:color w:val="231F20"/>
              </w:rPr>
              <w:t>al</w:t>
            </w:r>
          </w:p>
        </w:tc>
      </w:tr>
      <w:tr>
        <w:trPr>
          <w:trHeight w:val="202"/>
        </w:trPr>
        <w:tc>
          <w:tcPr>
            <w:tcW w:w="200" w:type="dxa"/>
            <w:vAlign w:val="bottom"/>
          </w:tcPr>
          <w:p>
            <w:pPr>
              <w:spacing w:after="0"/>
              <w:rPr>
                <w:sz w:val="17"/>
                <w:szCs w:val="17"/>
                <w:color w:val="auto"/>
              </w:rPr>
            </w:pPr>
          </w:p>
        </w:tc>
        <w:tc>
          <w:tcPr>
            <w:tcW w:w="1900" w:type="dxa"/>
            <w:vAlign w:val="bottom"/>
            <w:gridSpan w:val="6"/>
          </w:tcPr>
          <w:p>
            <w:pPr>
              <w:ind w:left="40"/>
              <w:spacing w:after="0"/>
              <w:rPr>
                <w:sz w:val="20"/>
                <w:szCs w:val="20"/>
                <w:color w:val="auto"/>
              </w:rPr>
            </w:pPr>
            <w:r>
              <w:rPr>
                <w:rFonts w:ascii="Arial" w:cs="Arial" w:eastAsia="Arial" w:hAnsi="Arial"/>
                <w:sz w:val="16"/>
                <w:szCs w:val="16"/>
                <w:color w:val="231F20"/>
              </w:rPr>
              <w:t>banking, ega , account n</w:t>
            </w:r>
          </w:p>
        </w:tc>
        <w:tc>
          <w:tcPr>
            <w:tcW w:w="780" w:type="dxa"/>
            <w:vAlign w:val="bottom"/>
            <w:gridSpan w:val="3"/>
          </w:tcPr>
          <w:p>
            <w:pPr>
              <w:jc w:val="right"/>
              <w:spacing w:after="0"/>
              <w:rPr>
                <w:sz w:val="20"/>
                <w:szCs w:val="20"/>
                <w:color w:val="auto"/>
              </w:rPr>
            </w:pPr>
            <w:r>
              <w:rPr>
                <w:rFonts w:ascii="Arial" w:cs="Arial" w:eastAsia="Arial" w:hAnsi="Arial"/>
                <w:sz w:val="16"/>
                <w:szCs w:val="16"/>
                <w:color w:val="231F20"/>
              </w:rPr>
              <w:t>a d othe</w:t>
            </w:r>
          </w:p>
        </w:tc>
        <w:tc>
          <w:tcPr>
            <w:tcW w:w="560" w:type="dxa"/>
            <w:vAlign w:val="bottom"/>
            <w:gridSpan w:val="3"/>
          </w:tcPr>
          <w:p>
            <w:pPr>
              <w:jc w:val="center"/>
              <w:spacing w:after="0"/>
              <w:rPr>
                <w:sz w:val="20"/>
                <w:szCs w:val="20"/>
                <w:color w:val="auto"/>
              </w:rPr>
            </w:pPr>
            <w:r>
              <w:rPr>
                <w:rFonts w:ascii="Arial" w:cs="Arial" w:eastAsia="Arial" w:hAnsi="Arial"/>
                <w:sz w:val="16"/>
                <w:szCs w:val="16"/>
                <w:color w:val="231F20"/>
                <w:w w:val="93"/>
              </w:rPr>
              <w:t>s m la</w:t>
            </w:r>
          </w:p>
        </w:tc>
        <w:tc>
          <w:tcPr>
            <w:tcW w:w="2080" w:type="dxa"/>
            <w:vAlign w:val="bottom"/>
            <w:gridSpan w:val="11"/>
          </w:tcPr>
          <w:p>
            <w:pPr>
              <w:ind w:left="20"/>
              <w:spacing w:after="0"/>
              <w:rPr>
                <w:sz w:val="20"/>
                <w:szCs w:val="20"/>
                <w:color w:val="auto"/>
              </w:rPr>
            </w:pPr>
            <w:r>
              <w:rPr>
                <w:rFonts w:ascii="Arial" w:cs="Arial" w:eastAsia="Arial" w:hAnsi="Arial"/>
                <w:sz w:val="16"/>
                <w:szCs w:val="16"/>
                <w:color w:val="231F20"/>
              </w:rPr>
              <w:t>se vices d rect y related to o</w:t>
            </w:r>
          </w:p>
        </w:tc>
        <w:tc>
          <w:tcPr>
            <w:tcW w:w="880" w:type="dxa"/>
            <w:vAlign w:val="bottom"/>
            <w:gridSpan w:val="4"/>
          </w:tcPr>
          <w:p>
            <w:pPr>
              <w:jc w:val="center"/>
              <w:spacing w:after="0"/>
              <w:rPr>
                <w:sz w:val="20"/>
                <w:szCs w:val="20"/>
                <w:color w:val="auto"/>
              </w:rPr>
            </w:pPr>
            <w:r>
              <w:rPr>
                <w:rFonts w:ascii="Arial" w:cs="Arial" w:eastAsia="Arial" w:hAnsi="Arial"/>
                <w:sz w:val="16"/>
                <w:szCs w:val="16"/>
                <w:color w:val="231F20"/>
                <w:w w:val="97"/>
              </w:rPr>
              <w:t>ASSA tra</w:t>
            </w:r>
          </w:p>
        </w:tc>
        <w:tc>
          <w:tcPr>
            <w:tcW w:w="860" w:type="dxa"/>
            <w:vAlign w:val="bottom"/>
            <w:gridSpan w:val="5"/>
          </w:tcPr>
          <w:p>
            <w:pPr>
              <w:spacing w:after="0"/>
              <w:rPr>
                <w:sz w:val="20"/>
                <w:szCs w:val="20"/>
                <w:color w:val="auto"/>
              </w:rPr>
            </w:pPr>
            <w:r>
              <w:rPr>
                <w:rFonts w:ascii="Arial" w:cs="Arial" w:eastAsia="Arial" w:hAnsi="Arial"/>
                <w:sz w:val="16"/>
                <w:szCs w:val="16"/>
                <w:color w:val="231F20"/>
              </w:rPr>
              <w:t>saction. Fo</w:t>
            </w:r>
          </w:p>
        </w:tc>
        <w:tc>
          <w:tcPr>
            <w:tcW w:w="2980" w:type="dxa"/>
            <w:vAlign w:val="bottom"/>
            <w:gridSpan w:val="9"/>
          </w:tcPr>
          <w:p>
            <w:pPr>
              <w:ind w:left="20"/>
              <w:spacing w:after="0"/>
              <w:rPr>
                <w:sz w:val="20"/>
                <w:szCs w:val="20"/>
                <w:color w:val="auto"/>
              </w:rPr>
            </w:pPr>
            <w:r>
              <w:rPr>
                <w:rFonts w:ascii="Arial" w:cs="Arial" w:eastAsia="Arial" w:hAnsi="Arial"/>
                <w:sz w:val="16"/>
                <w:szCs w:val="16"/>
                <w:color w:val="231F20"/>
              </w:rPr>
              <w:t>th  twelve months e ded December 31</w:t>
            </w:r>
          </w:p>
        </w:tc>
      </w:tr>
      <w:tr>
        <w:trPr>
          <w:trHeight w:val="202"/>
        </w:trPr>
        <w:tc>
          <w:tcPr>
            <w:tcW w:w="200" w:type="dxa"/>
            <w:vAlign w:val="bottom"/>
          </w:tcPr>
          <w:p>
            <w:pPr>
              <w:spacing w:after="0"/>
              <w:rPr>
                <w:sz w:val="17"/>
                <w:szCs w:val="17"/>
                <w:color w:val="auto"/>
              </w:rPr>
            </w:pPr>
          </w:p>
        </w:tc>
        <w:tc>
          <w:tcPr>
            <w:tcW w:w="1520" w:type="dxa"/>
            <w:vAlign w:val="bottom"/>
            <w:gridSpan w:val="4"/>
          </w:tcPr>
          <w:p>
            <w:pPr>
              <w:ind w:left="40"/>
              <w:spacing w:after="0"/>
              <w:rPr>
                <w:sz w:val="20"/>
                <w:szCs w:val="20"/>
                <w:color w:val="auto"/>
              </w:rPr>
            </w:pPr>
            <w:r>
              <w:rPr>
                <w:rFonts w:ascii="Arial" w:cs="Arial" w:eastAsia="Arial" w:hAnsi="Arial"/>
                <w:sz w:val="16"/>
                <w:szCs w:val="16"/>
                <w:color w:val="231F20"/>
              </w:rPr>
              <w:t>2022, othe  ch arge</w:t>
            </w:r>
          </w:p>
        </w:tc>
        <w:tc>
          <w:tcPr>
            <w:tcW w:w="520" w:type="dxa"/>
            <w:vAlign w:val="bottom"/>
            <w:gridSpan w:val="3"/>
          </w:tcPr>
          <w:p>
            <w:pPr>
              <w:ind w:left="40"/>
              <w:spacing w:after="0"/>
              <w:rPr>
                <w:sz w:val="20"/>
                <w:szCs w:val="20"/>
                <w:color w:val="auto"/>
              </w:rPr>
            </w:pPr>
            <w:r>
              <w:rPr>
                <w:rFonts w:ascii="Arial" w:cs="Arial" w:eastAsia="Arial" w:hAnsi="Arial"/>
                <w:sz w:val="16"/>
                <w:szCs w:val="16"/>
                <w:color w:val="231F20"/>
              </w:rPr>
              <w:t>nc ud</w:t>
            </w:r>
          </w:p>
        </w:tc>
        <w:tc>
          <w:tcPr>
            <w:tcW w:w="300" w:type="dxa"/>
            <w:vAlign w:val="bottom"/>
          </w:tcPr>
          <w:p>
            <w:pPr>
              <w:ind w:left="60"/>
              <w:spacing w:after="0"/>
              <w:rPr>
                <w:sz w:val="20"/>
                <w:szCs w:val="20"/>
                <w:color w:val="auto"/>
              </w:rPr>
            </w:pPr>
            <w:r>
              <w:rPr>
                <w:rFonts w:ascii="Arial" w:cs="Arial" w:eastAsia="Arial" w:hAnsi="Arial"/>
                <w:sz w:val="16"/>
                <w:szCs w:val="16"/>
                <w:color w:val="231F20"/>
              </w:rPr>
              <w:t>ex</w:t>
            </w:r>
          </w:p>
        </w:tc>
        <w:tc>
          <w:tcPr>
            <w:tcW w:w="1400" w:type="dxa"/>
            <w:vAlign w:val="bottom"/>
            <w:gridSpan w:val="7"/>
          </w:tcPr>
          <w:p>
            <w:pPr>
              <w:ind w:left="20"/>
              <w:spacing w:after="0"/>
              <w:rPr>
                <w:sz w:val="20"/>
                <w:szCs w:val="20"/>
                <w:color w:val="auto"/>
              </w:rPr>
            </w:pPr>
            <w:r>
              <w:rPr>
                <w:rFonts w:ascii="Arial" w:cs="Arial" w:eastAsia="Arial" w:hAnsi="Arial"/>
                <w:sz w:val="16"/>
                <w:szCs w:val="16"/>
                <w:color w:val="231F20"/>
                <w:w w:val="98"/>
              </w:rPr>
              <w:t>end tures of $3.3 m</w:t>
            </w:r>
          </w:p>
        </w:tc>
        <w:tc>
          <w:tcPr>
            <w:tcW w:w="360" w:type="dxa"/>
            <w:vAlign w:val="bottom"/>
            <w:gridSpan w:val="2"/>
          </w:tcPr>
          <w:p>
            <w:pPr>
              <w:ind w:left="140"/>
              <w:spacing w:after="0"/>
              <w:rPr>
                <w:sz w:val="20"/>
                <w:szCs w:val="20"/>
                <w:color w:val="auto"/>
              </w:rPr>
            </w:pPr>
            <w:r>
              <w:rPr>
                <w:rFonts w:ascii="Arial" w:cs="Arial" w:eastAsia="Arial" w:hAnsi="Arial"/>
                <w:sz w:val="16"/>
                <w:szCs w:val="16"/>
                <w:color w:val="231F20"/>
              </w:rPr>
              <w:t>o</w:t>
            </w:r>
          </w:p>
        </w:tc>
        <w:tc>
          <w:tcPr>
            <w:tcW w:w="180" w:type="dxa"/>
            <w:vAlign w:val="bottom"/>
          </w:tcPr>
          <w:p>
            <w:pPr>
              <w:ind w:left="20"/>
              <w:spacing w:after="0"/>
              <w:rPr>
                <w:sz w:val="20"/>
                <w:szCs w:val="20"/>
                <w:color w:val="auto"/>
              </w:rPr>
            </w:pPr>
            <w:r>
              <w:rPr>
                <w:rFonts w:ascii="Arial" w:cs="Arial" w:eastAsia="Arial" w:hAnsi="Arial"/>
                <w:sz w:val="16"/>
                <w:szCs w:val="16"/>
                <w:color w:val="231F20"/>
              </w:rPr>
              <w:t>fo</w:t>
            </w:r>
          </w:p>
        </w:tc>
        <w:tc>
          <w:tcPr>
            <w:tcW w:w="520" w:type="dxa"/>
            <w:vAlign w:val="bottom"/>
            <w:gridSpan w:val="2"/>
          </w:tcPr>
          <w:p>
            <w:pPr>
              <w:ind w:left="80"/>
              <w:spacing w:after="0"/>
              <w:rPr>
                <w:sz w:val="20"/>
                <w:szCs w:val="20"/>
                <w:color w:val="auto"/>
              </w:rPr>
            </w:pPr>
            <w:r>
              <w:rPr>
                <w:rFonts w:ascii="Arial" w:cs="Arial" w:eastAsia="Arial" w:hAnsi="Arial"/>
                <w:sz w:val="16"/>
                <w:szCs w:val="16"/>
                <w:color w:val="231F20"/>
              </w:rPr>
              <w:t>exter</w:t>
            </w:r>
          </w:p>
        </w:tc>
        <w:tc>
          <w:tcPr>
            <w:tcW w:w="120" w:type="dxa"/>
            <w:vAlign w:val="bottom"/>
          </w:tcPr>
          <w:p>
            <w:pPr>
              <w:spacing w:after="0"/>
              <w:rPr>
                <w:sz w:val="20"/>
                <w:szCs w:val="20"/>
                <w:color w:val="auto"/>
              </w:rPr>
            </w:pPr>
            <w:r>
              <w:rPr>
                <w:rFonts w:ascii="Arial" w:cs="Arial" w:eastAsia="Arial" w:hAnsi="Arial"/>
                <w:sz w:val="16"/>
                <w:szCs w:val="16"/>
                <w:color w:val="231F20"/>
              </w:rPr>
              <w:t>a</w:t>
            </w:r>
          </w:p>
        </w:tc>
        <w:tc>
          <w:tcPr>
            <w:tcW w:w="1640" w:type="dxa"/>
            <w:vAlign w:val="bottom"/>
            <w:gridSpan w:val="9"/>
          </w:tcPr>
          <w:p>
            <w:pPr>
              <w:ind w:left="40"/>
              <w:spacing w:after="0"/>
              <w:rPr>
                <w:sz w:val="20"/>
                <w:szCs w:val="20"/>
                <w:color w:val="auto"/>
              </w:rPr>
            </w:pPr>
            <w:r>
              <w:rPr>
                <w:rFonts w:ascii="Arial" w:cs="Arial" w:eastAsia="Arial" w:hAnsi="Arial"/>
                <w:sz w:val="16"/>
                <w:szCs w:val="16"/>
                <w:color w:val="231F20"/>
              </w:rPr>
              <w:t>bank ng, ega , accou</w:t>
            </w:r>
          </w:p>
        </w:tc>
        <w:tc>
          <w:tcPr>
            <w:tcW w:w="300" w:type="dxa"/>
            <w:vAlign w:val="bottom"/>
          </w:tcPr>
          <w:p>
            <w:pPr>
              <w:jc w:val="center"/>
              <w:ind w:right="119"/>
              <w:spacing w:after="0"/>
              <w:rPr>
                <w:sz w:val="20"/>
                <w:szCs w:val="20"/>
                <w:color w:val="auto"/>
              </w:rPr>
            </w:pPr>
            <w:r>
              <w:rPr>
                <w:rFonts w:ascii="Arial" w:cs="Arial" w:eastAsia="Arial" w:hAnsi="Arial"/>
                <w:sz w:val="16"/>
                <w:szCs w:val="16"/>
                <w:color w:val="231F20"/>
              </w:rPr>
              <w:t>t</w:t>
            </w:r>
          </w:p>
        </w:tc>
        <w:tc>
          <w:tcPr>
            <w:tcW w:w="200" w:type="dxa"/>
            <w:vAlign w:val="bottom"/>
          </w:tcPr>
          <w:p>
            <w:pPr>
              <w:ind w:left="40"/>
              <w:spacing w:after="0"/>
              <w:rPr>
                <w:sz w:val="20"/>
                <w:szCs w:val="20"/>
                <w:color w:val="auto"/>
              </w:rPr>
            </w:pPr>
            <w:r>
              <w:rPr>
                <w:rFonts w:ascii="Arial" w:cs="Arial" w:eastAsia="Arial" w:hAnsi="Arial"/>
                <w:sz w:val="16"/>
                <w:szCs w:val="16"/>
                <w:color w:val="231F20"/>
              </w:rPr>
              <w:t>a</w:t>
            </w:r>
          </w:p>
        </w:tc>
        <w:tc>
          <w:tcPr>
            <w:tcW w:w="2980" w:type="dxa"/>
            <w:vAlign w:val="bottom"/>
            <w:gridSpan w:val="9"/>
          </w:tcPr>
          <w:p>
            <w:pPr>
              <w:ind w:left="20"/>
              <w:spacing w:after="0"/>
              <w:rPr>
                <w:sz w:val="20"/>
                <w:szCs w:val="20"/>
                <w:color w:val="auto"/>
              </w:rPr>
            </w:pPr>
            <w:r>
              <w:rPr>
                <w:rFonts w:ascii="Arial" w:cs="Arial" w:eastAsia="Arial" w:hAnsi="Arial"/>
                <w:sz w:val="16"/>
                <w:szCs w:val="16"/>
                <w:color w:val="231F20"/>
              </w:rPr>
              <w:t>d othe  s m a  se v ces d rect y e ated to</w:t>
            </w:r>
          </w:p>
        </w:tc>
      </w:tr>
      <w:tr>
        <w:trPr>
          <w:trHeight w:val="202"/>
        </w:trPr>
        <w:tc>
          <w:tcPr>
            <w:tcW w:w="200" w:type="dxa"/>
            <w:vAlign w:val="bottom"/>
          </w:tcPr>
          <w:p>
            <w:pPr>
              <w:spacing w:after="0"/>
              <w:rPr>
                <w:sz w:val="17"/>
                <w:szCs w:val="17"/>
                <w:color w:val="auto"/>
              </w:rPr>
            </w:pPr>
          </w:p>
        </w:tc>
        <w:tc>
          <w:tcPr>
            <w:tcW w:w="1720" w:type="dxa"/>
            <w:vAlign w:val="bottom"/>
            <w:gridSpan w:val="5"/>
          </w:tcPr>
          <w:p>
            <w:pPr>
              <w:ind w:left="40"/>
              <w:spacing w:after="0"/>
              <w:rPr>
                <w:sz w:val="20"/>
                <w:szCs w:val="20"/>
                <w:color w:val="auto"/>
              </w:rPr>
            </w:pPr>
            <w:r>
              <w:rPr>
                <w:rFonts w:ascii="Arial" w:cs="Arial" w:eastAsia="Arial" w:hAnsi="Arial"/>
                <w:sz w:val="16"/>
                <w:szCs w:val="16"/>
                <w:color w:val="231F20"/>
              </w:rPr>
              <w:t>our ASSA tra sact o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44"/>
        </w:trPr>
        <w:tc>
          <w:tcPr>
            <w:tcW w:w="200" w:type="dxa"/>
            <w:vAlign w:val="bottom"/>
          </w:tcPr>
          <w:p>
            <w:pPr>
              <w:spacing w:after="0"/>
              <w:rPr>
                <w:sz w:val="20"/>
                <w:szCs w:val="20"/>
                <w:color w:val="auto"/>
              </w:rPr>
            </w:pPr>
            <w:r>
              <w:rPr>
                <w:rFonts w:ascii="Arial" w:cs="Arial" w:eastAsia="Arial" w:hAnsi="Arial"/>
                <w:sz w:val="16"/>
                <w:szCs w:val="16"/>
                <w:color w:val="231F20"/>
                <w:w w:val="91"/>
              </w:rPr>
              <w:t>(e)</w:t>
            </w:r>
          </w:p>
        </w:tc>
        <w:tc>
          <w:tcPr>
            <w:tcW w:w="1360" w:type="dxa"/>
            <w:vAlign w:val="bottom"/>
            <w:gridSpan w:val="3"/>
          </w:tcPr>
          <w:p>
            <w:pPr>
              <w:ind w:left="80"/>
              <w:spacing w:after="0"/>
              <w:rPr>
                <w:sz w:val="20"/>
                <w:szCs w:val="20"/>
                <w:color w:val="auto"/>
              </w:rPr>
            </w:pPr>
            <w:r>
              <w:rPr>
                <w:rFonts w:ascii="Arial" w:cs="Arial" w:eastAsia="Arial" w:hAnsi="Arial"/>
                <w:sz w:val="16"/>
                <w:szCs w:val="16"/>
                <w:color w:val="231F20"/>
              </w:rPr>
              <w:t>n Outd oors, othe</w:t>
            </w:r>
          </w:p>
        </w:tc>
        <w:tc>
          <w:tcPr>
            <w:tcW w:w="540" w:type="dxa"/>
            <w:vAlign w:val="bottom"/>
            <w:gridSpan w:val="3"/>
          </w:tcPr>
          <w:p>
            <w:pPr>
              <w:ind w:left="40"/>
              <w:spacing w:after="0"/>
              <w:rPr>
                <w:sz w:val="20"/>
                <w:szCs w:val="20"/>
                <w:color w:val="auto"/>
              </w:rPr>
            </w:pPr>
            <w:r>
              <w:rPr>
                <w:rFonts w:ascii="Arial" w:cs="Arial" w:eastAsia="Arial" w:hAnsi="Arial"/>
                <w:sz w:val="16"/>
                <w:szCs w:val="16"/>
                <w:color w:val="231F20"/>
                <w:w w:val="98"/>
              </w:rPr>
              <w:t>charge</w:t>
            </w:r>
          </w:p>
        </w:tc>
        <w:tc>
          <w:tcPr>
            <w:tcW w:w="14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231F20"/>
              </w:rPr>
              <w:t>nc ud  charge</w:t>
            </w:r>
          </w:p>
        </w:tc>
        <w:tc>
          <w:tcPr>
            <w:tcW w:w="300" w:type="dxa"/>
            <w:vAlign w:val="bottom"/>
            <w:gridSpan w:val="2"/>
          </w:tcPr>
          <w:p>
            <w:pPr>
              <w:ind w:left="120"/>
              <w:spacing w:after="0"/>
              <w:rPr>
                <w:sz w:val="20"/>
                <w:szCs w:val="20"/>
                <w:color w:val="auto"/>
              </w:rPr>
            </w:pPr>
            <w:r>
              <w:rPr>
                <w:rFonts w:ascii="Arial" w:cs="Arial" w:eastAsia="Arial" w:hAnsi="Arial"/>
                <w:sz w:val="16"/>
                <w:szCs w:val="16"/>
                <w:color w:val="231F20"/>
              </w:rPr>
              <w:t>fo</w:t>
            </w:r>
          </w:p>
        </w:tc>
        <w:tc>
          <w:tcPr>
            <w:tcW w:w="720" w:type="dxa"/>
            <w:vAlign w:val="bottom"/>
            <w:gridSpan w:val="4"/>
          </w:tcPr>
          <w:p>
            <w:pPr>
              <w:ind w:left="60"/>
              <w:spacing w:after="0"/>
              <w:rPr>
                <w:sz w:val="20"/>
                <w:szCs w:val="20"/>
                <w:color w:val="auto"/>
              </w:rPr>
            </w:pPr>
            <w:r>
              <w:rPr>
                <w:rFonts w:ascii="Arial" w:cs="Arial" w:eastAsia="Arial" w:hAnsi="Arial"/>
                <w:sz w:val="16"/>
                <w:szCs w:val="16"/>
                <w:color w:val="231F20"/>
              </w:rPr>
              <w:t>a compe</w:t>
            </w:r>
          </w:p>
        </w:tc>
        <w:tc>
          <w:tcPr>
            <w:tcW w:w="1000" w:type="dxa"/>
            <w:vAlign w:val="bottom"/>
            <w:gridSpan w:val="5"/>
          </w:tcPr>
          <w:p>
            <w:pPr>
              <w:jc w:val="center"/>
              <w:spacing w:after="0"/>
              <w:rPr>
                <w:sz w:val="20"/>
                <w:szCs w:val="20"/>
                <w:color w:val="auto"/>
              </w:rPr>
            </w:pPr>
            <w:r>
              <w:rPr>
                <w:rFonts w:ascii="Arial" w:cs="Arial" w:eastAsia="Arial" w:hAnsi="Arial"/>
                <w:sz w:val="16"/>
                <w:szCs w:val="16"/>
                <w:color w:val="231F20"/>
              </w:rPr>
              <w:t>sat o  arran</w:t>
            </w:r>
          </w:p>
        </w:tc>
        <w:tc>
          <w:tcPr>
            <w:tcW w:w="1100" w:type="dxa"/>
            <w:vAlign w:val="bottom"/>
            <w:gridSpan w:val="5"/>
          </w:tcPr>
          <w:p>
            <w:pPr>
              <w:ind w:left="20"/>
              <w:spacing w:after="0"/>
              <w:rPr>
                <w:sz w:val="20"/>
                <w:szCs w:val="20"/>
                <w:color w:val="auto"/>
              </w:rPr>
            </w:pPr>
            <w:r>
              <w:rPr>
                <w:rFonts w:ascii="Arial" w:cs="Arial" w:eastAsia="Arial" w:hAnsi="Arial"/>
                <w:sz w:val="16"/>
                <w:szCs w:val="16"/>
                <w:color w:val="231F20"/>
              </w:rPr>
              <w:t>eme t with th</w:t>
            </w:r>
          </w:p>
        </w:tc>
        <w:tc>
          <w:tcPr>
            <w:tcW w:w="940" w:type="dxa"/>
            <w:vAlign w:val="bottom"/>
            <w:gridSpan w:val="6"/>
          </w:tcPr>
          <w:p>
            <w:pPr>
              <w:ind w:left="20"/>
              <w:spacing w:after="0"/>
              <w:rPr>
                <w:sz w:val="20"/>
                <w:szCs w:val="20"/>
                <w:color w:val="auto"/>
              </w:rPr>
            </w:pPr>
            <w:r>
              <w:rPr>
                <w:rFonts w:ascii="Arial" w:cs="Arial" w:eastAsia="Arial" w:hAnsi="Arial"/>
                <w:sz w:val="16"/>
                <w:szCs w:val="16"/>
                <w:color w:val="231F20"/>
              </w:rPr>
              <w:t>former ow e</w:t>
            </w:r>
          </w:p>
        </w:tc>
        <w:tc>
          <w:tcPr>
            <w:tcW w:w="640" w:type="dxa"/>
            <w:vAlign w:val="bottom"/>
            <w:gridSpan w:val="2"/>
          </w:tcPr>
          <w:p>
            <w:pPr>
              <w:ind w:left="80"/>
              <w:spacing w:after="0"/>
              <w:rPr>
                <w:sz w:val="20"/>
                <w:szCs w:val="20"/>
                <w:color w:val="auto"/>
              </w:rPr>
            </w:pPr>
            <w:r>
              <w:rPr>
                <w:rFonts w:ascii="Arial" w:cs="Arial" w:eastAsia="Arial" w:hAnsi="Arial"/>
                <w:sz w:val="16"/>
                <w:szCs w:val="16"/>
                <w:color w:val="231F20"/>
              </w:rPr>
              <w:t>of So a</w:t>
            </w:r>
          </w:p>
        </w:tc>
        <w:tc>
          <w:tcPr>
            <w:tcW w:w="1420" w:type="dxa"/>
            <w:vAlign w:val="bottom"/>
            <w:gridSpan w:val="4"/>
          </w:tcPr>
          <w:p>
            <w:pPr>
              <w:jc w:val="right"/>
              <w:spacing w:after="0"/>
              <w:rPr>
                <w:sz w:val="20"/>
                <w:szCs w:val="20"/>
                <w:color w:val="auto"/>
              </w:rPr>
            </w:pPr>
            <w:r>
              <w:rPr>
                <w:rFonts w:ascii="Arial" w:cs="Arial" w:eastAsia="Arial" w:hAnsi="Arial"/>
                <w:sz w:val="16"/>
                <w:szCs w:val="16"/>
                <w:color w:val="231F20"/>
              </w:rPr>
              <w:t>c assif ed n se ing</w:t>
            </w:r>
          </w:p>
        </w:tc>
        <w:tc>
          <w:tcPr>
            <w:tcW w:w="220" w:type="dxa"/>
            <w:vAlign w:val="bottom"/>
          </w:tcPr>
          <w:p>
            <w:pPr>
              <w:jc w:val="center"/>
              <w:spacing w:after="0"/>
              <w:rPr>
                <w:sz w:val="20"/>
                <w:szCs w:val="20"/>
                <w:color w:val="auto"/>
              </w:rPr>
            </w:pPr>
            <w:r>
              <w:rPr>
                <w:rFonts w:ascii="Arial" w:cs="Arial" w:eastAsia="Arial" w:hAnsi="Arial"/>
                <w:sz w:val="16"/>
                <w:szCs w:val="16"/>
                <w:color w:val="231F20"/>
              </w:rPr>
              <w:t>ge</w:t>
            </w:r>
          </w:p>
        </w:tc>
        <w:tc>
          <w:tcPr>
            <w:tcW w:w="620" w:type="dxa"/>
            <w:vAlign w:val="bottom"/>
          </w:tcPr>
          <w:p>
            <w:pPr>
              <w:jc w:val="right"/>
              <w:ind w:right="219"/>
              <w:spacing w:after="0"/>
              <w:rPr>
                <w:sz w:val="20"/>
                <w:szCs w:val="20"/>
                <w:color w:val="auto"/>
              </w:rPr>
            </w:pPr>
            <w:r>
              <w:rPr>
                <w:rFonts w:ascii="Arial" w:cs="Arial" w:eastAsia="Arial" w:hAnsi="Arial"/>
                <w:sz w:val="16"/>
                <w:szCs w:val="16"/>
                <w:color w:val="231F20"/>
              </w:rPr>
              <w:t>era</w:t>
            </w:r>
          </w:p>
        </w:tc>
      </w:tr>
      <w:tr>
        <w:trPr>
          <w:trHeight w:val="202"/>
        </w:trPr>
        <w:tc>
          <w:tcPr>
            <w:tcW w:w="20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231F20"/>
              </w:rPr>
              <w:t>a</w:t>
            </w:r>
          </w:p>
        </w:tc>
        <w:tc>
          <w:tcPr>
            <w:tcW w:w="2860" w:type="dxa"/>
            <w:vAlign w:val="bottom"/>
            <w:gridSpan w:val="10"/>
          </w:tcPr>
          <w:p>
            <w:pPr>
              <w:spacing w:after="0"/>
              <w:rPr>
                <w:sz w:val="20"/>
                <w:szCs w:val="20"/>
                <w:color w:val="auto"/>
              </w:rPr>
            </w:pPr>
            <w:r>
              <w:rPr>
                <w:rFonts w:ascii="Arial" w:cs="Arial" w:eastAsia="Arial" w:hAnsi="Arial"/>
                <w:sz w:val="16"/>
                <w:szCs w:val="16"/>
                <w:color w:val="231F20"/>
              </w:rPr>
              <w:t>d admin strat ve ex enses of $2.7 mi lio</w:t>
            </w:r>
          </w:p>
        </w:tc>
        <w:tc>
          <w:tcPr>
            <w:tcW w:w="300" w:type="dxa"/>
            <w:vAlign w:val="bottom"/>
            <w:gridSpan w:val="2"/>
          </w:tcPr>
          <w:p>
            <w:pPr>
              <w:ind w:left="80"/>
              <w:spacing w:after="0"/>
              <w:rPr>
                <w:sz w:val="20"/>
                <w:szCs w:val="20"/>
                <w:color w:val="auto"/>
              </w:rPr>
            </w:pPr>
            <w:r>
              <w:rPr>
                <w:rFonts w:ascii="Arial" w:cs="Arial" w:eastAsia="Arial" w:hAnsi="Arial"/>
                <w:sz w:val="16"/>
                <w:szCs w:val="16"/>
                <w:color w:val="231F20"/>
              </w:rPr>
              <w:t>fo</w:t>
            </w:r>
          </w:p>
        </w:tc>
        <w:tc>
          <w:tcPr>
            <w:tcW w:w="280" w:type="dxa"/>
            <w:vAlign w:val="bottom"/>
          </w:tcPr>
          <w:p>
            <w:pPr>
              <w:spacing w:after="0"/>
              <w:rPr>
                <w:sz w:val="20"/>
                <w:szCs w:val="20"/>
                <w:color w:val="auto"/>
              </w:rPr>
            </w:pPr>
            <w:r>
              <w:rPr>
                <w:rFonts w:ascii="Arial" w:cs="Arial" w:eastAsia="Arial" w:hAnsi="Arial"/>
                <w:sz w:val="16"/>
                <w:szCs w:val="16"/>
                <w:color w:val="231F20"/>
              </w:rPr>
              <w:t>th</w:t>
            </w:r>
          </w:p>
        </w:tc>
        <w:tc>
          <w:tcPr>
            <w:tcW w:w="620" w:type="dxa"/>
            <w:vAlign w:val="bottom"/>
            <w:gridSpan w:val="4"/>
          </w:tcPr>
          <w:p>
            <w:pPr>
              <w:spacing w:after="0"/>
              <w:rPr>
                <w:sz w:val="20"/>
                <w:szCs w:val="20"/>
                <w:color w:val="auto"/>
              </w:rPr>
            </w:pPr>
            <w:r>
              <w:rPr>
                <w:rFonts w:ascii="Arial" w:cs="Arial" w:eastAsia="Arial" w:hAnsi="Arial"/>
                <w:sz w:val="16"/>
                <w:szCs w:val="16"/>
                <w:color w:val="231F20"/>
              </w:rPr>
              <w:t>fifty-tw</w:t>
            </w:r>
          </w:p>
        </w:tc>
        <w:tc>
          <w:tcPr>
            <w:tcW w:w="520" w:type="dxa"/>
            <w:vAlign w:val="bottom"/>
            <w:gridSpan w:val="2"/>
          </w:tcPr>
          <w:p>
            <w:pPr>
              <w:jc w:val="center"/>
              <w:ind w:right="59"/>
              <w:spacing w:after="0"/>
              <w:rPr>
                <w:sz w:val="20"/>
                <w:szCs w:val="20"/>
                <w:color w:val="auto"/>
              </w:rPr>
            </w:pPr>
            <w:r>
              <w:rPr>
                <w:rFonts w:ascii="Arial" w:cs="Arial" w:eastAsia="Arial" w:hAnsi="Arial"/>
                <w:sz w:val="16"/>
                <w:szCs w:val="16"/>
                <w:color w:val="231F20"/>
              </w:rPr>
              <w:t>week</w:t>
            </w:r>
          </w:p>
        </w:tc>
        <w:tc>
          <w:tcPr>
            <w:tcW w:w="120" w:type="dxa"/>
            <w:vAlign w:val="bottom"/>
          </w:tcPr>
          <w:p>
            <w:pPr>
              <w:spacing w:after="0"/>
              <w:rPr>
                <w:sz w:val="20"/>
                <w:szCs w:val="20"/>
                <w:color w:val="auto"/>
              </w:rPr>
            </w:pPr>
            <w:r>
              <w:rPr>
                <w:rFonts w:ascii="Arial" w:cs="Arial" w:eastAsia="Arial" w:hAnsi="Arial"/>
                <w:sz w:val="16"/>
                <w:szCs w:val="16"/>
                <w:color w:val="231F20"/>
              </w:rPr>
              <w:t>e</w:t>
            </w:r>
          </w:p>
        </w:tc>
        <w:tc>
          <w:tcPr>
            <w:tcW w:w="1420" w:type="dxa"/>
            <w:vAlign w:val="bottom"/>
            <w:gridSpan w:val="7"/>
          </w:tcPr>
          <w:p>
            <w:pPr>
              <w:ind w:left="60"/>
              <w:spacing w:after="0"/>
              <w:rPr>
                <w:sz w:val="20"/>
                <w:szCs w:val="20"/>
                <w:color w:val="auto"/>
              </w:rPr>
            </w:pPr>
            <w:r>
              <w:rPr>
                <w:rFonts w:ascii="Arial" w:cs="Arial" w:eastAsia="Arial" w:hAnsi="Arial"/>
                <w:sz w:val="16"/>
                <w:szCs w:val="16"/>
                <w:color w:val="231F20"/>
              </w:rPr>
              <w:t>ded December 30</w:t>
            </w:r>
          </w:p>
        </w:tc>
        <w:tc>
          <w:tcPr>
            <w:tcW w:w="520" w:type="dxa"/>
            <w:vAlign w:val="bottom"/>
            <w:gridSpan w:val="3"/>
          </w:tcPr>
          <w:p>
            <w:pPr>
              <w:ind w:left="20"/>
              <w:spacing w:after="0"/>
              <w:rPr>
                <w:sz w:val="20"/>
                <w:szCs w:val="20"/>
                <w:color w:val="auto"/>
              </w:rPr>
            </w:pPr>
            <w:r>
              <w:rPr>
                <w:rFonts w:ascii="Arial" w:cs="Arial" w:eastAsia="Arial" w:hAnsi="Arial"/>
                <w:sz w:val="16"/>
                <w:szCs w:val="16"/>
                <w:color w:val="231F20"/>
              </w:rPr>
              <w:t>2023</w:t>
            </w:r>
          </w:p>
        </w:tc>
        <w:tc>
          <w:tcPr>
            <w:tcW w:w="200" w:type="dxa"/>
            <w:vAlign w:val="bottom"/>
          </w:tcPr>
          <w:p>
            <w:pPr>
              <w:ind w:left="20"/>
              <w:spacing w:after="0"/>
              <w:rPr>
                <w:sz w:val="20"/>
                <w:szCs w:val="20"/>
                <w:color w:val="auto"/>
              </w:rPr>
            </w:pPr>
            <w:r>
              <w:rPr>
                <w:rFonts w:ascii="Arial" w:cs="Arial" w:eastAsia="Arial" w:hAnsi="Arial"/>
                <w:sz w:val="16"/>
                <w:szCs w:val="16"/>
                <w:color w:val="231F20"/>
                <w:w w:val="85"/>
              </w:rPr>
              <w:t>Fo</w:t>
            </w:r>
          </w:p>
        </w:tc>
        <w:tc>
          <w:tcPr>
            <w:tcW w:w="8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231F20"/>
              </w:rPr>
              <w:t>th</w:t>
            </w:r>
          </w:p>
        </w:tc>
        <w:tc>
          <w:tcPr>
            <w:tcW w:w="1280" w:type="dxa"/>
            <w:vAlign w:val="bottom"/>
            <w:gridSpan w:val="3"/>
          </w:tcPr>
          <w:p>
            <w:pPr>
              <w:ind w:left="20"/>
              <w:spacing w:after="0"/>
              <w:rPr>
                <w:sz w:val="20"/>
                <w:szCs w:val="20"/>
                <w:color w:val="auto"/>
              </w:rPr>
            </w:pPr>
            <w:r>
              <w:rPr>
                <w:rFonts w:ascii="Arial" w:cs="Arial" w:eastAsia="Arial" w:hAnsi="Arial"/>
                <w:sz w:val="16"/>
                <w:szCs w:val="16"/>
                <w:color w:val="231F20"/>
              </w:rPr>
              <w:t>twe ve months e</w:t>
            </w:r>
          </w:p>
        </w:tc>
        <w:tc>
          <w:tcPr>
            <w:tcW w:w="1360" w:type="dxa"/>
            <w:vAlign w:val="bottom"/>
            <w:gridSpan w:val="4"/>
          </w:tcPr>
          <w:p>
            <w:pPr>
              <w:jc w:val="center"/>
              <w:spacing w:after="0"/>
              <w:rPr>
                <w:sz w:val="20"/>
                <w:szCs w:val="20"/>
                <w:color w:val="auto"/>
              </w:rPr>
            </w:pPr>
            <w:r>
              <w:rPr>
                <w:rFonts w:ascii="Arial" w:cs="Arial" w:eastAsia="Arial" w:hAnsi="Arial"/>
                <w:sz w:val="16"/>
                <w:szCs w:val="16"/>
                <w:color w:val="231F20"/>
                <w:w w:val="97"/>
              </w:rPr>
              <w:t>ded Dece mber 31</w:t>
            </w:r>
          </w:p>
        </w:tc>
      </w:tr>
      <w:tr>
        <w:trPr>
          <w:trHeight w:val="202"/>
        </w:trPr>
        <w:tc>
          <w:tcPr>
            <w:tcW w:w="200" w:type="dxa"/>
            <w:vAlign w:val="bottom"/>
          </w:tcPr>
          <w:p>
            <w:pPr>
              <w:spacing w:after="0"/>
              <w:rPr>
                <w:sz w:val="17"/>
                <w:szCs w:val="17"/>
                <w:color w:val="auto"/>
              </w:rPr>
            </w:pPr>
          </w:p>
        </w:tc>
        <w:tc>
          <w:tcPr>
            <w:tcW w:w="1520" w:type="dxa"/>
            <w:vAlign w:val="bottom"/>
            <w:gridSpan w:val="4"/>
          </w:tcPr>
          <w:p>
            <w:pPr>
              <w:ind w:left="40"/>
              <w:spacing w:after="0"/>
              <w:rPr>
                <w:sz w:val="20"/>
                <w:szCs w:val="20"/>
                <w:color w:val="auto"/>
              </w:rPr>
            </w:pPr>
            <w:r>
              <w:rPr>
                <w:rFonts w:ascii="Arial" w:cs="Arial" w:eastAsia="Arial" w:hAnsi="Arial"/>
                <w:sz w:val="16"/>
                <w:szCs w:val="16"/>
                <w:color w:val="231F20"/>
              </w:rPr>
              <w:t>2022, othe  charge</w:t>
            </w:r>
          </w:p>
        </w:tc>
        <w:tc>
          <w:tcPr>
            <w:tcW w:w="1340" w:type="dxa"/>
            <w:vAlign w:val="bottom"/>
            <w:gridSpan w:val="6"/>
          </w:tcPr>
          <w:p>
            <w:pPr>
              <w:spacing w:after="0"/>
              <w:rPr>
                <w:sz w:val="20"/>
                <w:szCs w:val="20"/>
                <w:color w:val="auto"/>
              </w:rPr>
            </w:pPr>
            <w:r>
              <w:rPr>
                <w:rFonts w:ascii="Arial" w:cs="Arial" w:eastAsia="Arial" w:hAnsi="Arial"/>
                <w:sz w:val="16"/>
                <w:szCs w:val="16"/>
                <w:color w:val="231F20"/>
              </w:rPr>
              <w:t>for a compe sat o</w:t>
            </w:r>
          </w:p>
        </w:tc>
        <w:tc>
          <w:tcPr>
            <w:tcW w:w="220" w:type="dxa"/>
            <w:vAlign w:val="bottom"/>
          </w:tcPr>
          <w:p>
            <w:pPr>
              <w:jc w:val="right"/>
              <w:spacing w:after="0"/>
              <w:rPr>
                <w:sz w:val="20"/>
                <w:szCs w:val="20"/>
                <w:color w:val="auto"/>
              </w:rPr>
            </w:pPr>
            <w:r>
              <w:rPr>
                <w:rFonts w:ascii="Arial" w:cs="Arial" w:eastAsia="Arial" w:hAnsi="Arial"/>
                <w:sz w:val="16"/>
                <w:szCs w:val="16"/>
                <w:color w:val="231F20"/>
              </w:rPr>
              <w:t>a</w:t>
            </w:r>
          </w:p>
        </w:tc>
        <w:tc>
          <w:tcPr>
            <w:tcW w:w="660" w:type="dxa"/>
            <w:vAlign w:val="bottom"/>
            <w:gridSpan w:val="4"/>
          </w:tcPr>
          <w:p>
            <w:pPr>
              <w:ind w:left="60"/>
              <w:spacing w:after="0"/>
              <w:rPr>
                <w:sz w:val="20"/>
                <w:szCs w:val="20"/>
                <w:color w:val="auto"/>
              </w:rPr>
            </w:pPr>
            <w:r>
              <w:rPr>
                <w:rFonts w:ascii="Arial" w:cs="Arial" w:eastAsia="Arial" w:hAnsi="Arial"/>
                <w:sz w:val="16"/>
                <w:szCs w:val="16"/>
                <w:color w:val="231F20"/>
              </w:rPr>
              <w:t>reeme t</w:t>
            </w:r>
          </w:p>
        </w:tc>
        <w:tc>
          <w:tcPr>
            <w:tcW w:w="540" w:type="dxa"/>
            <w:vAlign w:val="bottom"/>
            <w:gridSpan w:val="3"/>
          </w:tcPr>
          <w:p>
            <w:pPr>
              <w:ind w:left="40"/>
              <w:spacing w:after="0"/>
              <w:rPr>
                <w:sz w:val="20"/>
                <w:szCs w:val="20"/>
                <w:color w:val="auto"/>
              </w:rPr>
            </w:pPr>
            <w:r>
              <w:rPr>
                <w:rFonts w:ascii="Arial" w:cs="Arial" w:eastAsia="Arial" w:hAnsi="Arial"/>
                <w:sz w:val="16"/>
                <w:szCs w:val="16"/>
                <w:color w:val="231F20"/>
              </w:rPr>
              <w:t>with th</w:t>
            </w:r>
          </w:p>
        </w:tc>
        <w:tc>
          <w:tcPr>
            <w:tcW w:w="1040" w:type="dxa"/>
            <w:vAlign w:val="bottom"/>
            <w:gridSpan w:val="5"/>
          </w:tcPr>
          <w:p>
            <w:pPr>
              <w:ind w:left="120"/>
              <w:spacing w:after="0"/>
              <w:rPr>
                <w:sz w:val="20"/>
                <w:szCs w:val="20"/>
                <w:color w:val="auto"/>
              </w:rPr>
            </w:pPr>
            <w:r>
              <w:rPr>
                <w:rFonts w:ascii="Arial" w:cs="Arial" w:eastAsia="Arial" w:hAnsi="Arial"/>
                <w:sz w:val="16"/>
                <w:szCs w:val="16"/>
                <w:color w:val="231F20"/>
              </w:rPr>
              <w:t>former ow e</w:t>
            </w:r>
          </w:p>
        </w:tc>
        <w:tc>
          <w:tcPr>
            <w:tcW w:w="640" w:type="dxa"/>
            <w:vAlign w:val="bottom"/>
            <w:gridSpan w:val="3"/>
          </w:tcPr>
          <w:p>
            <w:pPr>
              <w:jc w:val="center"/>
              <w:spacing w:after="0"/>
              <w:rPr>
                <w:sz w:val="20"/>
                <w:szCs w:val="20"/>
                <w:color w:val="auto"/>
              </w:rPr>
            </w:pPr>
            <w:r>
              <w:rPr>
                <w:rFonts w:ascii="Arial" w:cs="Arial" w:eastAsia="Arial" w:hAnsi="Arial"/>
                <w:sz w:val="16"/>
                <w:szCs w:val="16"/>
                <w:color w:val="231F20"/>
                <w:w w:val="98"/>
              </w:rPr>
              <w:t>of So a</w:t>
            </w:r>
          </w:p>
        </w:tc>
        <w:tc>
          <w:tcPr>
            <w:tcW w:w="1440" w:type="dxa"/>
            <w:vAlign w:val="bottom"/>
            <w:gridSpan w:val="8"/>
          </w:tcPr>
          <w:p>
            <w:pPr>
              <w:jc w:val="center"/>
              <w:ind w:right="39"/>
              <w:spacing w:after="0"/>
              <w:rPr>
                <w:sz w:val="20"/>
                <w:szCs w:val="20"/>
                <w:color w:val="auto"/>
              </w:rPr>
            </w:pPr>
            <w:r>
              <w:rPr>
                <w:rFonts w:ascii="Arial" w:cs="Arial" w:eastAsia="Arial" w:hAnsi="Arial"/>
                <w:sz w:val="16"/>
                <w:szCs w:val="16"/>
                <w:color w:val="231F20"/>
              </w:rPr>
              <w:t>c ass f ed n se lin</w:t>
            </w:r>
          </w:p>
        </w:tc>
        <w:tc>
          <w:tcPr>
            <w:tcW w:w="2640" w:type="dxa"/>
            <w:vAlign w:val="bottom"/>
            <w:gridSpan w:val="7"/>
          </w:tcPr>
          <w:p>
            <w:pPr>
              <w:ind w:left="20"/>
              <w:spacing w:after="0"/>
              <w:rPr>
                <w:sz w:val="20"/>
                <w:szCs w:val="20"/>
                <w:color w:val="auto"/>
              </w:rPr>
            </w:pPr>
            <w:r>
              <w:rPr>
                <w:rFonts w:ascii="Arial" w:cs="Arial" w:eastAsia="Arial" w:hAnsi="Arial"/>
                <w:sz w:val="16"/>
                <w:szCs w:val="16"/>
                <w:color w:val="231F20"/>
              </w:rPr>
              <w:t>genera a d adm n strat ve ex e ses</w:t>
            </w:r>
          </w:p>
        </w:tc>
      </w:tr>
      <w:tr>
        <w:trPr>
          <w:trHeight w:val="202"/>
        </w:trPr>
        <w:tc>
          <w:tcPr>
            <w:tcW w:w="20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231F20"/>
              </w:rPr>
              <w:t>of</w:t>
            </w:r>
          </w:p>
        </w:tc>
        <w:tc>
          <w:tcPr>
            <w:tcW w:w="240" w:type="dxa"/>
            <w:vAlign w:val="bottom"/>
          </w:tcPr>
          <w:p>
            <w:pPr>
              <w:spacing w:after="0"/>
              <w:rPr>
                <w:sz w:val="20"/>
                <w:szCs w:val="20"/>
                <w:color w:val="auto"/>
              </w:rPr>
            </w:pPr>
            <w:r>
              <w:rPr>
                <w:rFonts w:ascii="Arial" w:cs="Arial" w:eastAsia="Arial" w:hAnsi="Arial"/>
                <w:sz w:val="16"/>
                <w:szCs w:val="16"/>
                <w:color w:val="231F20"/>
                <w:w w:val="98"/>
              </w:rPr>
              <w:t>$2.</w:t>
            </w:r>
          </w:p>
        </w:tc>
        <w:tc>
          <w:tcPr>
            <w:tcW w:w="900" w:type="dxa"/>
            <w:vAlign w:val="bottom"/>
          </w:tcPr>
          <w:p>
            <w:pPr>
              <w:ind w:left="100"/>
              <w:spacing w:after="0"/>
              <w:rPr>
                <w:sz w:val="20"/>
                <w:szCs w:val="20"/>
                <w:color w:val="auto"/>
              </w:rPr>
            </w:pPr>
            <w:r>
              <w:rPr>
                <w:rFonts w:ascii="Arial" w:cs="Arial" w:eastAsia="Arial" w:hAnsi="Arial"/>
                <w:sz w:val="16"/>
                <w:szCs w:val="16"/>
                <w:color w:val="231F20"/>
              </w:rPr>
              <w:t>million.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44"/>
        </w:trPr>
        <w:tc>
          <w:tcPr>
            <w:tcW w:w="200" w:type="dxa"/>
            <w:vAlign w:val="bottom"/>
          </w:tcPr>
          <w:p>
            <w:pPr>
              <w:spacing w:after="0"/>
              <w:rPr>
                <w:sz w:val="20"/>
                <w:szCs w:val="20"/>
                <w:color w:val="auto"/>
              </w:rPr>
            </w:pPr>
            <w:r>
              <w:rPr>
                <w:rFonts w:ascii="Arial" w:cs="Arial" w:eastAsia="Arial" w:hAnsi="Arial"/>
                <w:sz w:val="16"/>
                <w:szCs w:val="16"/>
                <w:color w:val="231F20"/>
              </w:rPr>
              <w:t>(f)</w:t>
            </w:r>
          </w:p>
        </w:tc>
        <w:tc>
          <w:tcPr>
            <w:tcW w:w="220" w:type="dxa"/>
            <w:vAlign w:val="bottom"/>
          </w:tcPr>
          <w:p>
            <w:pPr>
              <w:ind w:left="40"/>
              <w:spacing w:after="0"/>
              <w:rPr>
                <w:sz w:val="20"/>
                <w:szCs w:val="20"/>
                <w:color w:val="auto"/>
              </w:rPr>
            </w:pPr>
            <w:r>
              <w:rPr>
                <w:rFonts w:ascii="Arial" w:cs="Arial" w:eastAsia="Arial" w:hAnsi="Arial"/>
                <w:sz w:val="16"/>
                <w:szCs w:val="16"/>
                <w:color w:val="231F20"/>
                <w:w w:val="85"/>
              </w:rPr>
              <w:t>Fo</w:t>
            </w:r>
          </w:p>
        </w:tc>
        <w:tc>
          <w:tcPr>
            <w:tcW w:w="240" w:type="dxa"/>
            <w:vAlign w:val="bottom"/>
          </w:tcPr>
          <w:p>
            <w:pPr>
              <w:ind w:left="100"/>
              <w:spacing w:after="0"/>
              <w:rPr>
                <w:sz w:val="20"/>
                <w:szCs w:val="20"/>
                <w:color w:val="auto"/>
              </w:rPr>
            </w:pPr>
            <w:r>
              <w:rPr>
                <w:rFonts w:ascii="Arial" w:cs="Arial" w:eastAsia="Arial" w:hAnsi="Arial"/>
                <w:sz w:val="16"/>
                <w:szCs w:val="16"/>
                <w:color w:val="231F20"/>
                <w:w w:val="89"/>
              </w:rPr>
              <w:t>th</w:t>
            </w:r>
          </w:p>
        </w:tc>
        <w:tc>
          <w:tcPr>
            <w:tcW w:w="1260" w:type="dxa"/>
            <w:vAlign w:val="bottom"/>
            <w:gridSpan w:val="3"/>
          </w:tcPr>
          <w:p>
            <w:pPr>
              <w:ind w:left="120"/>
              <w:spacing w:after="0"/>
              <w:rPr>
                <w:sz w:val="20"/>
                <w:szCs w:val="20"/>
                <w:color w:val="auto"/>
              </w:rPr>
            </w:pPr>
            <w:r>
              <w:rPr>
                <w:rFonts w:ascii="Arial" w:cs="Arial" w:eastAsia="Arial" w:hAnsi="Arial"/>
                <w:sz w:val="16"/>
                <w:szCs w:val="16"/>
                <w:color w:val="231F20"/>
              </w:rPr>
              <w:t>f fty-tw  week</w:t>
            </w:r>
          </w:p>
        </w:tc>
        <w:tc>
          <w:tcPr>
            <w:tcW w:w="180" w:type="dxa"/>
            <w:vAlign w:val="bottom"/>
          </w:tcPr>
          <w:p>
            <w:pPr>
              <w:spacing w:after="0"/>
              <w:rPr>
                <w:sz w:val="20"/>
                <w:szCs w:val="20"/>
                <w:color w:val="auto"/>
              </w:rPr>
            </w:pPr>
            <w:r>
              <w:rPr>
                <w:rFonts w:ascii="Arial" w:cs="Arial" w:eastAsia="Arial" w:hAnsi="Arial"/>
                <w:sz w:val="16"/>
                <w:szCs w:val="16"/>
                <w:color w:val="231F20"/>
              </w:rPr>
              <w:t>e</w:t>
            </w:r>
          </w:p>
        </w:tc>
        <w:tc>
          <w:tcPr>
            <w:tcW w:w="1340" w:type="dxa"/>
            <w:vAlign w:val="bottom"/>
            <w:gridSpan w:val="6"/>
          </w:tcPr>
          <w:p>
            <w:pPr>
              <w:spacing w:after="0"/>
              <w:rPr>
                <w:sz w:val="20"/>
                <w:szCs w:val="20"/>
                <w:color w:val="auto"/>
              </w:rPr>
            </w:pPr>
            <w:r>
              <w:rPr>
                <w:rFonts w:ascii="Arial" w:cs="Arial" w:eastAsia="Arial" w:hAnsi="Arial"/>
                <w:sz w:val="16"/>
                <w:szCs w:val="16"/>
                <w:color w:val="231F20"/>
              </w:rPr>
              <w:t>ded December 30</w:t>
            </w:r>
          </w:p>
        </w:tc>
        <w:tc>
          <w:tcPr>
            <w:tcW w:w="420" w:type="dxa"/>
            <w:vAlign w:val="bottom"/>
            <w:gridSpan w:val="2"/>
          </w:tcPr>
          <w:p>
            <w:pPr>
              <w:ind w:left="60"/>
              <w:spacing w:after="0"/>
              <w:rPr>
                <w:sz w:val="20"/>
                <w:szCs w:val="20"/>
                <w:color w:val="auto"/>
              </w:rPr>
            </w:pPr>
            <w:r>
              <w:rPr>
                <w:rFonts w:ascii="Arial" w:cs="Arial" w:eastAsia="Arial" w:hAnsi="Arial"/>
                <w:sz w:val="16"/>
                <w:szCs w:val="16"/>
                <w:color w:val="231F20"/>
                <w:w w:val="95"/>
              </w:rPr>
              <w:t>2023</w:t>
            </w: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6"/>
                <w:szCs w:val="16"/>
                <w:color w:val="231F20"/>
              </w:rPr>
              <w:t>th</w:t>
            </w:r>
          </w:p>
        </w:tc>
        <w:tc>
          <w:tcPr>
            <w:tcW w:w="1020" w:type="dxa"/>
            <w:vAlign w:val="bottom"/>
            <w:gridSpan w:val="5"/>
          </w:tcPr>
          <w:p>
            <w:pPr>
              <w:ind w:left="120"/>
              <w:spacing w:after="0"/>
              <w:rPr>
                <w:sz w:val="20"/>
                <w:szCs w:val="20"/>
                <w:color w:val="auto"/>
              </w:rPr>
            </w:pPr>
            <w:r>
              <w:rPr>
                <w:rFonts w:ascii="Arial" w:cs="Arial" w:eastAsia="Arial" w:hAnsi="Arial"/>
                <w:sz w:val="16"/>
                <w:szCs w:val="16"/>
                <w:color w:val="231F20"/>
              </w:rPr>
              <w:t>amort zat o</w:t>
            </w:r>
          </w:p>
        </w:tc>
        <w:tc>
          <w:tcPr>
            <w:tcW w:w="180" w:type="dxa"/>
            <w:vAlign w:val="bottom"/>
          </w:tcPr>
          <w:p>
            <w:pPr>
              <w:ind w:left="40"/>
              <w:spacing w:after="0"/>
              <w:rPr>
                <w:sz w:val="20"/>
                <w:szCs w:val="20"/>
                <w:color w:val="auto"/>
              </w:rPr>
            </w:pPr>
            <w:r>
              <w:rPr>
                <w:rFonts w:ascii="Arial" w:cs="Arial" w:eastAsia="Arial" w:hAnsi="Arial"/>
                <w:sz w:val="16"/>
                <w:szCs w:val="16"/>
                <w:color w:val="231F20"/>
                <w:w w:val="89"/>
              </w:rPr>
              <w:t>of</w:t>
            </w:r>
          </w:p>
        </w:tc>
        <w:tc>
          <w:tcPr>
            <w:tcW w:w="1100" w:type="dxa"/>
            <w:vAlign w:val="bottom"/>
            <w:gridSpan w:val="5"/>
          </w:tcPr>
          <w:p>
            <w:pPr>
              <w:ind w:left="60"/>
              <w:spacing w:after="0"/>
              <w:rPr>
                <w:sz w:val="20"/>
                <w:szCs w:val="20"/>
                <w:color w:val="auto"/>
              </w:rPr>
            </w:pPr>
            <w:r>
              <w:rPr>
                <w:rFonts w:ascii="Arial" w:cs="Arial" w:eastAsia="Arial" w:hAnsi="Arial"/>
                <w:sz w:val="16"/>
                <w:szCs w:val="16"/>
                <w:color w:val="231F20"/>
              </w:rPr>
              <w:t>nventory step-</w:t>
            </w:r>
          </w:p>
        </w:tc>
        <w:tc>
          <w:tcPr>
            <w:tcW w:w="140" w:type="dxa"/>
            <w:vAlign w:val="bottom"/>
          </w:tcPr>
          <w:p>
            <w:pPr>
              <w:spacing w:after="0"/>
              <w:rPr>
                <w:sz w:val="24"/>
                <w:szCs w:val="24"/>
                <w:color w:val="auto"/>
              </w:rPr>
            </w:pPr>
          </w:p>
        </w:tc>
        <w:tc>
          <w:tcPr>
            <w:tcW w:w="1440" w:type="dxa"/>
            <w:vAlign w:val="bottom"/>
            <w:gridSpan w:val="7"/>
          </w:tcPr>
          <w:p>
            <w:pPr>
              <w:ind w:left="100"/>
              <w:spacing w:after="0"/>
              <w:rPr>
                <w:sz w:val="20"/>
                <w:szCs w:val="20"/>
                <w:color w:val="auto"/>
              </w:rPr>
            </w:pPr>
            <w:r>
              <w:rPr>
                <w:rFonts w:ascii="Arial" w:cs="Arial" w:eastAsia="Arial" w:hAnsi="Arial"/>
                <w:sz w:val="16"/>
                <w:szCs w:val="16"/>
                <w:color w:val="231F20"/>
              </w:rPr>
              <w:t>assoc ated w th th</w:t>
            </w:r>
          </w:p>
        </w:tc>
        <w:tc>
          <w:tcPr>
            <w:tcW w:w="2260" w:type="dxa"/>
            <w:vAlign w:val="bottom"/>
            <w:gridSpan w:val="6"/>
          </w:tcPr>
          <w:p>
            <w:pPr>
              <w:jc w:val="right"/>
              <w:ind w:right="399"/>
              <w:spacing w:after="0"/>
              <w:rPr>
                <w:sz w:val="20"/>
                <w:szCs w:val="20"/>
                <w:color w:val="auto"/>
              </w:rPr>
            </w:pPr>
            <w:r>
              <w:rPr>
                <w:rFonts w:ascii="Arial" w:cs="Arial" w:eastAsia="Arial" w:hAnsi="Arial"/>
                <w:sz w:val="16"/>
                <w:szCs w:val="16"/>
                <w:color w:val="231F20"/>
              </w:rPr>
              <w:t>acqu s t on of th  ASSA</w:t>
            </w:r>
          </w:p>
        </w:tc>
      </w:tr>
      <w:tr>
        <w:trPr>
          <w:trHeight w:val="202"/>
        </w:trPr>
        <w:tc>
          <w:tcPr>
            <w:tcW w:w="200" w:type="dxa"/>
            <w:vAlign w:val="bottom"/>
          </w:tcPr>
          <w:p>
            <w:pPr>
              <w:spacing w:after="0"/>
              <w:rPr>
                <w:sz w:val="17"/>
                <w:szCs w:val="17"/>
                <w:color w:val="auto"/>
              </w:rPr>
            </w:pPr>
          </w:p>
        </w:tc>
        <w:tc>
          <w:tcPr>
            <w:tcW w:w="1900" w:type="dxa"/>
            <w:vAlign w:val="bottom"/>
            <w:gridSpan w:val="6"/>
          </w:tcPr>
          <w:p>
            <w:pPr>
              <w:ind w:left="40"/>
              <w:spacing w:after="0"/>
              <w:rPr>
                <w:sz w:val="20"/>
                <w:szCs w:val="20"/>
                <w:color w:val="auto"/>
              </w:rPr>
            </w:pPr>
            <w:r>
              <w:rPr>
                <w:rFonts w:ascii="Arial" w:cs="Arial" w:eastAsia="Arial" w:hAnsi="Arial"/>
                <w:sz w:val="16"/>
                <w:szCs w:val="16"/>
                <w:color w:val="231F20"/>
              </w:rPr>
              <w:t>bus  ess wa  $3.5 m llio</w:t>
            </w:r>
          </w:p>
        </w:tc>
        <w:tc>
          <w:tcPr>
            <w:tcW w:w="140" w:type="dxa"/>
            <w:vAlign w:val="bottom"/>
          </w:tcPr>
          <w:p>
            <w:pPr>
              <w:ind w:left="20"/>
              <w:spacing w:after="0"/>
              <w:rPr>
                <w:sz w:val="20"/>
                <w:szCs w:val="20"/>
                <w:color w:val="auto"/>
              </w:rPr>
            </w:pPr>
            <w:r>
              <w:rPr>
                <w:rFonts w:ascii="Arial" w:cs="Arial" w:eastAsia="Arial" w:hAnsi="Arial"/>
                <w:sz w:val="16"/>
                <w:szCs w:val="16"/>
                <w:color w:val="231F20"/>
                <w:w w:val="74"/>
              </w:rPr>
              <w:t>fo</w:t>
            </w:r>
          </w:p>
        </w:tc>
        <w:tc>
          <w:tcPr>
            <w:tcW w:w="300" w:type="dxa"/>
            <w:vAlign w:val="bottom"/>
          </w:tcPr>
          <w:p>
            <w:pPr>
              <w:ind w:left="120"/>
              <w:spacing w:after="0"/>
              <w:rPr>
                <w:sz w:val="20"/>
                <w:szCs w:val="20"/>
                <w:color w:val="auto"/>
              </w:rPr>
            </w:pPr>
            <w:r>
              <w:rPr>
                <w:rFonts w:ascii="Arial" w:cs="Arial" w:eastAsia="Arial" w:hAnsi="Arial"/>
                <w:sz w:val="16"/>
                <w:szCs w:val="16"/>
                <w:color w:val="231F20"/>
              </w:rPr>
              <w:t>th</w:t>
            </w:r>
          </w:p>
        </w:tc>
        <w:tc>
          <w:tcPr>
            <w:tcW w:w="520" w:type="dxa"/>
            <w:vAlign w:val="bottom"/>
            <w:gridSpan w:val="2"/>
          </w:tcPr>
          <w:p>
            <w:pPr>
              <w:jc w:val="right"/>
              <w:spacing w:after="0"/>
              <w:rPr>
                <w:sz w:val="20"/>
                <w:szCs w:val="20"/>
                <w:color w:val="auto"/>
              </w:rPr>
            </w:pPr>
            <w:r>
              <w:rPr>
                <w:rFonts w:ascii="Arial" w:cs="Arial" w:eastAsia="Arial" w:hAnsi="Arial"/>
                <w:sz w:val="16"/>
                <w:szCs w:val="16"/>
                <w:color w:val="231F20"/>
              </w:rPr>
              <w:t>Wate</w:t>
            </w:r>
          </w:p>
        </w:tc>
        <w:tc>
          <w:tcPr>
            <w:tcW w:w="520" w:type="dxa"/>
            <w:vAlign w:val="bottom"/>
            <w:gridSpan w:val="3"/>
          </w:tcPr>
          <w:p>
            <w:pPr>
              <w:ind w:left="40"/>
              <w:spacing w:after="0"/>
              <w:rPr>
                <w:sz w:val="20"/>
                <w:szCs w:val="20"/>
                <w:color w:val="auto"/>
              </w:rPr>
            </w:pPr>
            <w:r>
              <w:rPr>
                <w:rFonts w:ascii="Arial" w:cs="Arial" w:eastAsia="Arial" w:hAnsi="Arial"/>
                <w:sz w:val="16"/>
                <w:szCs w:val="16"/>
                <w:color w:val="231F20"/>
                <w:w w:val="95"/>
              </w:rPr>
              <w:t>segme</w:t>
            </w:r>
          </w:p>
        </w:tc>
        <w:tc>
          <w:tcPr>
            <w:tcW w:w="280" w:type="dxa"/>
            <w:vAlign w:val="bottom"/>
          </w:tcPr>
          <w:p>
            <w:pPr>
              <w:ind w:left="80"/>
              <w:spacing w:after="0"/>
              <w:rPr>
                <w:sz w:val="20"/>
                <w:szCs w:val="20"/>
                <w:color w:val="auto"/>
              </w:rPr>
            </w:pPr>
            <w:r>
              <w:rPr>
                <w:rFonts w:ascii="Arial" w:cs="Arial" w:eastAsia="Arial" w:hAnsi="Arial"/>
                <w:sz w:val="16"/>
                <w:szCs w:val="16"/>
                <w:color w:val="231F20"/>
              </w:rPr>
              <w:t>t a</w:t>
            </w:r>
          </w:p>
        </w:tc>
        <w:tc>
          <w:tcPr>
            <w:tcW w:w="800" w:type="dxa"/>
            <w:vAlign w:val="bottom"/>
            <w:gridSpan w:val="5"/>
          </w:tcPr>
          <w:p>
            <w:pPr>
              <w:ind w:left="80"/>
              <w:spacing w:after="0"/>
              <w:rPr>
                <w:sz w:val="20"/>
                <w:szCs w:val="20"/>
                <w:color w:val="auto"/>
              </w:rPr>
            </w:pPr>
            <w:r>
              <w:rPr>
                <w:rFonts w:ascii="Arial" w:cs="Arial" w:eastAsia="Arial" w:hAnsi="Arial"/>
                <w:sz w:val="16"/>
                <w:szCs w:val="16"/>
                <w:color w:val="231F20"/>
              </w:rPr>
              <w:t>d $8.9 m</w:t>
            </w:r>
          </w:p>
        </w:tc>
        <w:tc>
          <w:tcPr>
            <w:tcW w:w="460" w:type="dxa"/>
            <w:vAlign w:val="bottom"/>
            <w:gridSpan w:val="2"/>
          </w:tcPr>
          <w:p>
            <w:pPr>
              <w:ind w:left="20"/>
              <w:spacing w:after="0"/>
              <w:rPr>
                <w:sz w:val="20"/>
                <w:szCs w:val="20"/>
                <w:color w:val="auto"/>
              </w:rPr>
            </w:pPr>
            <w:r>
              <w:rPr>
                <w:rFonts w:ascii="Arial" w:cs="Arial" w:eastAsia="Arial" w:hAnsi="Arial"/>
                <w:sz w:val="16"/>
                <w:szCs w:val="16"/>
                <w:color w:val="231F20"/>
              </w:rPr>
              <w:t>ion fo</w:t>
            </w:r>
          </w:p>
        </w:tc>
        <w:tc>
          <w:tcPr>
            <w:tcW w:w="180" w:type="dxa"/>
            <w:vAlign w:val="bottom"/>
          </w:tcPr>
          <w:p>
            <w:pPr>
              <w:ind w:left="60"/>
              <w:spacing w:after="0"/>
              <w:rPr>
                <w:sz w:val="20"/>
                <w:szCs w:val="20"/>
                <w:color w:val="auto"/>
              </w:rPr>
            </w:pPr>
            <w:r>
              <w:rPr>
                <w:rFonts w:ascii="Arial" w:cs="Arial" w:eastAsia="Arial" w:hAnsi="Arial"/>
                <w:sz w:val="16"/>
                <w:szCs w:val="16"/>
                <w:color w:val="231F20"/>
                <w:w w:val="74"/>
              </w:rPr>
              <w:t>th</w:t>
            </w:r>
          </w:p>
        </w:tc>
        <w:tc>
          <w:tcPr>
            <w:tcW w:w="1360" w:type="dxa"/>
            <w:vAlign w:val="bottom"/>
            <w:gridSpan w:val="7"/>
          </w:tcPr>
          <w:p>
            <w:pPr>
              <w:ind w:left="160"/>
              <w:spacing w:after="0"/>
              <w:rPr>
                <w:sz w:val="20"/>
                <w:szCs w:val="20"/>
                <w:color w:val="auto"/>
              </w:rPr>
            </w:pPr>
            <w:r>
              <w:rPr>
                <w:rFonts w:ascii="Arial" w:cs="Arial" w:eastAsia="Arial" w:hAnsi="Arial"/>
                <w:sz w:val="16"/>
                <w:szCs w:val="16"/>
                <w:color w:val="231F20"/>
              </w:rPr>
              <w:t>Sec r ty segme</w:t>
            </w:r>
          </w:p>
        </w:tc>
        <w:tc>
          <w:tcPr>
            <w:tcW w:w="100" w:type="dxa"/>
            <w:vAlign w:val="bottom"/>
          </w:tcPr>
          <w:p>
            <w:pPr>
              <w:spacing w:after="0"/>
              <w:rPr>
                <w:sz w:val="20"/>
                <w:szCs w:val="20"/>
                <w:color w:val="auto"/>
              </w:rPr>
            </w:pPr>
            <w:r>
              <w:rPr>
                <w:rFonts w:ascii="Arial" w:cs="Arial" w:eastAsia="Arial" w:hAnsi="Arial"/>
                <w:sz w:val="16"/>
                <w:szCs w:val="16"/>
                <w:color w:val="231F20"/>
              </w:rPr>
              <w:t>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44"/>
        </w:trPr>
        <w:tc>
          <w:tcPr>
            <w:tcW w:w="660" w:type="dxa"/>
            <w:vAlign w:val="bottom"/>
            <w:gridSpan w:val="3"/>
          </w:tcPr>
          <w:p>
            <w:pPr>
              <w:spacing w:after="0"/>
              <w:rPr>
                <w:sz w:val="20"/>
                <w:szCs w:val="20"/>
                <w:color w:val="auto"/>
              </w:rPr>
            </w:pPr>
            <w:r>
              <w:rPr>
                <w:rFonts w:ascii="Arial" w:cs="Arial" w:eastAsia="Arial" w:hAnsi="Arial"/>
                <w:sz w:val="16"/>
                <w:szCs w:val="16"/>
                <w:color w:val="231F20"/>
                <w:w w:val="99"/>
              </w:rPr>
              <w:t>(g) Asset</w:t>
            </w:r>
          </w:p>
        </w:tc>
        <w:tc>
          <w:tcPr>
            <w:tcW w:w="1440" w:type="dxa"/>
            <w:vAlign w:val="bottom"/>
            <w:gridSpan w:val="4"/>
          </w:tcPr>
          <w:p>
            <w:pPr>
              <w:ind w:left="60"/>
              <w:spacing w:after="0"/>
              <w:rPr>
                <w:sz w:val="20"/>
                <w:szCs w:val="20"/>
                <w:color w:val="auto"/>
              </w:rPr>
            </w:pPr>
            <w:r>
              <w:rPr>
                <w:rFonts w:ascii="Arial" w:cs="Arial" w:eastAsia="Arial" w:hAnsi="Arial"/>
                <w:sz w:val="16"/>
                <w:szCs w:val="16"/>
                <w:color w:val="231F20"/>
              </w:rPr>
              <w:t>m a rment ch arge</w:t>
            </w:r>
          </w:p>
        </w:tc>
        <w:tc>
          <w:tcPr>
            <w:tcW w:w="440" w:type="dxa"/>
            <w:vAlign w:val="bottom"/>
            <w:gridSpan w:val="2"/>
          </w:tcPr>
          <w:p>
            <w:pPr>
              <w:ind w:left="60"/>
              <w:spacing w:after="0"/>
              <w:rPr>
                <w:sz w:val="20"/>
                <w:szCs w:val="20"/>
                <w:color w:val="auto"/>
              </w:rPr>
            </w:pPr>
            <w:r>
              <w:rPr>
                <w:rFonts w:ascii="Arial" w:cs="Arial" w:eastAsia="Arial" w:hAnsi="Arial"/>
                <w:sz w:val="16"/>
                <w:szCs w:val="16"/>
                <w:color w:val="231F20"/>
              </w:rPr>
              <w:t>fo th</w:t>
            </w: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231F20"/>
              </w:rPr>
              <w:t>f fty-tw</w:t>
            </w:r>
          </w:p>
        </w:tc>
        <w:tc>
          <w:tcPr>
            <w:tcW w:w="660" w:type="dxa"/>
            <w:vAlign w:val="bottom"/>
            <w:gridSpan w:val="4"/>
          </w:tcPr>
          <w:p>
            <w:pPr>
              <w:ind w:left="20"/>
              <w:spacing w:after="0"/>
              <w:rPr>
                <w:sz w:val="20"/>
                <w:szCs w:val="20"/>
                <w:color w:val="auto"/>
              </w:rPr>
            </w:pPr>
            <w:r>
              <w:rPr>
                <w:rFonts w:ascii="Arial" w:cs="Arial" w:eastAsia="Arial" w:hAnsi="Arial"/>
                <w:sz w:val="16"/>
                <w:szCs w:val="16"/>
                <w:color w:val="231F20"/>
              </w:rPr>
              <w:t>week  e</w:t>
            </w:r>
          </w:p>
        </w:tc>
        <w:tc>
          <w:tcPr>
            <w:tcW w:w="1360" w:type="dxa"/>
            <w:vAlign w:val="bottom"/>
            <w:gridSpan w:val="7"/>
          </w:tcPr>
          <w:p>
            <w:pPr>
              <w:jc w:val="right"/>
              <w:spacing w:after="0"/>
              <w:rPr>
                <w:sz w:val="20"/>
                <w:szCs w:val="20"/>
                <w:color w:val="auto"/>
              </w:rPr>
            </w:pPr>
            <w:r>
              <w:rPr>
                <w:rFonts w:ascii="Arial" w:cs="Arial" w:eastAsia="Arial" w:hAnsi="Arial"/>
                <w:sz w:val="16"/>
                <w:szCs w:val="16"/>
                <w:color w:val="231F20"/>
              </w:rPr>
              <w:t>ded December 30</w:t>
            </w:r>
          </w:p>
        </w:tc>
        <w:tc>
          <w:tcPr>
            <w:tcW w:w="700" w:type="dxa"/>
            <w:vAlign w:val="bottom"/>
            <w:gridSpan w:val="3"/>
          </w:tcPr>
          <w:p>
            <w:pPr>
              <w:ind w:left="80"/>
              <w:spacing w:after="0"/>
              <w:rPr>
                <w:sz w:val="20"/>
                <w:szCs w:val="20"/>
                <w:color w:val="auto"/>
              </w:rPr>
            </w:pPr>
            <w:r>
              <w:rPr>
                <w:rFonts w:ascii="Arial" w:cs="Arial" w:eastAsia="Arial" w:hAnsi="Arial"/>
                <w:sz w:val="16"/>
                <w:szCs w:val="16"/>
                <w:color w:val="231F20"/>
              </w:rPr>
              <w:t>2023 re</w:t>
            </w:r>
          </w:p>
        </w:tc>
        <w:tc>
          <w:tcPr>
            <w:tcW w:w="400" w:type="dxa"/>
            <w:vAlign w:val="bottom"/>
            <w:gridSpan w:val="2"/>
          </w:tcPr>
          <w:p>
            <w:pPr>
              <w:jc w:val="right"/>
              <w:spacing w:after="0"/>
              <w:rPr>
                <w:sz w:val="20"/>
                <w:szCs w:val="20"/>
                <w:color w:val="auto"/>
              </w:rPr>
            </w:pPr>
            <w:r>
              <w:rPr>
                <w:rFonts w:ascii="Arial" w:cs="Arial" w:eastAsia="Arial" w:hAnsi="Arial"/>
                <w:sz w:val="16"/>
                <w:szCs w:val="16"/>
                <w:color w:val="231F20"/>
                <w:w w:val="96"/>
              </w:rPr>
              <w:t>rese</w:t>
            </w:r>
          </w:p>
        </w:tc>
        <w:tc>
          <w:tcPr>
            <w:tcW w:w="140" w:type="dxa"/>
            <w:vAlign w:val="bottom"/>
          </w:tcPr>
          <w:p>
            <w:pPr>
              <w:ind w:left="20"/>
              <w:spacing w:after="0"/>
              <w:rPr>
                <w:sz w:val="20"/>
                <w:szCs w:val="20"/>
                <w:color w:val="auto"/>
              </w:rPr>
            </w:pPr>
            <w:r>
              <w:rPr>
                <w:rFonts w:ascii="Arial" w:cs="Arial" w:eastAsia="Arial" w:hAnsi="Arial"/>
                <w:sz w:val="16"/>
                <w:szCs w:val="16"/>
                <w:color w:val="231F20"/>
              </w:rPr>
              <w:t>t</w:t>
            </w:r>
          </w:p>
        </w:tc>
        <w:tc>
          <w:tcPr>
            <w:tcW w:w="720" w:type="dxa"/>
            <w:vAlign w:val="bottom"/>
            <w:gridSpan w:val="4"/>
          </w:tcPr>
          <w:p>
            <w:pPr>
              <w:ind w:left="80"/>
              <w:spacing w:after="0"/>
              <w:rPr>
                <w:sz w:val="20"/>
                <w:szCs w:val="20"/>
                <w:color w:val="auto"/>
              </w:rPr>
            </w:pPr>
            <w:r>
              <w:rPr>
                <w:rFonts w:ascii="Arial" w:cs="Arial" w:eastAsia="Arial" w:hAnsi="Arial"/>
                <w:sz w:val="16"/>
                <w:szCs w:val="16"/>
                <w:color w:val="231F20"/>
              </w:rPr>
              <w:t>retax m</w:t>
            </w:r>
          </w:p>
        </w:tc>
        <w:tc>
          <w:tcPr>
            <w:tcW w:w="1200" w:type="dxa"/>
            <w:vAlign w:val="bottom"/>
            <w:gridSpan w:val="4"/>
          </w:tcPr>
          <w:p>
            <w:pPr>
              <w:ind w:left="20"/>
              <w:spacing w:after="0"/>
              <w:rPr>
                <w:sz w:val="20"/>
                <w:szCs w:val="20"/>
                <w:color w:val="auto"/>
              </w:rPr>
            </w:pPr>
            <w:r>
              <w:rPr>
                <w:rFonts w:ascii="Arial" w:cs="Arial" w:eastAsia="Arial" w:hAnsi="Arial"/>
                <w:sz w:val="16"/>
                <w:szCs w:val="16"/>
                <w:color w:val="231F20"/>
              </w:rPr>
              <w:t>a rment ch arge</w:t>
            </w:r>
          </w:p>
        </w:tc>
        <w:tc>
          <w:tcPr>
            <w:tcW w:w="940" w:type="dxa"/>
            <w:vAlign w:val="bottom"/>
            <w:gridSpan w:val="3"/>
          </w:tcPr>
          <w:p>
            <w:pPr>
              <w:jc w:val="right"/>
              <w:ind w:right="59"/>
              <w:spacing w:after="0"/>
              <w:rPr>
                <w:sz w:val="20"/>
                <w:szCs w:val="20"/>
                <w:color w:val="auto"/>
              </w:rPr>
            </w:pPr>
            <w:r>
              <w:rPr>
                <w:rFonts w:ascii="Arial" w:cs="Arial" w:eastAsia="Arial" w:hAnsi="Arial"/>
                <w:sz w:val="16"/>
                <w:szCs w:val="16"/>
                <w:color w:val="231F20"/>
              </w:rPr>
              <w:t>of $33 5 m</w:t>
            </w:r>
          </w:p>
        </w:tc>
        <w:tc>
          <w:tcPr>
            <w:tcW w:w="220" w:type="dxa"/>
            <w:vAlign w:val="bottom"/>
          </w:tcPr>
          <w:p>
            <w:pPr>
              <w:jc w:val="right"/>
              <w:ind w:right="39"/>
              <w:spacing w:after="0"/>
              <w:rPr>
                <w:sz w:val="20"/>
                <w:szCs w:val="20"/>
                <w:color w:val="auto"/>
              </w:rPr>
            </w:pPr>
            <w:r>
              <w:rPr>
                <w:rFonts w:ascii="Arial" w:cs="Arial" w:eastAsia="Arial" w:hAnsi="Arial"/>
                <w:sz w:val="16"/>
                <w:szCs w:val="16"/>
                <w:color w:val="231F20"/>
                <w:w w:val="89"/>
              </w:rPr>
              <w:t>o</w:t>
            </w:r>
          </w:p>
        </w:tc>
        <w:tc>
          <w:tcPr>
            <w:tcW w:w="620" w:type="dxa"/>
            <w:vAlign w:val="bottom"/>
          </w:tcPr>
          <w:p>
            <w:pPr>
              <w:ind w:left="20"/>
              <w:spacing w:after="0"/>
              <w:rPr>
                <w:sz w:val="20"/>
                <w:szCs w:val="20"/>
                <w:color w:val="auto"/>
              </w:rPr>
            </w:pPr>
            <w:r>
              <w:rPr>
                <w:rFonts w:ascii="Arial" w:cs="Arial" w:eastAsia="Arial" w:hAnsi="Arial"/>
                <w:sz w:val="16"/>
                <w:szCs w:val="16"/>
                <w:color w:val="231F20"/>
              </w:rPr>
              <w:t>re ated</w:t>
            </w:r>
          </w:p>
        </w:tc>
      </w:tr>
      <w:tr>
        <w:trPr>
          <w:trHeight w:val="202"/>
        </w:trPr>
        <w:tc>
          <w:tcPr>
            <w:tcW w:w="20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231F20"/>
              </w:rPr>
              <w:t>to</w:t>
            </w:r>
          </w:p>
        </w:tc>
        <w:tc>
          <w:tcPr>
            <w:tcW w:w="1500" w:type="dxa"/>
            <w:vAlign w:val="bottom"/>
            <w:gridSpan w:val="4"/>
          </w:tcPr>
          <w:p>
            <w:pPr>
              <w:ind w:left="40"/>
              <w:spacing w:after="0"/>
              <w:rPr>
                <w:sz w:val="20"/>
                <w:szCs w:val="20"/>
                <w:color w:val="auto"/>
              </w:rPr>
            </w:pPr>
            <w:r>
              <w:rPr>
                <w:rFonts w:ascii="Arial" w:cs="Arial" w:eastAsia="Arial" w:hAnsi="Arial"/>
                <w:sz w:val="16"/>
                <w:szCs w:val="16"/>
                <w:color w:val="231F20"/>
              </w:rPr>
              <w:t>ndef n te- ved trad e</w:t>
            </w:r>
          </w:p>
        </w:tc>
        <w:tc>
          <w:tcPr>
            <w:tcW w:w="2380" w:type="dxa"/>
            <w:vAlign w:val="bottom"/>
            <w:gridSpan w:val="12"/>
          </w:tcPr>
          <w:p>
            <w:pPr>
              <w:ind w:left="40"/>
              <w:spacing w:after="0"/>
              <w:rPr>
                <w:sz w:val="20"/>
                <w:szCs w:val="20"/>
                <w:color w:val="auto"/>
              </w:rPr>
            </w:pPr>
            <w:r>
              <w:rPr>
                <w:rFonts w:ascii="Arial" w:cs="Arial" w:eastAsia="Arial" w:hAnsi="Arial"/>
                <w:sz w:val="16"/>
                <w:szCs w:val="16"/>
                <w:color w:val="231F20"/>
              </w:rPr>
              <w:t>ames n our Outd oors segme 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 w:lineRule="exact"/>
        <w:rPr>
          <w:sz w:val="20"/>
          <w:szCs w:val="20"/>
          <w:color w:val="auto"/>
        </w:rPr>
      </w:pPr>
    </w:p>
    <w:p>
      <w:pPr>
        <w:sectPr>
          <w:pgSz w:w="12240" w:h="15840" w:orient="portrait"/>
          <w:cols w:equalWidth="0" w:num="1">
            <w:col w:w="10240"/>
          </w:cols>
          <w:pgMar w:left="1000" w:top="1044" w:right="1000" w:bottom="3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231F20"/>
        </w:rPr>
        <w:t>104</w:t>
      </w:r>
    </w:p>
    <w:p>
      <w:pPr>
        <w:sectPr>
          <w:pgSz w:w="12240" w:h="15840" w:orient="portrait"/>
          <w:cols w:equalWidth="0" w:num="1">
            <w:col w:w="10240"/>
          </w:cols>
          <w:pgMar w:left="1000" w:top="1044" w:right="1000" w:bottom="393"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b w:val="1"/>
          <w:bCs w:val="1"/>
          <w:color w:val="231F20"/>
        </w:rPr>
        <w:t>Cautionary Statement Concerning Forward-Looking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56515</wp:posOffset>
                </wp:positionV>
                <wp:extent cx="651256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210">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45pt" to="512.4pt,4.45pt" o:allowincell="f" strokecolor="#231F20" strokeweight="0.2528pt"/>
            </w:pict>
          </mc:Fallback>
        </mc:AlternateConten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gridSpan w:val="2"/>
          </w:tcPr>
          <w:p>
            <w:pPr>
              <w:spacing w:after="0"/>
              <w:rPr>
                <w:sz w:val="20"/>
                <w:szCs w:val="20"/>
                <w:color w:val="auto"/>
              </w:rPr>
            </w:pPr>
            <w:r>
              <w:rPr>
                <w:rFonts w:ascii="Arial" w:cs="Arial" w:eastAsia="Arial" w:hAnsi="Arial"/>
                <w:sz w:val="16"/>
                <w:szCs w:val="16"/>
                <w:color w:val="231F20"/>
                <w:w w:val="87"/>
              </w:rPr>
              <w:t>Ce rta</w:t>
            </w:r>
          </w:p>
        </w:tc>
        <w:tc>
          <w:tcPr>
            <w:tcW w:w="1320" w:type="dxa"/>
            <w:vAlign w:val="bottom"/>
            <w:gridSpan w:val="2"/>
          </w:tcPr>
          <w:p>
            <w:pPr>
              <w:ind w:left="160"/>
              <w:spacing w:after="0"/>
              <w:rPr>
                <w:sz w:val="20"/>
                <w:szCs w:val="20"/>
                <w:color w:val="auto"/>
              </w:rPr>
            </w:pPr>
            <w:r>
              <w:rPr>
                <w:rFonts w:ascii="Arial" w:cs="Arial" w:eastAsia="Arial" w:hAnsi="Arial"/>
                <w:sz w:val="16"/>
                <w:szCs w:val="16"/>
                <w:color w:val="231F20"/>
              </w:rPr>
              <w:t>fo ward- oo k</w:t>
            </w:r>
          </w:p>
        </w:tc>
        <w:tc>
          <w:tcPr>
            <w:tcW w:w="1460" w:type="dxa"/>
            <w:vAlign w:val="bottom"/>
            <w:gridSpan w:val="2"/>
          </w:tcPr>
          <w:p>
            <w:pPr>
              <w:spacing w:after="0"/>
              <w:rPr>
                <w:sz w:val="20"/>
                <w:szCs w:val="20"/>
                <w:color w:val="auto"/>
              </w:rPr>
            </w:pPr>
            <w:r>
              <w:rPr>
                <w:rFonts w:ascii="Arial" w:cs="Arial" w:eastAsia="Arial" w:hAnsi="Arial"/>
                <w:sz w:val="16"/>
                <w:szCs w:val="16"/>
                <w:color w:val="231F20"/>
              </w:rPr>
              <w:t>statements ncluded</w:t>
            </w:r>
          </w:p>
        </w:tc>
        <w:tc>
          <w:tcPr>
            <w:tcW w:w="480" w:type="dxa"/>
            <w:vAlign w:val="bottom"/>
            <w:gridSpan w:val="2"/>
          </w:tcPr>
          <w:p>
            <w:pPr>
              <w:ind w:left="60"/>
              <w:spacing w:after="0"/>
              <w:rPr>
                <w:sz w:val="20"/>
                <w:szCs w:val="20"/>
                <w:color w:val="auto"/>
              </w:rPr>
            </w:pPr>
            <w:r>
              <w:rPr>
                <w:rFonts w:ascii="Arial" w:cs="Arial" w:eastAsia="Arial" w:hAnsi="Arial"/>
                <w:sz w:val="16"/>
                <w:szCs w:val="16"/>
                <w:color w:val="231F20"/>
              </w:rPr>
              <w:t>n th s</w:t>
            </w:r>
          </w:p>
        </w:tc>
        <w:tc>
          <w:tcPr>
            <w:tcW w:w="180" w:type="dxa"/>
            <w:vAlign w:val="bottom"/>
          </w:tcPr>
          <w:p>
            <w:pPr>
              <w:jc w:val="right"/>
              <w:spacing w:after="0"/>
              <w:rPr>
                <w:sz w:val="20"/>
                <w:szCs w:val="20"/>
                <w:color w:val="auto"/>
              </w:rPr>
            </w:pPr>
            <w:r>
              <w:rPr>
                <w:rFonts w:ascii="Arial" w:cs="Arial" w:eastAsia="Arial" w:hAnsi="Arial"/>
                <w:sz w:val="16"/>
                <w:szCs w:val="16"/>
                <w:color w:val="231F20"/>
              </w:rPr>
              <w:t>e</w:t>
            </w:r>
          </w:p>
        </w:tc>
        <w:tc>
          <w:tcPr>
            <w:tcW w:w="520" w:type="dxa"/>
            <w:vAlign w:val="bottom"/>
          </w:tcPr>
          <w:p>
            <w:pPr>
              <w:ind w:left="60"/>
              <w:spacing w:after="0"/>
              <w:rPr>
                <w:sz w:val="20"/>
                <w:szCs w:val="20"/>
                <w:color w:val="auto"/>
              </w:rPr>
            </w:pPr>
            <w:r>
              <w:rPr>
                <w:rFonts w:ascii="Arial" w:cs="Arial" w:eastAsia="Arial" w:hAnsi="Arial"/>
                <w:sz w:val="16"/>
                <w:szCs w:val="16"/>
                <w:color w:val="231F20"/>
              </w:rPr>
              <w:t>ort ar</w:t>
            </w:r>
          </w:p>
        </w:tc>
        <w:tc>
          <w:tcPr>
            <w:tcW w:w="1780" w:type="dxa"/>
            <w:vAlign w:val="bottom"/>
            <w:gridSpan w:val="5"/>
          </w:tcPr>
          <w:p>
            <w:pPr>
              <w:ind w:left="60"/>
              <w:spacing w:after="0"/>
              <w:rPr>
                <w:sz w:val="20"/>
                <w:szCs w:val="20"/>
                <w:color w:val="auto"/>
              </w:rPr>
            </w:pPr>
            <w:r>
              <w:rPr>
                <w:rFonts w:ascii="Arial" w:cs="Arial" w:eastAsia="Arial" w:hAnsi="Arial"/>
                <w:sz w:val="16"/>
                <w:szCs w:val="16"/>
                <w:color w:val="231F20"/>
              </w:rPr>
              <w:t>made w th n th  mean n</w:t>
            </w:r>
          </w:p>
        </w:tc>
        <w:tc>
          <w:tcPr>
            <w:tcW w:w="520" w:type="dxa"/>
            <w:vAlign w:val="bottom"/>
            <w:gridSpan w:val="2"/>
          </w:tcPr>
          <w:p>
            <w:pPr>
              <w:jc w:val="center"/>
              <w:spacing w:after="0"/>
              <w:rPr>
                <w:sz w:val="20"/>
                <w:szCs w:val="20"/>
                <w:color w:val="auto"/>
              </w:rPr>
            </w:pPr>
            <w:r>
              <w:rPr>
                <w:rFonts w:ascii="Arial" w:cs="Arial" w:eastAsia="Arial" w:hAnsi="Arial"/>
                <w:sz w:val="16"/>
                <w:szCs w:val="16"/>
                <w:color w:val="231F20"/>
              </w:rPr>
              <w:t>of th</w:t>
            </w:r>
          </w:p>
        </w:tc>
        <w:tc>
          <w:tcPr>
            <w:tcW w:w="3520" w:type="dxa"/>
            <w:vAlign w:val="bottom"/>
            <w:gridSpan w:val="11"/>
          </w:tcPr>
          <w:p>
            <w:pPr>
              <w:ind w:left="40"/>
              <w:spacing w:after="0"/>
              <w:rPr>
                <w:sz w:val="20"/>
                <w:szCs w:val="20"/>
                <w:color w:val="auto"/>
              </w:rPr>
            </w:pPr>
            <w:r>
              <w:rPr>
                <w:rFonts w:ascii="Arial" w:cs="Arial" w:eastAsia="Arial" w:hAnsi="Arial"/>
                <w:sz w:val="16"/>
                <w:szCs w:val="16"/>
                <w:color w:val="231F20"/>
              </w:rPr>
              <w:t>Pr vat  Secur ties L t gatio  Refo m Act of</w:t>
            </w:r>
          </w:p>
        </w:tc>
      </w:tr>
      <w:tr>
        <w:trPr>
          <w:trHeight w:val="202"/>
        </w:trPr>
        <w:tc>
          <w:tcPr>
            <w:tcW w:w="400" w:type="dxa"/>
            <w:vAlign w:val="bottom"/>
            <w:gridSpan w:val="2"/>
          </w:tcPr>
          <w:p>
            <w:pPr>
              <w:spacing w:after="0"/>
              <w:rPr>
                <w:sz w:val="20"/>
                <w:szCs w:val="20"/>
                <w:color w:val="auto"/>
              </w:rPr>
            </w:pPr>
            <w:r>
              <w:rPr>
                <w:rFonts w:ascii="Arial" w:cs="Arial" w:eastAsia="Arial" w:hAnsi="Arial"/>
                <w:sz w:val="16"/>
                <w:szCs w:val="16"/>
                <w:color w:val="231F20"/>
              </w:rPr>
              <w:t>1995</w:t>
            </w:r>
          </w:p>
        </w:tc>
        <w:tc>
          <w:tcPr>
            <w:tcW w:w="2600" w:type="dxa"/>
            <w:vAlign w:val="bottom"/>
            <w:gridSpan w:val="3"/>
          </w:tcPr>
          <w:p>
            <w:pPr>
              <w:ind w:left="40"/>
              <w:spacing w:after="0"/>
              <w:rPr>
                <w:sz w:val="20"/>
                <w:szCs w:val="20"/>
                <w:color w:val="auto"/>
              </w:rPr>
            </w:pPr>
            <w:r>
              <w:rPr>
                <w:rFonts w:ascii="Arial" w:cs="Arial" w:eastAsia="Arial" w:hAnsi="Arial"/>
                <w:sz w:val="16"/>
                <w:szCs w:val="16"/>
                <w:color w:val="231F20"/>
              </w:rPr>
              <w:t>Fo ward- ook n  stateme ts nc ud</w:t>
            </w:r>
          </w:p>
        </w:tc>
        <w:tc>
          <w:tcPr>
            <w:tcW w:w="180" w:type="dxa"/>
            <w:vAlign w:val="bottom"/>
          </w:tcPr>
          <w:p>
            <w:pPr>
              <w:ind w:left="40"/>
              <w:spacing w:after="0"/>
              <w:rPr>
                <w:sz w:val="20"/>
                <w:szCs w:val="20"/>
                <w:color w:val="auto"/>
              </w:rPr>
            </w:pPr>
            <w:r>
              <w:rPr>
                <w:rFonts w:ascii="Arial" w:cs="Arial" w:eastAsia="Arial" w:hAnsi="Arial"/>
                <w:sz w:val="16"/>
                <w:szCs w:val="16"/>
                <w:color w:val="231F20"/>
              </w:rPr>
              <w:t>a</w:t>
            </w:r>
          </w:p>
        </w:tc>
        <w:tc>
          <w:tcPr>
            <w:tcW w:w="660" w:type="dxa"/>
            <w:vAlign w:val="bottom"/>
            <w:gridSpan w:val="3"/>
          </w:tcPr>
          <w:p>
            <w:pPr>
              <w:jc w:val="right"/>
              <w:spacing w:after="0"/>
              <w:rPr>
                <w:sz w:val="20"/>
                <w:szCs w:val="20"/>
                <w:color w:val="auto"/>
              </w:rPr>
            </w:pPr>
            <w:r>
              <w:rPr>
                <w:rFonts w:ascii="Arial" w:cs="Arial" w:eastAsia="Arial" w:hAnsi="Arial"/>
                <w:sz w:val="16"/>
                <w:szCs w:val="16"/>
                <w:color w:val="231F20"/>
              </w:rPr>
              <w:t>stateme</w:t>
            </w:r>
          </w:p>
        </w:tc>
        <w:tc>
          <w:tcPr>
            <w:tcW w:w="720" w:type="dxa"/>
            <w:vAlign w:val="bottom"/>
            <w:gridSpan w:val="2"/>
          </w:tcPr>
          <w:p>
            <w:pPr>
              <w:ind w:left="60"/>
              <w:spacing w:after="0"/>
              <w:rPr>
                <w:sz w:val="20"/>
                <w:szCs w:val="20"/>
                <w:color w:val="auto"/>
              </w:rPr>
            </w:pPr>
            <w:r>
              <w:rPr>
                <w:rFonts w:ascii="Arial" w:cs="Arial" w:eastAsia="Arial" w:hAnsi="Arial"/>
                <w:sz w:val="16"/>
                <w:szCs w:val="16"/>
                <w:color w:val="231F20"/>
              </w:rPr>
              <w:t>ts that ar</w:t>
            </w:r>
          </w:p>
        </w:tc>
        <w:tc>
          <w:tcPr>
            <w:tcW w:w="2980" w:type="dxa"/>
            <w:vAlign w:val="bottom"/>
            <w:gridSpan w:val="8"/>
          </w:tcPr>
          <w:p>
            <w:pPr>
              <w:ind w:left="80"/>
              <w:spacing w:after="0"/>
              <w:rPr>
                <w:sz w:val="20"/>
                <w:szCs w:val="20"/>
                <w:color w:val="auto"/>
              </w:rPr>
            </w:pPr>
            <w:r>
              <w:rPr>
                <w:rFonts w:ascii="Arial" w:cs="Arial" w:eastAsia="Arial" w:hAnsi="Arial"/>
                <w:sz w:val="16"/>
                <w:szCs w:val="16"/>
                <w:color w:val="231F20"/>
                <w:w w:val="99"/>
              </w:rPr>
              <w:t>not h stor ca statements of fact and th os</w:t>
            </w:r>
          </w:p>
        </w:tc>
        <w:tc>
          <w:tcPr>
            <w:tcW w:w="780" w:type="dxa"/>
            <w:vAlign w:val="bottom"/>
            <w:gridSpan w:val="4"/>
          </w:tcPr>
          <w:p>
            <w:pPr>
              <w:ind w:left="140"/>
              <w:spacing w:after="0"/>
              <w:rPr>
                <w:sz w:val="20"/>
                <w:szCs w:val="20"/>
                <w:color w:val="auto"/>
              </w:rPr>
            </w:pPr>
            <w:r>
              <w:rPr>
                <w:rFonts w:ascii="Arial" w:cs="Arial" w:eastAsia="Arial" w:hAnsi="Arial"/>
                <w:sz w:val="16"/>
                <w:szCs w:val="16"/>
                <w:color w:val="231F20"/>
              </w:rPr>
              <w:t>regard n</w:t>
            </w:r>
          </w:p>
        </w:tc>
        <w:tc>
          <w:tcPr>
            <w:tcW w:w="360" w:type="dxa"/>
            <w:vAlign w:val="bottom"/>
          </w:tcPr>
          <w:p>
            <w:pPr>
              <w:ind w:left="80"/>
              <w:spacing w:after="0"/>
              <w:rPr>
                <w:sz w:val="20"/>
                <w:szCs w:val="20"/>
                <w:color w:val="auto"/>
              </w:rPr>
            </w:pPr>
            <w:r>
              <w:rPr>
                <w:rFonts w:ascii="Arial" w:cs="Arial" w:eastAsia="Arial" w:hAnsi="Arial"/>
                <w:sz w:val="16"/>
                <w:szCs w:val="16"/>
                <w:color w:val="231F20"/>
              </w:rPr>
              <w:t>o</w:t>
            </w:r>
          </w:p>
        </w:tc>
        <w:tc>
          <w:tcPr>
            <w:tcW w:w="480" w:type="dxa"/>
            <w:vAlign w:val="bottom"/>
            <w:gridSpan w:val="2"/>
          </w:tcPr>
          <w:p>
            <w:pPr>
              <w:jc w:val="right"/>
              <w:ind w:right="19"/>
              <w:spacing w:after="0"/>
              <w:rPr>
                <w:sz w:val="20"/>
                <w:szCs w:val="20"/>
                <w:color w:val="auto"/>
              </w:rPr>
            </w:pPr>
            <w:r>
              <w:rPr>
                <w:rFonts w:ascii="Arial" w:cs="Arial" w:eastAsia="Arial" w:hAnsi="Arial"/>
                <w:sz w:val="16"/>
                <w:szCs w:val="16"/>
                <w:color w:val="231F20"/>
              </w:rPr>
              <w:t>ntent</w:t>
            </w:r>
          </w:p>
        </w:tc>
        <w:tc>
          <w:tcPr>
            <w:tcW w:w="1020" w:type="dxa"/>
            <w:vAlign w:val="bottom"/>
            <w:gridSpan w:val="2"/>
          </w:tcPr>
          <w:p>
            <w:pPr>
              <w:spacing w:after="0"/>
              <w:rPr>
                <w:sz w:val="20"/>
                <w:szCs w:val="20"/>
                <w:color w:val="auto"/>
              </w:rPr>
            </w:pPr>
            <w:r>
              <w:rPr>
                <w:rFonts w:ascii="Arial" w:cs="Arial" w:eastAsia="Arial" w:hAnsi="Arial"/>
                <w:sz w:val="16"/>
                <w:szCs w:val="16"/>
                <w:color w:val="231F20"/>
              </w:rPr>
              <w:t>be ef or</w:t>
            </w:r>
          </w:p>
        </w:tc>
      </w:tr>
      <w:tr>
        <w:trPr>
          <w:trHeight w:val="202"/>
        </w:trPr>
        <w:tc>
          <w:tcPr>
            <w:tcW w:w="240" w:type="dxa"/>
            <w:vAlign w:val="bottom"/>
          </w:tcPr>
          <w:p>
            <w:pPr>
              <w:spacing w:after="0"/>
              <w:rPr>
                <w:sz w:val="20"/>
                <w:szCs w:val="20"/>
                <w:color w:val="auto"/>
              </w:rPr>
            </w:pPr>
            <w:r>
              <w:rPr>
                <w:rFonts w:ascii="Arial" w:cs="Arial" w:eastAsia="Arial" w:hAnsi="Arial"/>
                <w:sz w:val="16"/>
                <w:szCs w:val="16"/>
                <w:color w:val="231F20"/>
              </w:rPr>
              <w:t>ex</w:t>
            </w:r>
          </w:p>
        </w:tc>
        <w:tc>
          <w:tcPr>
            <w:tcW w:w="1480" w:type="dxa"/>
            <w:vAlign w:val="bottom"/>
            <w:gridSpan w:val="3"/>
          </w:tcPr>
          <w:p>
            <w:pPr>
              <w:ind w:left="20"/>
              <w:spacing w:after="0"/>
              <w:rPr>
                <w:sz w:val="20"/>
                <w:szCs w:val="20"/>
                <w:color w:val="auto"/>
              </w:rPr>
            </w:pPr>
            <w:r>
              <w:rPr>
                <w:rFonts w:ascii="Arial" w:cs="Arial" w:eastAsia="Arial" w:hAnsi="Arial"/>
                <w:sz w:val="16"/>
                <w:szCs w:val="16"/>
                <w:color w:val="231F20"/>
              </w:rPr>
              <w:t>ectation  fo  ou bus</w:t>
            </w:r>
          </w:p>
        </w:tc>
        <w:tc>
          <w:tcPr>
            <w:tcW w:w="1560" w:type="dxa"/>
            <w:vAlign w:val="bottom"/>
            <w:gridSpan w:val="3"/>
          </w:tcPr>
          <w:p>
            <w:pPr>
              <w:ind w:left="120"/>
              <w:spacing w:after="0"/>
              <w:rPr>
                <w:sz w:val="20"/>
                <w:szCs w:val="20"/>
                <w:color w:val="auto"/>
              </w:rPr>
            </w:pPr>
            <w:r>
              <w:rPr>
                <w:rFonts w:ascii="Arial" w:cs="Arial" w:eastAsia="Arial" w:hAnsi="Arial"/>
                <w:sz w:val="16"/>
                <w:szCs w:val="16"/>
                <w:color w:val="231F20"/>
              </w:rPr>
              <w:t>ess operations fi a</w:t>
            </w:r>
          </w:p>
        </w:tc>
        <w:tc>
          <w:tcPr>
            <w:tcW w:w="380" w:type="dxa"/>
            <w:vAlign w:val="bottom"/>
          </w:tcPr>
          <w:p>
            <w:pPr>
              <w:ind w:left="80"/>
              <w:spacing w:after="0"/>
              <w:rPr>
                <w:sz w:val="20"/>
                <w:szCs w:val="20"/>
                <w:color w:val="auto"/>
              </w:rPr>
            </w:pPr>
            <w:r>
              <w:rPr>
                <w:rFonts w:ascii="Arial" w:cs="Arial" w:eastAsia="Arial" w:hAnsi="Arial"/>
                <w:sz w:val="16"/>
                <w:szCs w:val="16"/>
                <w:color w:val="231F20"/>
              </w:rPr>
              <w:t>c al</w:t>
            </w:r>
          </w:p>
        </w:tc>
        <w:tc>
          <w:tcPr>
            <w:tcW w:w="700" w:type="dxa"/>
            <w:vAlign w:val="bottom"/>
            <w:gridSpan w:val="2"/>
          </w:tcPr>
          <w:p>
            <w:pPr>
              <w:ind w:left="80"/>
              <w:spacing w:after="0"/>
              <w:rPr>
                <w:sz w:val="20"/>
                <w:szCs w:val="20"/>
                <w:color w:val="auto"/>
              </w:rPr>
            </w:pPr>
            <w:r>
              <w:rPr>
                <w:rFonts w:ascii="Arial" w:cs="Arial" w:eastAsia="Arial" w:hAnsi="Arial"/>
                <w:sz w:val="16"/>
                <w:szCs w:val="16"/>
                <w:color w:val="231F20"/>
              </w:rPr>
              <w:t>erforma</w:t>
            </w:r>
          </w:p>
        </w:tc>
        <w:tc>
          <w:tcPr>
            <w:tcW w:w="200" w:type="dxa"/>
            <w:vAlign w:val="bottom"/>
          </w:tcPr>
          <w:p>
            <w:pPr>
              <w:ind w:left="40"/>
              <w:spacing w:after="0"/>
              <w:rPr>
                <w:sz w:val="20"/>
                <w:szCs w:val="20"/>
                <w:color w:val="auto"/>
              </w:rPr>
            </w:pPr>
            <w:r>
              <w:rPr>
                <w:rFonts w:ascii="Arial" w:cs="Arial" w:eastAsia="Arial" w:hAnsi="Arial"/>
                <w:sz w:val="16"/>
                <w:szCs w:val="16"/>
                <w:color w:val="231F20"/>
              </w:rPr>
              <w:t>c</w:t>
            </w:r>
          </w:p>
        </w:tc>
        <w:tc>
          <w:tcPr>
            <w:tcW w:w="320" w:type="dxa"/>
            <w:vAlign w:val="bottom"/>
          </w:tcPr>
          <w:p>
            <w:pPr>
              <w:ind w:left="60"/>
              <w:spacing w:after="0"/>
              <w:rPr>
                <w:sz w:val="20"/>
                <w:szCs w:val="20"/>
                <w:color w:val="auto"/>
              </w:rPr>
            </w:pPr>
            <w:r>
              <w:rPr>
                <w:rFonts w:ascii="Arial" w:cs="Arial" w:eastAsia="Arial" w:hAnsi="Arial"/>
                <w:sz w:val="16"/>
                <w:szCs w:val="16"/>
                <w:color w:val="231F20"/>
                <w:w w:val="89"/>
              </w:rPr>
              <w:t>or fi</w:t>
            </w:r>
          </w:p>
        </w:tc>
        <w:tc>
          <w:tcPr>
            <w:tcW w:w="160" w:type="dxa"/>
            <w:vAlign w:val="bottom"/>
          </w:tcPr>
          <w:p>
            <w:pPr>
              <w:jc w:val="right"/>
              <w:spacing w:after="0"/>
              <w:rPr>
                <w:sz w:val="20"/>
                <w:szCs w:val="20"/>
                <w:color w:val="auto"/>
              </w:rPr>
            </w:pPr>
            <w:r>
              <w:rPr>
                <w:rFonts w:ascii="Arial" w:cs="Arial" w:eastAsia="Arial" w:hAnsi="Arial"/>
                <w:sz w:val="16"/>
                <w:szCs w:val="16"/>
                <w:color w:val="231F20"/>
              </w:rPr>
              <w:t>a</w:t>
            </w:r>
          </w:p>
        </w:tc>
        <w:tc>
          <w:tcPr>
            <w:tcW w:w="1100" w:type="dxa"/>
            <w:vAlign w:val="bottom"/>
            <w:gridSpan w:val="2"/>
          </w:tcPr>
          <w:p>
            <w:pPr>
              <w:ind w:left="100"/>
              <w:spacing w:after="0"/>
              <w:rPr>
                <w:sz w:val="20"/>
                <w:szCs w:val="20"/>
                <w:color w:val="auto"/>
              </w:rPr>
            </w:pPr>
            <w:r>
              <w:rPr>
                <w:rFonts w:ascii="Arial" w:cs="Arial" w:eastAsia="Arial" w:hAnsi="Arial"/>
                <w:sz w:val="16"/>
                <w:szCs w:val="16"/>
                <w:color w:val="231F20"/>
              </w:rPr>
              <w:t>cial cond tio</w:t>
            </w:r>
          </w:p>
        </w:tc>
        <w:tc>
          <w:tcPr>
            <w:tcW w:w="780" w:type="dxa"/>
            <w:vAlign w:val="bottom"/>
            <w:gridSpan w:val="3"/>
          </w:tcPr>
          <w:p>
            <w:pPr>
              <w:jc w:val="right"/>
              <w:ind w:right="19"/>
              <w:spacing w:after="0"/>
              <w:rPr>
                <w:sz w:val="20"/>
                <w:szCs w:val="20"/>
                <w:color w:val="auto"/>
              </w:rPr>
            </w:pPr>
            <w:r>
              <w:rPr>
                <w:rFonts w:ascii="Arial" w:cs="Arial" w:eastAsia="Arial" w:hAnsi="Arial"/>
                <w:sz w:val="16"/>
                <w:szCs w:val="16"/>
                <w:color w:val="231F20"/>
              </w:rPr>
              <w:t>in add tio</w:t>
            </w:r>
          </w:p>
        </w:tc>
        <w:tc>
          <w:tcPr>
            <w:tcW w:w="1760" w:type="dxa"/>
            <w:vAlign w:val="bottom"/>
            <w:gridSpan w:val="6"/>
          </w:tcPr>
          <w:p>
            <w:pPr>
              <w:ind w:left="40"/>
              <w:spacing w:after="0"/>
              <w:rPr>
                <w:sz w:val="20"/>
                <w:szCs w:val="20"/>
                <w:color w:val="auto"/>
              </w:rPr>
            </w:pPr>
            <w:r>
              <w:rPr>
                <w:rFonts w:ascii="Arial" w:cs="Arial" w:eastAsia="Arial" w:hAnsi="Arial"/>
                <w:sz w:val="16"/>
                <w:szCs w:val="16"/>
                <w:color w:val="231F20"/>
              </w:rPr>
              <w:t>to stateme ts regardin</w:t>
            </w:r>
          </w:p>
        </w:tc>
        <w:tc>
          <w:tcPr>
            <w:tcW w:w="120" w:type="dxa"/>
            <w:vAlign w:val="bottom"/>
          </w:tcPr>
          <w:p>
            <w:pPr>
              <w:ind w:left="20"/>
              <w:spacing w:after="0"/>
              <w:rPr>
                <w:sz w:val="20"/>
                <w:szCs w:val="20"/>
                <w:color w:val="auto"/>
              </w:rPr>
            </w:pPr>
            <w:r>
              <w:rPr>
                <w:rFonts w:ascii="Arial" w:cs="Arial" w:eastAsia="Arial" w:hAnsi="Arial"/>
                <w:sz w:val="16"/>
                <w:szCs w:val="16"/>
                <w:color w:val="231F20"/>
                <w:w w:val="89"/>
              </w:rPr>
              <w:t>o</w:t>
            </w:r>
          </w:p>
        </w:tc>
        <w:tc>
          <w:tcPr>
            <w:tcW w:w="360" w:type="dxa"/>
            <w:vAlign w:val="bottom"/>
          </w:tcPr>
          <w:p>
            <w:pPr>
              <w:jc w:val="right"/>
              <w:spacing w:after="0"/>
              <w:rPr>
                <w:sz w:val="20"/>
                <w:szCs w:val="20"/>
                <w:color w:val="auto"/>
              </w:rPr>
            </w:pPr>
            <w:r>
              <w:rPr>
                <w:rFonts w:ascii="Arial" w:cs="Arial" w:eastAsia="Arial" w:hAnsi="Arial"/>
                <w:sz w:val="16"/>
                <w:szCs w:val="16"/>
                <w:color w:val="231F20"/>
              </w:rPr>
              <w:t>ex</w:t>
            </w:r>
          </w:p>
        </w:tc>
        <w:tc>
          <w:tcPr>
            <w:tcW w:w="1020" w:type="dxa"/>
            <w:vAlign w:val="bottom"/>
            <w:gridSpan w:val="2"/>
          </w:tcPr>
          <w:p>
            <w:pPr>
              <w:ind w:left="60"/>
              <w:spacing w:after="0"/>
              <w:rPr>
                <w:sz w:val="20"/>
                <w:szCs w:val="20"/>
                <w:color w:val="auto"/>
              </w:rPr>
            </w:pPr>
            <w:r>
              <w:rPr>
                <w:rFonts w:ascii="Arial" w:cs="Arial" w:eastAsia="Arial" w:hAnsi="Arial"/>
                <w:sz w:val="16"/>
                <w:szCs w:val="16"/>
                <w:color w:val="231F20"/>
              </w:rPr>
              <w:t>ectat on  fo</w:t>
            </w:r>
          </w:p>
        </w:tc>
      </w:tr>
      <w:tr>
        <w:trPr>
          <w:trHeight w:val="202"/>
        </w:trPr>
        <w:tc>
          <w:tcPr>
            <w:tcW w:w="240" w:type="dxa"/>
            <w:vAlign w:val="bottom"/>
          </w:tcPr>
          <w:p>
            <w:pPr>
              <w:spacing w:after="0"/>
              <w:rPr>
                <w:sz w:val="20"/>
                <w:szCs w:val="20"/>
                <w:color w:val="auto"/>
              </w:rPr>
            </w:pPr>
            <w:r>
              <w:rPr>
                <w:rFonts w:ascii="Arial" w:cs="Arial" w:eastAsia="Arial" w:hAnsi="Arial"/>
                <w:sz w:val="16"/>
                <w:szCs w:val="16"/>
                <w:color w:val="231F20"/>
              </w:rPr>
              <w:t>th</w:t>
            </w:r>
          </w:p>
        </w:tc>
        <w:tc>
          <w:tcPr>
            <w:tcW w:w="4320" w:type="dxa"/>
            <w:vAlign w:val="bottom"/>
            <w:gridSpan w:val="10"/>
          </w:tcPr>
          <w:p>
            <w:pPr>
              <w:ind w:left="20"/>
              <w:spacing w:after="0"/>
              <w:rPr>
                <w:sz w:val="20"/>
                <w:szCs w:val="20"/>
                <w:color w:val="auto"/>
              </w:rPr>
            </w:pPr>
            <w:r>
              <w:rPr>
                <w:rFonts w:ascii="Arial" w:cs="Arial" w:eastAsia="Arial" w:hAnsi="Arial"/>
                <w:sz w:val="16"/>
                <w:szCs w:val="16"/>
                <w:color w:val="231F20"/>
              </w:rPr>
              <w:t>markets n wh ch we operate, genera bus ness strateg es th</w:t>
            </w:r>
          </w:p>
        </w:tc>
        <w:tc>
          <w:tcPr>
            <w:tcW w:w="2360" w:type="dxa"/>
            <w:vAlign w:val="bottom"/>
            <w:gridSpan w:val="7"/>
          </w:tcPr>
          <w:p>
            <w:pPr>
              <w:jc w:val="right"/>
              <w:ind w:right="19"/>
              <w:spacing w:after="0"/>
              <w:rPr>
                <w:sz w:val="20"/>
                <w:szCs w:val="20"/>
                <w:color w:val="auto"/>
              </w:rPr>
            </w:pPr>
            <w:r>
              <w:rPr>
                <w:rFonts w:ascii="Arial" w:cs="Arial" w:eastAsia="Arial" w:hAnsi="Arial"/>
                <w:sz w:val="16"/>
                <w:szCs w:val="16"/>
                <w:color w:val="231F20"/>
              </w:rPr>
              <w:t>market potent a of ou  brands</w:t>
            </w:r>
          </w:p>
        </w:tc>
        <w:tc>
          <w:tcPr>
            <w:tcW w:w="860" w:type="dxa"/>
            <w:vAlign w:val="bottom"/>
            <w:gridSpan w:val="2"/>
          </w:tcPr>
          <w:p>
            <w:pPr>
              <w:spacing w:after="0"/>
              <w:rPr>
                <w:sz w:val="20"/>
                <w:szCs w:val="20"/>
                <w:color w:val="auto"/>
              </w:rPr>
            </w:pPr>
            <w:r>
              <w:rPr>
                <w:rFonts w:ascii="Arial" w:cs="Arial" w:eastAsia="Arial" w:hAnsi="Arial"/>
                <w:sz w:val="16"/>
                <w:szCs w:val="16"/>
                <w:color w:val="231F20"/>
              </w:rPr>
              <w:t>trends n th</w:t>
            </w:r>
          </w:p>
        </w:tc>
        <w:tc>
          <w:tcPr>
            <w:tcW w:w="540" w:type="dxa"/>
            <w:vAlign w:val="bottom"/>
            <w:gridSpan w:val="3"/>
          </w:tcPr>
          <w:p>
            <w:pPr>
              <w:ind w:left="80"/>
              <w:spacing w:after="0"/>
              <w:rPr>
                <w:sz w:val="20"/>
                <w:szCs w:val="20"/>
                <w:color w:val="auto"/>
              </w:rPr>
            </w:pPr>
            <w:r>
              <w:rPr>
                <w:rFonts w:ascii="Arial" w:cs="Arial" w:eastAsia="Arial" w:hAnsi="Arial"/>
                <w:sz w:val="16"/>
                <w:szCs w:val="16"/>
                <w:color w:val="231F20"/>
                <w:w w:val="91"/>
              </w:rPr>
              <w:t>hous n</w:t>
            </w:r>
          </w:p>
        </w:tc>
        <w:tc>
          <w:tcPr>
            <w:tcW w:w="840" w:type="dxa"/>
            <w:vAlign w:val="bottom"/>
            <w:gridSpan w:val="3"/>
          </w:tcPr>
          <w:p>
            <w:pPr>
              <w:jc w:val="right"/>
              <w:spacing w:after="0"/>
              <w:rPr>
                <w:sz w:val="20"/>
                <w:szCs w:val="20"/>
                <w:color w:val="auto"/>
              </w:rPr>
            </w:pPr>
            <w:r>
              <w:rPr>
                <w:rFonts w:ascii="Arial" w:cs="Arial" w:eastAsia="Arial" w:hAnsi="Arial"/>
                <w:sz w:val="16"/>
                <w:szCs w:val="16"/>
                <w:color w:val="231F20"/>
              </w:rPr>
              <w:t>market th</w:t>
            </w:r>
          </w:p>
        </w:tc>
        <w:tc>
          <w:tcPr>
            <w:tcW w:w="1020" w:type="dxa"/>
            <w:vAlign w:val="bottom"/>
            <w:gridSpan w:val="2"/>
          </w:tcPr>
          <w:p>
            <w:pPr>
              <w:ind w:left="140"/>
              <w:spacing w:after="0"/>
              <w:rPr>
                <w:sz w:val="20"/>
                <w:szCs w:val="20"/>
                <w:color w:val="auto"/>
              </w:rPr>
            </w:pPr>
            <w:r>
              <w:rPr>
                <w:rFonts w:ascii="Arial" w:cs="Arial" w:eastAsia="Arial" w:hAnsi="Arial"/>
                <w:sz w:val="16"/>
                <w:szCs w:val="16"/>
                <w:color w:val="231F20"/>
              </w:rPr>
              <w:t>potent a</w:t>
            </w:r>
          </w:p>
        </w:tc>
      </w:tr>
      <w:tr>
        <w:trPr>
          <w:trHeight w:val="202"/>
        </w:trPr>
        <w:tc>
          <w:tcPr>
            <w:tcW w:w="1720" w:type="dxa"/>
            <w:vAlign w:val="bottom"/>
            <w:gridSpan w:val="4"/>
          </w:tcPr>
          <w:p>
            <w:pPr>
              <w:ind w:left="20"/>
              <w:spacing w:after="0"/>
              <w:rPr>
                <w:sz w:val="20"/>
                <w:szCs w:val="20"/>
                <w:color w:val="auto"/>
              </w:rPr>
            </w:pPr>
            <w:r>
              <w:rPr>
                <w:rFonts w:ascii="Arial" w:cs="Arial" w:eastAsia="Arial" w:hAnsi="Arial"/>
                <w:sz w:val="16"/>
                <w:szCs w:val="16"/>
                <w:color w:val="231F20"/>
              </w:rPr>
              <w:t>mpact of costs, nc ud n</w:t>
            </w:r>
          </w:p>
        </w:tc>
        <w:tc>
          <w:tcPr>
            <w:tcW w:w="1460" w:type="dxa"/>
            <w:vAlign w:val="bottom"/>
            <w:gridSpan w:val="2"/>
          </w:tcPr>
          <w:p>
            <w:pPr>
              <w:ind w:left="140"/>
              <w:spacing w:after="0"/>
              <w:rPr>
                <w:sz w:val="20"/>
                <w:szCs w:val="20"/>
                <w:color w:val="auto"/>
              </w:rPr>
            </w:pPr>
            <w:r>
              <w:rPr>
                <w:rFonts w:ascii="Arial" w:cs="Arial" w:eastAsia="Arial" w:hAnsi="Arial"/>
                <w:sz w:val="16"/>
                <w:szCs w:val="16"/>
                <w:color w:val="231F20"/>
              </w:rPr>
              <w:t>mater a and abo</w:t>
            </w:r>
          </w:p>
        </w:tc>
        <w:tc>
          <w:tcPr>
            <w:tcW w:w="660" w:type="dxa"/>
            <w:vAlign w:val="bottom"/>
            <w:gridSpan w:val="3"/>
          </w:tcPr>
          <w:p>
            <w:pPr>
              <w:jc w:val="right"/>
              <w:spacing w:after="0"/>
              <w:rPr>
                <w:sz w:val="20"/>
                <w:szCs w:val="20"/>
                <w:color w:val="auto"/>
              </w:rPr>
            </w:pPr>
            <w:r>
              <w:rPr>
                <w:rFonts w:ascii="Arial" w:cs="Arial" w:eastAsia="Arial" w:hAnsi="Arial"/>
                <w:sz w:val="16"/>
                <w:szCs w:val="16"/>
                <w:color w:val="231F20"/>
                <w:w w:val="97"/>
              </w:rPr>
              <w:t>costs, th</w:t>
            </w:r>
          </w:p>
        </w:tc>
        <w:tc>
          <w:tcPr>
            <w:tcW w:w="720" w:type="dxa"/>
            <w:vAlign w:val="bottom"/>
            <w:gridSpan w:val="2"/>
          </w:tcPr>
          <w:p>
            <w:pPr>
              <w:ind w:left="80"/>
              <w:spacing w:after="0"/>
              <w:rPr>
                <w:sz w:val="20"/>
                <w:szCs w:val="20"/>
                <w:color w:val="auto"/>
              </w:rPr>
            </w:pPr>
            <w:r>
              <w:rPr>
                <w:rFonts w:ascii="Arial" w:cs="Arial" w:eastAsia="Arial" w:hAnsi="Arial"/>
                <w:sz w:val="16"/>
                <w:szCs w:val="16"/>
                <w:color w:val="231F20"/>
              </w:rPr>
              <w:t>potent a</w:t>
            </w:r>
          </w:p>
        </w:tc>
        <w:tc>
          <w:tcPr>
            <w:tcW w:w="3220" w:type="dxa"/>
            <w:vAlign w:val="bottom"/>
            <w:gridSpan w:val="9"/>
          </w:tcPr>
          <w:p>
            <w:pPr>
              <w:ind w:left="40"/>
              <w:spacing w:after="0"/>
              <w:rPr>
                <w:sz w:val="20"/>
                <w:szCs w:val="20"/>
                <w:color w:val="auto"/>
              </w:rPr>
            </w:pPr>
            <w:r>
              <w:rPr>
                <w:rFonts w:ascii="Arial" w:cs="Arial" w:eastAsia="Arial" w:hAnsi="Arial"/>
                <w:sz w:val="16"/>
                <w:szCs w:val="16"/>
                <w:color w:val="231F20"/>
              </w:rPr>
              <w:t>mpact of nf at on expected cap ta spend n</w:t>
            </w:r>
          </w:p>
        </w:tc>
        <w:tc>
          <w:tcPr>
            <w:tcW w:w="2400" w:type="dxa"/>
            <w:vAlign w:val="bottom"/>
            <w:gridSpan w:val="8"/>
          </w:tcPr>
          <w:p>
            <w:pPr>
              <w:ind w:left="120"/>
              <w:spacing w:after="0"/>
              <w:rPr>
                <w:sz w:val="20"/>
                <w:szCs w:val="20"/>
                <w:color w:val="auto"/>
              </w:rPr>
            </w:pPr>
            <w:r>
              <w:rPr>
                <w:rFonts w:ascii="Arial" w:cs="Arial" w:eastAsia="Arial" w:hAnsi="Arial"/>
                <w:sz w:val="16"/>
                <w:szCs w:val="16"/>
                <w:color w:val="231F20"/>
              </w:rPr>
              <w:t>expected pens on contr but o s,</w:t>
            </w:r>
          </w:p>
        </w:tc>
      </w:tr>
      <w:tr>
        <w:trPr>
          <w:trHeight w:val="202"/>
        </w:trPr>
        <w:tc>
          <w:tcPr>
            <w:tcW w:w="240" w:type="dxa"/>
            <w:vAlign w:val="bottom"/>
          </w:tcPr>
          <w:p>
            <w:pPr>
              <w:spacing w:after="0"/>
              <w:rPr>
                <w:sz w:val="20"/>
                <w:szCs w:val="20"/>
                <w:color w:val="auto"/>
              </w:rPr>
            </w:pPr>
            <w:r>
              <w:rPr>
                <w:rFonts w:ascii="Arial" w:cs="Arial" w:eastAsia="Arial" w:hAnsi="Arial"/>
                <w:sz w:val="16"/>
                <w:szCs w:val="16"/>
                <w:color w:val="231F20"/>
              </w:rPr>
              <w:t>th</w:t>
            </w:r>
          </w:p>
        </w:tc>
        <w:tc>
          <w:tcPr>
            <w:tcW w:w="4640" w:type="dxa"/>
            <w:vAlign w:val="bottom"/>
            <w:gridSpan w:val="11"/>
          </w:tcPr>
          <w:p>
            <w:pPr>
              <w:ind w:left="20"/>
              <w:spacing w:after="0"/>
              <w:rPr>
                <w:sz w:val="20"/>
                <w:szCs w:val="20"/>
                <w:color w:val="auto"/>
              </w:rPr>
            </w:pPr>
            <w:r>
              <w:rPr>
                <w:rFonts w:ascii="Arial" w:cs="Arial" w:eastAsia="Arial" w:hAnsi="Arial"/>
                <w:sz w:val="16"/>
                <w:szCs w:val="16"/>
                <w:color w:val="231F20"/>
              </w:rPr>
              <w:t>expected impact of acquis tions d sposit ons and othe strateg</w:t>
            </w:r>
          </w:p>
        </w:tc>
        <w:tc>
          <w:tcPr>
            <w:tcW w:w="1560" w:type="dxa"/>
            <w:vAlign w:val="bottom"/>
            <w:gridSpan w:val="4"/>
          </w:tcPr>
          <w:p>
            <w:pPr>
              <w:spacing w:after="0"/>
              <w:rPr>
                <w:sz w:val="20"/>
                <w:szCs w:val="20"/>
                <w:color w:val="auto"/>
              </w:rPr>
            </w:pPr>
            <w:r>
              <w:rPr>
                <w:rFonts w:ascii="Arial" w:cs="Arial" w:eastAsia="Arial" w:hAnsi="Arial"/>
                <w:sz w:val="16"/>
                <w:szCs w:val="16"/>
                <w:color w:val="231F20"/>
              </w:rPr>
              <w:t>transactions inc udin</w:t>
            </w:r>
          </w:p>
        </w:tc>
        <w:tc>
          <w:tcPr>
            <w:tcW w:w="220" w:type="dxa"/>
            <w:vAlign w:val="bottom"/>
          </w:tcPr>
          <w:p>
            <w:pPr>
              <w:ind w:left="40"/>
              <w:spacing w:after="0"/>
              <w:rPr>
                <w:sz w:val="20"/>
                <w:szCs w:val="20"/>
                <w:color w:val="auto"/>
              </w:rPr>
            </w:pPr>
            <w:r>
              <w:rPr>
                <w:rFonts w:ascii="Arial" w:cs="Arial" w:eastAsia="Arial" w:hAnsi="Arial"/>
                <w:sz w:val="16"/>
                <w:szCs w:val="16"/>
                <w:color w:val="231F20"/>
              </w:rPr>
              <w:t>th</w:t>
            </w:r>
          </w:p>
        </w:tc>
        <w:tc>
          <w:tcPr>
            <w:tcW w:w="260" w:type="dxa"/>
            <w:vAlign w:val="bottom"/>
          </w:tcPr>
          <w:p>
            <w:pPr>
              <w:jc w:val="right"/>
              <w:spacing w:after="0"/>
              <w:rPr>
                <w:sz w:val="20"/>
                <w:szCs w:val="20"/>
                <w:color w:val="auto"/>
              </w:rPr>
            </w:pPr>
            <w:r>
              <w:rPr>
                <w:rFonts w:ascii="Arial" w:cs="Arial" w:eastAsia="Arial" w:hAnsi="Arial"/>
                <w:sz w:val="16"/>
                <w:szCs w:val="16"/>
                <w:color w:val="231F20"/>
              </w:rPr>
              <w:t>ex</w:t>
            </w:r>
          </w:p>
        </w:tc>
        <w:tc>
          <w:tcPr>
            <w:tcW w:w="1760" w:type="dxa"/>
            <w:vAlign w:val="bottom"/>
            <w:gridSpan w:val="6"/>
          </w:tcPr>
          <w:p>
            <w:pPr>
              <w:ind w:left="80"/>
              <w:spacing w:after="0"/>
              <w:rPr>
                <w:sz w:val="20"/>
                <w:szCs w:val="20"/>
                <w:color w:val="auto"/>
              </w:rPr>
            </w:pPr>
            <w:r>
              <w:rPr>
                <w:rFonts w:ascii="Arial" w:cs="Arial" w:eastAsia="Arial" w:hAnsi="Arial"/>
                <w:sz w:val="16"/>
                <w:szCs w:val="16"/>
                <w:color w:val="231F20"/>
              </w:rPr>
              <w:t>ected benefits and cost</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231F20"/>
                <w:w w:val="96"/>
              </w:rPr>
              <w:t>of th</w:t>
            </w:r>
          </w:p>
        </w:tc>
        <w:tc>
          <w:tcPr>
            <w:tcW w:w="1020" w:type="dxa"/>
            <w:vAlign w:val="bottom"/>
            <w:gridSpan w:val="2"/>
          </w:tcPr>
          <w:p>
            <w:pPr>
              <w:ind w:left="100"/>
              <w:spacing w:after="0"/>
              <w:rPr>
                <w:sz w:val="20"/>
                <w:szCs w:val="20"/>
                <w:color w:val="auto"/>
              </w:rPr>
            </w:pPr>
            <w:r>
              <w:rPr>
                <w:rFonts w:ascii="Arial" w:cs="Arial" w:eastAsia="Arial" w:hAnsi="Arial"/>
                <w:sz w:val="16"/>
                <w:szCs w:val="16"/>
                <w:color w:val="231F20"/>
              </w:rPr>
              <w:t>spin-off of</w:t>
            </w:r>
          </w:p>
        </w:tc>
      </w:tr>
      <w:tr>
        <w:trPr>
          <w:trHeight w:val="202"/>
        </w:trPr>
        <w:tc>
          <w:tcPr>
            <w:tcW w:w="3280" w:type="dxa"/>
            <w:vAlign w:val="bottom"/>
            <w:gridSpan w:val="7"/>
          </w:tcPr>
          <w:p>
            <w:pPr>
              <w:spacing w:after="0"/>
              <w:rPr>
                <w:sz w:val="20"/>
                <w:szCs w:val="20"/>
                <w:color w:val="auto"/>
              </w:rPr>
            </w:pPr>
            <w:r>
              <w:rPr>
                <w:rFonts w:ascii="Arial" w:cs="Arial" w:eastAsia="Arial" w:hAnsi="Arial"/>
                <w:sz w:val="16"/>
                <w:szCs w:val="16"/>
                <w:color w:val="231F20"/>
                <w:w w:val="99"/>
              </w:rPr>
              <w:t>MasterBrand, In c. and th  tax-free nature of th</w:t>
            </w:r>
          </w:p>
        </w:tc>
        <w:tc>
          <w:tcPr>
            <w:tcW w:w="1760" w:type="dxa"/>
            <w:vAlign w:val="bottom"/>
            <w:gridSpan w:val="6"/>
          </w:tcPr>
          <w:p>
            <w:pPr>
              <w:ind w:left="140"/>
              <w:spacing w:after="0"/>
              <w:rPr>
                <w:sz w:val="20"/>
                <w:szCs w:val="20"/>
                <w:color w:val="auto"/>
              </w:rPr>
            </w:pPr>
            <w:r>
              <w:rPr>
                <w:rFonts w:ascii="Arial" w:cs="Arial" w:eastAsia="Arial" w:hAnsi="Arial"/>
                <w:sz w:val="16"/>
                <w:szCs w:val="16"/>
                <w:color w:val="231F20"/>
              </w:rPr>
              <w:t>sp n-off transaction, th</w:t>
            </w:r>
          </w:p>
        </w:tc>
        <w:tc>
          <w:tcPr>
            <w:tcW w:w="1400" w:type="dxa"/>
            <w:vAlign w:val="bottom"/>
            <w:gridSpan w:val="3"/>
          </w:tcPr>
          <w:p>
            <w:pPr>
              <w:ind w:left="120"/>
              <w:spacing w:after="0"/>
              <w:rPr>
                <w:sz w:val="20"/>
                <w:szCs w:val="20"/>
                <w:color w:val="auto"/>
              </w:rPr>
            </w:pPr>
            <w:r>
              <w:rPr>
                <w:rFonts w:ascii="Arial" w:cs="Arial" w:eastAsia="Arial" w:hAnsi="Arial"/>
                <w:sz w:val="16"/>
                <w:szCs w:val="16"/>
                <w:color w:val="231F20"/>
              </w:rPr>
              <w:t>anticipated effect</w:t>
            </w:r>
          </w:p>
        </w:tc>
        <w:tc>
          <w:tcPr>
            <w:tcW w:w="1100" w:type="dxa"/>
            <w:vAlign w:val="bottom"/>
            <w:gridSpan w:val="3"/>
          </w:tcPr>
          <w:p>
            <w:pPr>
              <w:ind w:left="60"/>
              <w:spacing w:after="0"/>
              <w:rPr>
                <w:sz w:val="20"/>
                <w:szCs w:val="20"/>
                <w:color w:val="auto"/>
              </w:rPr>
            </w:pPr>
            <w:r>
              <w:rPr>
                <w:rFonts w:ascii="Arial" w:cs="Arial" w:eastAsia="Arial" w:hAnsi="Arial"/>
                <w:sz w:val="16"/>
                <w:szCs w:val="16"/>
                <w:color w:val="231F20"/>
              </w:rPr>
              <w:t>of recently iss</w:t>
            </w:r>
          </w:p>
        </w:tc>
        <w:tc>
          <w:tcPr>
            <w:tcW w:w="680" w:type="dxa"/>
            <w:vAlign w:val="bottom"/>
            <w:gridSpan w:val="3"/>
          </w:tcPr>
          <w:p>
            <w:pPr>
              <w:ind w:left="20"/>
              <w:spacing w:after="0"/>
              <w:rPr>
                <w:sz w:val="20"/>
                <w:szCs w:val="20"/>
                <w:color w:val="auto"/>
              </w:rPr>
            </w:pPr>
            <w:r>
              <w:rPr>
                <w:rFonts w:ascii="Arial" w:cs="Arial" w:eastAsia="Arial" w:hAnsi="Arial"/>
                <w:sz w:val="16"/>
                <w:szCs w:val="16"/>
                <w:color w:val="231F20"/>
              </w:rPr>
              <w:t>ed acco</w:t>
            </w:r>
          </w:p>
        </w:tc>
        <w:tc>
          <w:tcPr>
            <w:tcW w:w="1340" w:type="dxa"/>
            <w:vAlign w:val="bottom"/>
            <w:gridSpan w:val="5"/>
          </w:tcPr>
          <w:p>
            <w:pPr>
              <w:jc w:val="center"/>
              <w:ind w:right="19"/>
              <w:spacing w:after="0"/>
              <w:rPr>
                <w:sz w:val="20"/>
                <w:szCs w:val="20"/>
                <w:color w:val="auto"/>
              </w:rPr>
            </w:pPr>
            <w:r>
              <w:rPr>
                <w:rFonts w:ascii="Arial" w:cs="Arial" w:eastAsia="Arial" w:hAnsi="Arial"/>
                <w:sz w:val="16"/>
                <w:szCs w:val="16"/>
                <w:color w:val="231F20"/>
              </w:rPr>
              <w:t>nting standard  o</w:t>
            </w:r>
          </w:p>
        </w:tc>
        <w:tc>
          <w:tcPr>
            <w:tcW w:w="620" w:type="dxa"/>
            <w:vAlign w:val="bottom"/>
          </w:tcPr>
          <w:p>
            <w:pPr>
              <w:ind w:left="40"/>
              <w:spacing w:after="0"/>
              <w:rPr>
                <w:sz w:val="20"/>
                <w:szCs w:val="20"/>
                <w:color w:val="auto"/>
              </w:rPr>
            </w:pPr>
            <w:r>
              <w:rPr>
                <w:rFonts w:ascii="Arial" w:cs="Arial" w:eastAsia="Arial" w:hAnsi="Arial"/>
                <w:sz w:val="16"/>
                <w:szCs w:val="16"/>
                <w:color w:val="231F20"/>
              </w:rPr>
              <w:t>o</w:t>
            </w:r>
          </w:p>
        </w:tc>
      </w:tr>
      <w:tr>
        <w:trPr>
          <w:trHeight w:val="202"/>
        </w:trPr>
        <w:tc>
          <w:tcPr>
            <w:tcW w:w="3280" w:type="dxa"/>
            <w:vAlign w:val="bottom"/>
            <w:gridSpan w:val="7"/>
          </w:tcPr>
          <w:p>
            <w:pPr>
              <w:spacing w:after="0"/>
              <w:rPr>
                <w:sz w:val="20"/>
                <w:szCs w:val="20"/>
                <w:color w:val="auto"/>
              </w:rPr>
            </w:pPr>
            <w:r>
              <w:rPr>
                <w:rFonts w:ascii="Arial" w:cs="Arial" w:eastAsia="Arial" w:hAnsi="Arial"/>
                <w:sz w:val="16"/>
                <w:szCs w:val="16"/>
                <w:color w:val="231F20"/>
              </w:rPr>
              <w:t>financial statements, and othe matter  that ar</w:t>
            </w:r>
          </w:p>
        </w:tc>
        <w:tc>
          <w:tcPr>
            <w:tcW w:w="1280" w:type="dxa"/>
            <w:vAlign w:val="bottom"/>
            <w:gridSpan w:val="4"/>
          </w:tcPr>
          <w:p>
            <w:pPr>
              <w:ind w:left="120"/>
              <w:spacing w:after="0"/>
              <w:rPr>
                <w:sz w:val="20"/>
                <w:szCs w:val="20"/>
                <w:color w:val="auto"/>
              </w:rPr>
            </w:pPr>
            <w:r>
              <w:rPr>
                <w:rFonts w:ascii="Arial" w:cs="Arial" w:eastAsia="Arial" w:hAnsi="Arial"/>
                <w:sz w:val="16"/>
                <w:szCs w:val="16"/>
                <w:color w:val="231F20"/>
              </w:rPr>
              <w:t>not historical in</w:t>
            </w:r>
          </w:p>
        </w:tc>
        <w:tc>
          <w:tcPr>
            <w:tcW w:w="480" w:type="dxa"/>
            <w:vAlign w:val="bottom"/>
            <w:gridSpan w:val="2"/>
          </w:tcPr>
          <w:p>
            <w:pPr>
              <w:ind w:left="40"/>
              <w:spacing w:after="0"/>
              <w:rPr>
                <w:sz w:val="20"/>
                <w:szCs w:val="20"/>
                <w:color w:val="auto"/>
              </w:rPr>
            </w:pPr>
            <w:r>
              <w:rPr>
                <w:rFonts w:ascii="Arial" w:cs="Arial" w:eastAsia="Arial" w:hAnsi="Arial"/>
                <w:sz w:val="16"/>
                <w:szCs w:val="16"/>
                <w:color w:val="231F20"/>
              </w:rPr>
              <w:t>ature</w:t>
            </w:r>
          </w:p>
        </w:tc>
        <w:tc>
          <w:tcPr>
            <w:tcW w:w="1620" w:type="dxa"/>
            <w:vAlign w:val="bottom"/>
            <w:gridSpan w:val="4"/>
          </w:tcPr>
          <w:p>
            <w:pPr>
              <w:spacing w:after="0"/>
              <w:rPr>
                <w:sz w:val="20"/>
                <w:szCs w:val="20"/>
                <w:color w:val="auto"/>
              </w:rPr>
            </w:pPr>
            <w:r>
              <w:rPr>
                <w:rFonts w:ascii="Arial" w:cs="Arial" w:eastAsia="Arial" w:hAnsi="Arial"/>
                <w:sz w:val="16"/>
                <w:szCs w:val="16"/>
                <w:color w:val="231F20"/>
              </w:rPr>
              <w:t>Statements that inc ud</w:t>
            </w:r>
          </w:p>
        </w:tc>
        <w:tc>
          <w:tcPr>
            <w:tcW w:w="260" w:type="dxa"/>
            <w:vAlign w:val="bottom"/>
          </w:tcPr>
          <w:p>
            <w:pPr>
              <w:jc w:val="right"/>
              <w:spacing w:after="0"/>
              <w:rPr>
                <w:sz w:val="20"/>
                <w:szCs w:val="20"/>
                <w:color w:val="auto"/>
              </w:rPr>
            </w:pPr>
            <w:r>
              <w:rPr>
                <w:rFonts w:ascii="Arial" w:cs="Arial" w:eastAsia="Arial" w:hAnsi="Arial"/>
                <w:sz w:val="16"/>
                <w:szCs w:val="16"/>
                <w:color w:val="231F20"/>
              </w:rPr>
              <w:t>th</w:t>
            </w:r>
          </w:p>
        </w:tc>
        <w:tc>
          <w:tcPr>
            <w:tcW w:w="1300" w:type="dxa"/>
            <w:vAlign w:val="bottom"/>
            <w:gridSpan w:val="4"/>
          </w:tcPr>
          <w:p>
            <w:pPr>
              <w:ind w:left="120"/>
              <w:spacing w:after="0"/>
              <w:rPr>
                <w:sz w:val="20"/>
                <w:szCs w:val="20"/>
                <w:color w:val="auto"/>
              </w:rPr>
            </w:pPr>
            <w:r>
              <w:rPr>
                <w:rFonts w:ascii="Arial" w:cs="Arial" w:eastAsia="Arial" w:hAnsi="Arial"/>
                <w:sz w:val="16"/>
                <w:szCs w:val="16"/>
                <w:color w:val="231F20"/>
                <w:w w:val="99"/>
              </w:rPr>
              <w:t>words “bel eves,</w:t>
            </w:r>
          </w:p>
        </w:tc>
        <w:tc>
          <w:tcPr>
            <w:tcW w:w="1960" w:type="dxa"/>
            <w:vAlign w:val="bottom"/>
            <w:gridSpan w:val="6"/>
          </w:tcPr>
          <w:p>
            <w:pPr>
              <w:ind w:left="80"/>
              <w:spacing w:after="0"/>
              <w:rPr>
                <w:sz w:val="20"/>
                <w:szCs w:val="20"/>
                <w:color w:val="auto"/>
              </w:rPr>
            </w:pPr>
            <w:r>
              <w:rPr>
                <w:rFonts w:ascii="Arial" w:cs="Arial" w:eastAsia="Arial" w:hAnsi="Arial"/>
                <w:sz w:val="16"/>
                <w:szCs w:val="16"/>
                <w:color w:val="231F20"/>
              </w:rPr>
              <w:t>“expects ” “anticipates ”</w:t>
            </w:r>
          </w:p>
        </w:tc>
      </w:tr>
      <w:tr>
        <w:trPr>
          <w:trHeight w:val="202"/>
        </w:trPr>
        <w:tc>
          <w:tcPr>
            <w:tcW w:w="400" w:type="dxa"/>
            <w:vAlign w:val="bottom"/>
            <w:gridSpan w:val="2"/>
          </w:tcPr>
          <w:p>
            <w:pPr>
              <w:spacing w:after="0"/>
              <w:rPr>
                <w:sz w:val="20"/>
                <w:szCs w:val="20"/>
                <w:color w:val="auto"/>
              </w:rPr>
            </w:pPr>
            <w:r>
              <w:rPr>
                <w:rFonts w:ascii="Arial" w:cs="Arial" w:eastAsia="Arial" w:hAnsi="Arial"/>
                <w:sz w:val="16"/>
                <w:szCs w:val="16"/>
                <w:color w:val="231F20"/>
              </w:rPr>
              <w:t>“inte</w:t>
            </w:r>
          </w:p>
        </w:tc>
        <w:tc>
          <w:tcPr>
            <w:tcW w:w="4860" w:type="dxa"/>
            <w:vAlign w:val="bottom"/>
            <w:gridSpan w:val="12"/>
          </w:tcPr>
          <w:p>
            <w:pPr>
              <w:jc w:val="right"/>
              <w:spacing w:after="0"/>
              <w:rPr>
                <w:sz w:val="20"/>
                <w:szCs w:val="20"/>
                <w:color w:val="auto"/>
              </w:rPr>
            </w:pPr>
            <w:r>
              <w:rPr>
                <w:rFonts w:ascii="Arial" w:cs="Arial" w:eastAsia="Arial" w:hAnsi="Arial"/>
                <w:sz w:val="16"/>
                <w:szCs w:val="16"/>
                <w:color w:val="231F20"/>
              </w:rPr>
              <w:t>ds,” “projects, “estimates,” “p ans ” “loo k to ” “outlook,” “pos tioned,</w:t>
            </w:r>
          </w:p>
        </w:tc>
        <w:tc>
          <w:tcPr>
            <w:tcW w:w="2960" w:type="dxa"/>
            <w:vAlign w:val="bottom"/>
            <w:gridSpan w:val="8"/>
          </w:tcPr>
          <w:p>
            <w:pPr>
              <w:ind w:left="60"/>
              <w:spacing w:after="0"/>
              <w:rPr>
                <w:sz w:val="20"/>
                <w:szCs w:val="20"/>
                <w:color w:val="auto"/>
              </w:rPr>
            </w:pPr>
            <w:r>
              <w:rPr>
                <w:rFonts w:ascii="Arial" w:cs="Arial" w:eastAsia="Arial" w:hAnsi="Arial"/>
                <w:sz w:val="16"/>
                <w:szCs w:val="16"/>
                <w:color w:val="231F20"/>
              </w:rPr>
              <w:t>“confident,” and “opportunity,” a d s mila</w:t>
            </w:r>
          </w:p>
        </w:tc>
        <w:tc>
          <w:tcPr>
            <w:tcW w:w="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231F20"/>
                <w:w w:val="95"/>
              </w:rPr>
              <w:t>expression</w:t>
            </w:r>
          </w:p>
        </w:tc>
        <w:tc>
          <w:tcPr>
            <w:tcW w:w="1020" w:type="dxa"/>
            <w:vAlign w:val="bottom"/>
            <w:gridSpan w:val="2"/>
          </w:tcPr>
          <w:p>
            <w:pPr>
              <w:ind w:left="60"/>
              <w:spacing w:after="0"/>
              <w:rPr>
                <w:sz w:val="20"/>
                <w:szCs w:val="20"/>
                <w:color w:val="auto"/>
              </w:rPr>
            </w:pPr>
            <w:r>
              <w:rPr>
                <w:rFonts w:ascii="Arial" w:cs="Arial" w:eastAsia="Arial" w:hAnsi="Arial"/>
                <w:sz w:val="16"/>
                <w:szCs w:val="16"/>
                <w:color w:val="231F20"/>
              </w:rPr>
              <w:t>or future or</w:t>
            </w:r>
          </w:p>
        </w:tc>
      </w:tr>
      <w:tr>
        <w:trPr>
          <w:trHeight w:val="202"/>
        </w:trPr>
        <w:tc>
          <w:tcPr>
            <w:tcW w:w="3280" w:type="dxa"/>
            <w:vAlign w:val="bottom"/>
            <w:gridSpan w:val="7"/>
          </w:tcPr>
          <w:p>
            <w:pPr>
              <w:spacing w:after="0"/>
              <w:rPr>
                <w:sz w:val="20"/>
                <w:szCs w:val="20"/>
                <w:color w:val="auto"/>
              </w:rPr>
            </w:pPr>
            <w:r>
              <w:rPr>
                <w:rFonts w:ascii="Arial" w:cs="Arial" w:eastAsia="Arial" w:hAnsi="Arial"/>
                <w:sz w:val="16"/>
                <w:szCs w:val="16"/>
                <w:color w:val="231F20"/>
              </w:rPr>
              <w:t>conditiona verb  such as “will,” “should ” “wo</w:t>
            </w:r>
          </w:p>
        </w:tc>
        <w:tc>
          <w:tcPr>
            <w:tcW w:w="1600" w:type="dxa"/>
            <w:vAlign w:val="bottom"/>
            <w:gridSpan w:val="5"/>
          </w:tcPr>
          <w:p>
            <w:pPr>
              <w:ind w:left="20"/>
              <w:spacing w:after="0"/>
              <w:rPr>
                <w:sz w:val="20"/>
                <w:szCs w:val="20"/>
                <w:color w:val="auto"/>
              </w:rPr>
            </w:pPr>
            <w:r>
              <w:rPr>
                <w:rFonts w:ascii="Arial" w:cs="Arial" w:eastAsia="Arial" w:hAnsi="Arial"/>
                <w:sz w:val="16"/>
                <w:szCs w:val="16"/>
                <w:color w:val="231F20"/>
              </w:rPr>
              <w:t>ld,” “may  and “could</w:t>
            </w:r>
          </w:p>
        </w:tc>
        <w:tc>
          <w:tcPr>
            <w:tcW w:w="160" w:type="dxa"/>
            <w:vAlign w:val="bottom"/>
          </w:tcPr>
          <w:p>
            <w:pPr>
              <w:jc w:val="right"/>
              <w:spacing w:after="0"/>
              <w:rPr>
                <w:sz w:val="20"/>
                <w:szCs w:val="20"/>
                <w:color w:val="auto"/>
              </w:rPr>
            </w:pPr>
            <w:r>
              <w:rPr>
                <w:rFonts w:ascii="Arial" w:cs="Arial" w:eastAsia="Arial" w:hAnsi="Arial"/>
                <w:sz w:val="16"/>
                <w:szCs w:val="16"/>
                <w:color w:val="231F20"/>
                <w:w w:val="98"/>
              </w:rPr>
              <w:t>ar</w:t>
            </w:r>
          </w:p>
        </w:tc>
        <w:tc>
          <w:tcPr>
            <w:tcW w:w="1880" w:type="dxa"/>
            <w:vAlign w:val="bottom"/>
            <w:gridSpan w:val="5"/>
          </w:tcPr>
          <w:p>
            <w:pPr>
              <w:jc w:val="right"/>
              <w:spacing w:after="0"/>
              <w:rPr>
                <w:sz w:val="20"/>
                <w:szCs w:val="20"/>
                <w:color w:val="auto"/>
              </w:rPr>
            </w:pPr>
            <w:r>
              <w:rPr>
                <w:rFonts w:ascii="Arial" w:cs="Arial" w:eastAsia="Arial" w:hAnsi="Arial"/>
                <w:sz w:val="16"/>
                <w:szCs w:val="16"/>
                <w:color w:val="231F20"/>
              </w:rPr>
              <w:t>generally fo ward-lookin</w:t>
            </w:r>
          </w:p>
        </w:tc>
        <w:tc>
          <w:tcPr>
            <w:tcW w:w="1140" w:type="dxa"/>
            <w:vAlign w:val="bottom"/>
            <w:gridSpan w:val="3"/>
          </w:tcPr>
          <w:p>
            <w:pPr>
              <w:ind w:left="100"/>
              <w:spacing w:after="0"/>
              <w:rPr>
                <w:sz w:val="20"/>
                <w:szCs w:val="20"/>
                <w:color w:val="auto"/>
              </w:rPr>
            </w:pPr>
            <w:r>
              <w:rPr>
                <w:rFonts w:ascii="Arial" w:cs="Arial" w:eastAsia="Arial" w:hAnsi="Arial"/>
                <w:sz w:val="16"/>
                <w:szCs w:val="16"/>
                <w:color w:val="231F20"/>
              </w:rPr>
              <w:t>in  atu e and</w:t>
            </w:r>
          </w:p>
        </w:tc>
        <w:tc>
          <w:tcPr>
            <w:tcW w:w="2120" w:type="dxa"/>
            <w:vAlign w:val="bottom"/>
            <w:gridSpan w:val="7"/>
          </w:tcPr>
          <w:p>
            <w:pPr>
              <w:ind w:left="20"/>
              <w:spacing w:after="0"/>
              <w:rPr>
                <w:sz w:val="20"/>
                <w:szCs w:val="20"/>
                <w:color w:val="auto"/>
              </w:rPr>
            </w:pPr>
            <w:r>
              <w:rPr>
                <w:rFonts w:ascii="Arial" w:cs="Arial" w:eastAsia="Arial" w:hAnsi="Arial"/>
                <w:sz w:val="16"/>
                <w:szCs w:val="16"/>
                <w:color w:val="231F20"/>
              </w:rPr>
              <w:t>ot historical facts. Where  n</w:t>
            </w:r>
          </w:p>
        </w:tc>
      </w:tr>
      <w:tr>
        <w:trPr>
          <w:trHeight w:val="202"/>
        </w:trPr>
        <w:tc>
          <w:tcPr>
            <w:tcW w:w="3000" w:type="dxa"/>
            <w:vAlign w:val="bottom"/>
            <w:gridSpan w:val="5"/>
          </w:tcPr>
          <w:p>
            <w:pPr>
              <w:spacing w:after="0"/>
              <w:rPr>
                <w:sz w:val="20"/>
                <w:szCs w:val="20"/>
                <w:color w:val="auto"/>
              </w:rPr>
            </w:pPr>
            <w:r>
              <w:rPr>
                <w:rFonts w:ascii="Arial" w:cs="Arial" w:eastAsia="Arial" w:hAnsi="Arial"/>
                <w:sz w:val="16"/>
                <w:szCs w:val="16"/>
                <w:color w:val="231F20"/>
              </w:rPr>
              <w:t>any fo ward- ook ng statement, we expres</w:t>
            </w:r>
          </w:p>
        </w:tc>
        <w:tc>
          <w:tcPr>
            <w:tcW w:w="3920" w:type="dxa"/>
            <w:vAlign w:val="bottom"/>
            <w:gridSpan w:val="13"/>
          </w:tcPr>
          <w:p>
            <w:pPr>
              <w:jc w:val="right"/>
              <w:ind w:right="19"/>
              <w:spacing w:after="0"/>
              <w:rPr>
                <w:sz w:val="20"/>
                <w:szCs w:val="20"/>
                <w:color w:val="auto"/>
              </w:rPr>
            </w:pPr>
            <w:r>
              <w:rPr>
                <w:rFonts w:ascii="Arial" w:cs="Arial" w:eastAsia="Arial" w:hAnsi="Arial"/>
                <w:sz w:val="16"/>
                <w:szCs w:val="16"/>
                <w:color w:val="231F20"/>
              </w:rPr>
              <w:t>an expectation or belief as to future results or events</w:t>
            </w:r>
          </w:p>
        </w:tc>
        <w:tc>
          <w:tcPr>
            <w:tcW w:w="1140" w:type="dxa"/>
            <w:vAlign w:val="bottom"/>
            <w:gridSpan w:val="3"/>
          </w:tcPr>
          <w:p>
            <w:pPr>
              <w:spacing w:after="0"/>
              <w:rPr>
                <w:sz w:val="20"/>
                <w:szCs w:val="20"/>
                <w:color w:val="auto"/>
              </w:rPr>
            </w:pPr>
            <w:r>
              <w:rPr>
                <w:rFonts w:ascii="Arial" w:cs="Arial" w:eastAsia="Arial" w:hAnsi="Arial"/>
                <w:sz w:val="16"/>
                <w:szCs w:val="16"/>
                <w:color w:val="231F20"/>
              </w:rPr>
              <w:t>such expectatio</w:t>
            </w:r>
          </w:p>
        </w:tc>
        <w:tc>
          <w:tcPr>
            <w:tcW w:w="1500" w:type="dxa"/>
            <w:vAlign w:val="bottom"/>
            <w:gridSpan w:val="6"/>
          </w:tcPr>
          <w:p>
            <w:pPr>
              <w:jc w:val="center"/>
              <w:spacing w:after="0"/>
              <w:rPr>
                <w:sz w:val="20"/>
                <w:szCs w:val="20"/>
                <w:color w:val="auto"/>
              </w:rPr>
            </w:pPr>
            <w:r>
              <w:rPr>
                <w:rFonts w:ascii="Arial" w:cs="Arial" w:eastAsia="Arial" w:hAnsi="Arial"/>
                <w:sz w:val="16"/>
                <w:szCs w:val="16"/>
                <w:color w:val="231F20"/>
                <w:w w:val="99"/>
              </w:rPr>
              <w:t>or belief is based o</w:t>
            </w:r>
          </w:p>
        </w:tc>
        <w:tc>
          <w:tcPr>
            <w:tcW w:w="620" w:type="dxa"/>
            <w:vAlign w:val="bottom"/>
          </w:tcPr>
          <w:p>
            <w:pPr>
              <w:ind w:left="100"/>
              <w:spacing w:after="0"/>
              <w:rPr>
                <w:sz w:val="20"/>
                <w:szCs w:val="20"/>
                <w:color w:val="auto"/>
              </w:rPr>
            </w:pPr>
            <w:r>
              <w:rPr>
                <w:rFonts w:ascii="Arial" w:cs="Arial" w:eastAsia="Arial" w:hAnsi="Arial"/>
                <w:sz w:val="16"/>
                <w:szCs w:val="16"/>
                <w:color w:val="231F20"/>
              </w:rPr>
              <w:t>cu rent</w:t>
            </w:r>
          </w:p>
        </w:tc>
      </w:tr>
      <w:tr>
        <w:trPr>
          <w:trHeight w:val="202"/>
        </w:trPr>
        <w:tc>
          <w:tcPr>
            <w:tcW w:w="980" w:type="dxa"/>
            <w:vAlign w:val="bottom"/>
            <w:gridSpan w:val="3"/>
          </w:tcPr>
          <w:p>
            <w:pPr>
              <w:spacing w:after="0"/>
              <w:rPr>
                <w:sz w:val="20"/>
                <w:szCs w:val="20"/>
                <w:color w:val="auto"/>
              </w:rPr>
            </w:pPr>
            <w:r>
              <w:rPr>
                <w:rFonts w:ascii="Arial" w:cs="Arial" w:eastAsia="Arial" w:hAnsi="Arial"/>
                <w:sz w:val="16"/>
                <w:szCs w:val="16"/>
                <w:color w:val="231F20"/>
              </w:rPr>
              <w:t>expectations</w:t>
            </w:r>
          </w:p>
        </w:tc>
        <w:tc>
          <w:tcPr>
            <w:tcW w:w="9200" w:type="dxa"/>
            <w:vAlign w:val="bottom"/>
            <w:gridSpan w:val="25"/>
          </w:tcPr>
          <w:p>
            <w:pPr>
              <w:ind w:left="20"/>
              <w:spacing w:after="0"/>
              <w:rPr>
                <w:sz w:val="20"/>
                <w:szCs w:val="20"/>
                <w:color w:val="auto"/>
              </w:rPr>
            </w:pPr>
            <w:r>
              <w:rPr>
                <w:rFonts w:ascii="Arial" w:cs="Arial" w:eastAsia="Arial" w:hAnsi="Arial"/>
                <w:sz w:val="16"/>
                <w:szCs w:val="16"/>
                <w:color w:val="231F20"/>
              </w:rPr>
              <w:t>p ans, estimates, assumptions, and projections of our manageme nt about our indust y, business and future financia results</w:t>
            </w:r>
          </w:p>
        </w:tc>
      </w:tr>
      <w:tr>
        <w:trPr>
          <w:trHeight w:val="202"/>
        </w:trPr>
        <w:tc>
          <w:tcPr>
            <w:tcW w:w="980" w:type="dxa"/>
            <w:vAlign w:val="bottom"/>
            <w:gridSpan w:val="3"/>
          </w:tcPr>
          <w:p>
            <w:pPr>
              <w:spacing w:after="0"/>
              <w:rPr>
                <w:sz w:val="20"/>
                <w:szCs w:val="20"/>
                <w:color w:val="auto"/>
              </w:rPr>
            </w:pPr>
            <w:r>
              <w:rPr>
                <w:rFonts w:ascii="Arial" w:cs="Arial" w:eastAsia="Arial" w:hAnsi="Arial"/>
                <w:sz w:val="16"/>
                <w:szCs w:val="16"/>
                <w:color w:val="231F20"/>
              </w:rPr>
              <w:t>availabl  at th</w:t>
            </w:r>
          </w:p>
        </w:tc>
        <w:tc>
          <w:tcPr>
            <w:tcW w:w="2200" w:type="dxa"/>
            <w:vAlign w:val="bottom"/>
            <w:gridSpan w:val="3"/>
          </w:tcPr>
          <w:p>
            <w:pPr>
              <w:ind w:left="120"/>
              <w:spacing w:after="0"/>
              <w:rPr>
                <w:sz w:val="20"/>
                <w:szCs w:val="20"/>
                <w:color w:val="auto"/>
              </w:rPr>
            </w:pPr>
            <w:r>
              <w:rPr>
                <w:rFonts w:ascii="Arial" w:cs="Arial" w:eastAsia="Arial" w:hAnsi="Arial"/>
                <w:sz w:val="16"/>
                <w:szCs w:val="16"/>
                <w:color w:val="231F20"/>
              </w:rPr>
              <w:t>time this re ort is filed w th th</w:t>
            </w:r>
          </w:p>
        </w:tc>
        <w:tc>
          <w:tcPr>
            <w:tcW w:w="100" w:type="dxa"/>
            <w:vAlign w:val="bottom"/>
          </w:tcPr>
          <w:p>
            <w:pPr>
              <w:spacing w:after="0"/>
              <w:rPr>
                <w:sz w:val="17"/>
                <w:szCs w:val="17"/>
                <w:color w:val="auto"/>
              </w:rPr>
            </w:pPr>
          </w:p>
        </w:tc>
        <w:tc>
          <w:tcPr>
            <w:tcW w:w="3640" w:type="dxa"/>
            <w:vAlign w:val="bottom"/>
            <w:gridSpan w:val="11"/>
          </w:tcPr>
          <w:p>
            <w:pPr>
              <w:ind w:left="40"/>
              <w:spacing w:after="0"/>
              <w:rPr>
                <w:sz w:val="20"/>
                <w:szCs w:val="20"/>
                <w:color w:val="auto"/>
              </w:rPr>
            </w:pPr>
            <w:r>
              <w:rPr>
                <w:rFonts w:ascii="Arial" w:cs="Arial" w:eastAsia="Arial" w:hAnsi="Arial"/>
                <w:sz w:val="16"/>
                <w:szCs w:val="16"/>
                <w:color w:val="231F20"/>
              </w:rPr>
              <w:t>Securities and Exchange Comm ssion (the “SEC”)</w:t>
            </w:r>
          </w:p>
        </w:tc>
        <w:tc>
          <w:tcPr>
            <w:tcW w:w="1400" w:type="dxa"/>
            <w:vAlign w:val="bottom"/>
            <w:gridSpan w:val="5"/>
          </w:tcPr>
          <w:p>
            <w:pPr>
              <w:spacing w:after="0"/>
              <w:rPr>
                <w:sz w:val="20"/>
                <w:szCs w:val="20"/>
                <w:color w:val="auto"/>
              </w:rPr>
            </w:pPr>
            <w:r>
              <w:rPr>
                <w:rFonts w:ascii="Arial" w:cs="Arial" w:eastAsia="Arial" w:hAnsi="Arial"/>
                <w:sz w:val="16"/>
                <w:szCs w:val="16"/>
                <w:color w:val="231F20"/>
              </w:rPr>
              <w:t>A though we believ</w:t>
            </w:r>
          </w:p>
        </w:tc>
        <w:tc>
          <w:tcPr>
            <w:tcW w:w="840" w:type="dxa"/>
            <w:vAlign w:val="bottom"/>
            <w:gridSpan w:val="3"/>
          </w:tcPr>
          <w:p>
            <w:pPr>
              <w:ind w:left="80"/>
              <w:spacing w:after="0"/>
              <w:rPr>
                <w:sz w:val="20"/>
                <w:szCs w:val="20"/>
                <w:color w:val="auto"/>
              </w:rPr>
            </w:pPr>
            <w:r>
              <w:rPr>
                <w:rFonts w:ascii="Arial" w:cs="Arial" w:eastAsia="Arial" w:hAnsi="Arial"/>
                <w:sz w:val="16"/>
                <w:szCs w:val="16"/>
                <w:color w:val="231F20"/>
              </w:rPr>
              <w:t>that thes</w:t>
            </w:r>
          </w:p>
        </w:tc>
        <w:tc>
          <w:tcPr>
            <w:tcW w:w="1020" w:type="dxa"/>
            <w:vAlign w:val="bottom"/>
            <w:gridSpan w:val="2"/>
          </w:tcPr>
          <w:p>
            <w:pPr>
              <w:spacing w:after="0"/>
              <w:rPr>
                <w:sz w:val="20"/>
                <w:szCs w:val="20"/>
                <w:color w:val="auto"/>
              </w:rPr>
            </w:pPr>
            <w:r>
              <w:rPr>
                <w:rFonts w:ascii="Arial" w:cs="Arial" w:eastAsia="Arial" w:hAnsi="Arial"/>
                <w:sz w:val="16"/>
                <w:szCs w:val="16"/>
                <w:color w:val="231F20"/>
              </w:rPr>
              <w:t>stateme ts</w:t>
            </w:r>
          </w:p>
        </w:tc>
      </w:tr>
      <w:tr>
        <w:trPr>
          <w:trHeight w:val="202"/>
        </w:trPr>
        <w:tc>
          <w:tcPr>
            <w:tcW w:w="240" w:type="dxa"/>
            <w:vAlign w:val="bottom"/>
          </w:tcPr>
          <w:p>
            <w:pPr>
              <w:spacing w:after="0"/>
              <w:rPr>
                <w:sz w:val="20"/>
                <w:szCs w:val="20"/>
                <w:color w:val="auto"/>
              </w:rPr>
            </w:pPr>
            <w:r>
              <w:rPr>
                <w:rFonts w:ascii="Arial" w:cs="Arial" w:eastAsia="Arial" w:hAnsi="Arial"/>
                <w:sz w:val="16"/>
                <w:szCs w:val="16"/>
                <w:color w:val="231F20"/>
              </w:rPr>
              <w:t>ar</w:t>
            </w:r>
          </w:p>
        </w:tc>
        <w:tc>
          <w:tcPr>
            <w:tcW w:w="3040" w:type="dxa"/>
            <w:vAlign w:val="bottom"/>
            <w:gridSpan w:val="6"/>
          </w:tcPr>
          <w:p>
            <w:pPr>
              <w:ind w:left="20"/>
              <w:spacing w:after="0"/>
              <w:rPr>
                <w:sz w:val="20"/>
                <w:szCs w:val="20"/>
                <w:color w:val="auto"/>
              </w:rPr>
            </w:pPr>
            <w:r>
              <w:rPr>
                <w:rFonts w:ascii="Arial" w:cs="Arial" w:eastAsia="Arial" w:hAnsi="Arial"/>
                <w:sz w:val="16"/>
                <w:szCs w:val="16"/>
                <w:color w:val="231F20"/>
                <w:w w:val="99"/>
              </w:rPr>
              <w:t>based on reasonab e assumptions, they ar</w:t>
            </w:r>
          </w:p>
        </w:tc>
        <w:tc>
          <w:tcPr>
            <w:tcW w:w="2860" w:type="dxa"/>
            <w:vAlign w:val="bottom"/>
            <w:gridSpan w:val="8"/>
          </w:tcPr>
          <w:p>
            <w:pPr>
              <w:ind w:left="140"/>
              <w:spacing w:after="0"/>
              <w:rPr>
                <w:sz w:val="20"/>
                <w:szCs w:val="20"/>
                <w:color w:val="auto"/>
              </w:rPr>
            </w:pPr>
            <w:r>
              <w:rPr>
                <w:rFonts w:ascii="Arial" w:cs="Arial" w:eastAsia="Arial" w:hAnsi="Arial"/>
                <w:sz w:val="16"/>
                <w:szCs w:val="16"/>
                <w:color w:val="231F20"/>
              </w:rPr>
              <w:t>s b ect to numerous factors, risks and</w:t>
            </w:r>
          </w:p>
        </w:tc>
        <w:tc>
          <w:tcPr>
            <w:tcW w:w="2180" w:type="dxa"/>
            <w:vAlign w:val="bottom"/>
            <w:gridSpan w:val="8"/>
          </w:tcPr>
          <w:p>
            <w:pPr>
              <w:ind w:left="140"/>
              <w:spacing w:after="0"/>
              <w:rPr>
                <w:sz w:val="20"/>
                <w:szCs w:val="20"/>
                <w:color w:val="auto"/>
              </w:rPr>
            </w:pPr>
            <w:r>
              <w:rPr>
                <w:rFonts w:ascii="Arial" w:cs="Arial" w:eastAsia="Arial" w:hAnsi="Arial"/>
                <w:sz w:val="16"/>
                <w:szCs w:val="16"/>
                <w:color w:val="231F20"/>
              </w:rPr>
              <w:t>ncerta nties that could caus</w:t>
            </w:r>
          </w:p>
        </w:tc>
        <w:tc>
          <w:tcPr>
            <w:tcW w:w="1860" w:type="dxa"/>
            <w:vAlign w:val="bottom"/>
            <w:gridSpan w:val="5"/>
          </w:tcPr>
          <w:p>
            <w:pPr>
              <w:ind w:left="60"/>
              <w:spacing w:after="0"/>
              <w:rPr>
                <w:sz w:val="20"/>
                <w:szCs w:val="20"/>
                <w:color w:val="auto"/>
              </w:rPr>
            </w:pPr>
            <w:r>
              <w:rPr>
                <w:rFonts w:ascii="Arial" w:cs="Arial" w:eastAsia="Arial" w:hAnsi="Arial"/>
                <w:sz w:val="16"/>
                <w:szCs w:val="16"/>
                <w:color w:val="231F20"/>
              </w:rPr>
              <w:t>actual outcomes and</w:t>
            </w:r>
          </w:p>
        </w:tc>
      </w:tr>
      <w:tr>
        <w:trPr>
          <w:trHeight w:val="202"/>
        </w:trPr>
        <w:tc>
          <w:tcPr>
            <w:tcW w:w="240" w:type="dxa"/>
            <w:vAlign w:val="bottom"/>
          </w:tcPr>
          <w:p>
            <w:pPr>
              <w:spacing w:after="0"/>
              <w:rPr>
                <w:sz w:val="20"/>
                <w:szCs w:val="20"/>
                <w:color w:val="auto"/>
              </w:rPr>
            </w:pPr>
            <w:r>
              <w:rPr>
                <w:rFonts w:ascii="Arial" w:cs="Arial" w:eastAsia="Arial" w:hAnsi="Arial"/>
                <w:sz w:val="16"/>
                <w:szCs w:val="16"/>
                <w:color w:val="231F20"/>
                <w:w w:val="98"/>
              </w:rPr>
              <w:t>res</w:t>
            </w:r>
          </w:p>
        </w:tc>
        <w:tc>
          <w:tcPr>
            <w:tcW w:w="160" w:type="dxa"/>
            <w:vAlign w:val="bottom"/>
          </w:tcPr>
          <w:p>
            <w:pPr>
              <w:ind w:left="60"/>
              <w:spacing w:after="0"/>
              <w:rPr>
                <w:sz w:val="20"/>
                <w:szCs w:val="20"/>
                <w:color w:val="auto"/>
              </w:rPr>
            </w:pPr>
            <w:r>
              <w:rPr>
                <w:rFonts w:ascii="Arial" w:cs="Arial" w:eastAsia="Arial" w:hAnsi="Arial"/>
                <w:sz w:val="16"/>
                <w:szCs w:val="16"/>
                <w:color w:val="231F20"/>
                <w:w w:val="99"/>
              </w:rPr>
              <w:t>lt</w:t>
            </w:r>
          </w:p>
        </w:tc>
        <w:tc>
          <w:tcPr>
            <w:tcW w:w="2600" w:type="dxa"/>
            <w:vAlign w:val="bottom"/>
            <w:gridSpan w:val="3"/>
          </w:tcPr>
          <w:p>
            <w:pPr>
              <w:ind w:left="100"/>
              <w:spacing w:after="0"/>
              <w:rPr>
                <w:sz w:val="20"/>
                <w:szCs w:val="20"/>
                <w:color w:val="auto"/>
              </w:rPr>
            </w:pPr>
            <w:r>
              <w:rPr>
                <w:rFonts w:ascii="Arial" w:cs="Arial" w:eastAsia="Arial" w:hAnsi="Arial"/>
                <w:sz w:val="16"/>
                <w:szCs w:val="16"/>
                <w:color w:val="231F20"/>
              </w:rPr>
              <w:t>to be materially d ffere t from thos</w:t>
            </w:r>
          </w:p>
        </w:tc>
        <w:tc>
          <w:tcPr>
            <w:tcW w:w="3440" w:type="dxa"/>
            <w:vAlign w:val="bottom"/>
            <w:gridSpan w:val="11"/>
          </w:tcPr>
          <w:p>
            <w:pPr>
              <w:ind w:left="60"/>
              <w:spacing w:after="0"/>
              <w:rPr>
                <w:sz w:val="20"/>
                <w:szCs w:val="20"/>
                <w:color w:val="auto"/>
              </w:rPr>
            </w:pPr>
            <w:r>
              <w:rPr>
                <w:rFonts w:ascii="Arial" w:cs="Arial" w:eastAsia="Arial" w:hAnsi="Arial"/>
                <w:sz w:val="16"/>
                <w:szCs w:val="16"/>
                <w:color w:val="231F20"/>
              </w:rPr>
              <w:t>ind cated in s ch statements in c uding but not</w:t>
            </w:r>
          </w:p>
        </w:tc>
        <w:tc>
          <w:tcPr>
            <w:tcW w:w="1100" w:type="dxa"/>
            <w:vAlign w:val="bottom"/>
            <w:gridSpan w:val="3"/>
          </w:tcPr>
          <w:p>
            <w:pPr>
              <w:ind w:left="60"/>
              <w:spacing w:after="0"/>
              <w:rPr>
                <w:sz w:val="20"/>
                <w:szCs w:val="20"/>
                <w:color w:val="auto"/>
              </w:rPr>
            </w:pPr>
            <w:r>
              <w:rPr>
                <w:rFonts w:ascii="Arial" w:cs="Arial" w:eastAsia="Arial" w:hAnsi="Arial"/>
                <w:sz w:val="16"/>
                <w:szCs w:val="16"/>
                <w:color w:val="231F20"/>
              </w:rPr>
              <w:t>imited to, thos</w:t>
            </w:r>
          </w:p>
        </w:tc>
        <w:tc>
          <w:tcPr>
            <w:tcW w:w="1620" w:type="dxa"/>
            <w:vAlign w:val="bottom"/>
            <w:gridSpan w:val="7"/>
          </w:tcPr>
          <w:p>
            <w:pPr>
              <w:jc w:val="right"/>
              <w:ind w:right="19"/>
              <w:spacing w:after="0"/>
              <w:rPr>
                <w:sz w:val="20"/>
                <w:szCs w:val="20"/>
                <w:color w:val="auto"/>
              </w:rPr>
            </w:pPr>
            <w:r>
              <w:rPr>
                <w:rFonts w:ascii="Arial" w:cs="Arial" w:eastAsia="Arial" w:hAnsi="Arial"/>
                <w:sz w:val="16"/>
                <w:szCs w:val="16"/>
                <w:color w:val="231F20"/>
              </w:rPr>
              <w:t>listed in Item 1A of o</w:t>
            </w:r>
          </w:p>
        </w:tc>
        <w:tc>
          <w:tcPr>
            <w:tcW w:w="400" w:type="dxa"/>
            <w:vAlign w:val="bottom"/>
          </w:tcPr>
          <w:p>
            <w:pPr>
              <w:ind w:left="80"/>
              <w:spacing w:after="0"/>
              <w:rPr>
                <w:sz w:val="20"/>
                <w:szCs w:val="20"/>
                <w:color w:val="auto"/>
              </w:rPr>
            </w:pPr>
            <w:r>
              <w:rPr>
                <w:rFonts w:ascii="Arial" w:cs="Arial" w:eastAsia="Arial" w:hAnsi="Arial"/>
                <w:sz w:val="16"/>
                <w:szCs w:val="16"/>
                <w:color w:val="231F20"/>
              </w:rPr>
              <w:t>An</w:t>
            </w:r>
          </w:p>
        </w:tc>
        <w:tc>
          <w:tcPr>
            <w:tcW w:w="620" w:type="dxa"/>
            <w:vAlign w:val="bottom"/>
          </w:tcPr>
          <w:p>
            <w:pPr>
              <w:ind w:left="60"/>
              <w:spacing w:after="0"/>
              <w:rPr>
                <w:sz w:val="20"/>
                <w:szCs w:val="20"/>
                <w:color w:val="auto"/>
              </w:rPr>
            </w:pPr>
            <w:r>
              <w:rPr>
                <w:rFonts w:ascii="Arial" w:cs="Arial" w:eastAsia="Arial" w:hAnsi="Arial"/>
                <w:sz w:val="16"/>
                <w:szCs w:val="16"/>
                <w:color w:val="231F20"/>
              </w:rPr>
              <w:t>a</w:t>
            </w:r>
          </w:p>
        </w:tc>
      </w:tr>
      <w:tr>
        <w:trPr>
          <w:trHeight w:val="202"/>
        </w:trPr>
        <w:tc>
          <w:tcPr>
            <w:tcW w:w="1720" w:type="dxa"/>
            <w:vAlign w:val="bottom"/>
            <w:gridSpan w:val="4"/>
          </w:tcPr>
          <w:p>
            <w:pPr>
              <w:spacing w:after="0"/>
              <w:rPr>
                <w:sz w:val="20"/>
                <w:szCs w:val="20"/>
                <w:color w:val="auto"/>
              </w:rPr>
            </w:pPr>
            <w:r>
              <w:rPr>
                <w:rFonts w:ascii="Arial" w:cs="Arial" w:eastAsia="Arial" w:hAnsi="Arial"/>
                <w:sz w:val="16"/>
                <w:szCs w:val="16"/>
                <w:color w:val="231F20"/>
              </w:rPr>
              <w:t>Report on Form 10-K fo</w:t>
            </w:r>
          </w:p>
        </w:tc>
        <w:tc>
          <w:tcPr>
            <w:tcW w:w="2640" w:type="dxa"/>
            <w:vAlign w:val="bottom"/>
            <w:gridSpan w:val="6"/>
          </w:tcPr>
          <w:p>
            <w:pPr>
              <w:ind w:left="60"/>
              <w:spacing w:after="0"/>
              <w:rPr>
                <w:sz w:val="20"/>
                <w:szCs w:val="20"/>
                <w:color w:val="auto"/>
              </w:rPr>
            </w:pPr>
            <w:r>
              <w:rPr>
                <w:rFonts w:ascii="Arial" w:cs="Arial" w:eastAsia="Arial" w:hAnsi="Arial"/>
                <w:sz w:val="16"/>
                <w:szCs w:val="16"/>
                <w:color w:val="231F20"/>
              </w:rPr>
              <w:t>th  year ended December 30, 2023</w:t>
            </w:r>
          </w:p>
        </w:tc>
        <w:tc>
          <w:tcPr>
            <w:tcW w:w="900" w:type="dxa"/>
            <w:vAlign w:val="bottom"/>
            <w:gridSpan w:val="4"/>
          </w:tcPr>
          <w:p>
            <w:pPr>
              <w:jc w:val="right"/>
              <w:spacing w:after="0"/>
              <w:rPr>
                <w:sz w:val="20"/>
                <w:szCs w:val="20"/>
                <w:color w:val="auto"/>
              </w:rPr>
            </w:pPr>
            <w:r>
              <w:rPr>
                <w:rFonts w:ascii="Arial" w:cs="Arial" w:eastAsia="Arial" w:hAnsi="Arial"/>
                <w:sz w:val="16"/>
                <w:szCs w:val="16"/>
                <w:color w:val="231F20"/>
              </w:rPr>
              <w:t>filed w th th</w:t>
            </w:r>
          </w:p>
        </w:tc>
        <w:tc>
          <w:tcPr>
            <w:tcW w:w="2280" w:type="dxa"/>
            <w:vAlign w:val="bottom"/>
            <w:gridSpan w:val="5"/>
          </w:tcPr>
          <w:p>
            <w:pPr>
              <w:jc w:val="center"/>
              <w:spacing w:after="0"/>
              <w:rPr>
                <w:sz w:val="20"/>
                <w:szCs w:val="20"/>
                <w:color w:val="auto"/>
              </w:rPr>
            </w:pPr>
            <w:r>
              <w:rPr>
                <w:rFonts w:ascii="Arial" w:cs="Arial" w:eastAsia="Arial" w:hAnsi="Arial"/>
                <w:sz w:val="16"/>
                <w:szCs w:val="16"/>
                <w:color w:val="231F20"/>
                <w:w w:val="98"/>
              </w:rPr>
              <w:t>SEC and inc uded w th this re</w:t>
            </w:r>
          </w:p>
        </w:tc>
        <w:tc>
          <w:tcPr>
            <w:tcW w:w="1260" w:type="dxa"/>
            <w:vAlign w:val="bottom"/>
            <w:gridSpan w:val="6"/>
          </w:tcPr>
          <w:p>
            <w:pPr>
              <w:spacing w:after="0"/>
              <w:rPr>
                <w:sz w:val="20"/>
                <w:szCs w:val="20"/>
                <w:color w:val="auto"/>
              </w:rPr>
            </w:pPr>
            <w:r>
              <w:rPr>
                <w:rFonts w:ascii="Arial" w:cs="Arial" w:eastAsia="Arial" w:hAnsi="Arial"/>
                <w:sz w:val="16"/>
                <w:szCs w:val="16"/>
                <w:color w:val="231F20"/>
              </w:rPr>
              <w:t>ort. We undertak</w:t>
            </w:r>
          </w:p>
        </w:tc>
        <w:tc>
          <w:tcPr>
            <w:tcW w:w="1380" w:type="dxa"/>
            <w:vAlign w:val="bottom"/>
            <w:gridSpan w:val="3"/>
          </w:tcPr>
          <w:p>
            <w:pPr>
              <w:ind w:left="60"/>
              <w:spacing w:after="0"/>
              <w:rPr>
                <w:sz w:val="20"/>
                <w:szCs w:val="20"/>
                <w:color w:val="auto"/>
              </w:rPr>
            </w:pPr>
            <w:r>
              <w:rPr>
                <w:rFonts w:ascii="Arial" w:cs="Arial" w:eastAsia="Arial" w:hAnsi="Arial"/>
                <w:sz w:val="16"/>
                <w:szCs w:val="16"/>
                <w:color w:val="231F20"/>
              </w:rPr>
              <w:t>no obligation to</w:t>
            </w:r>
          </w:p>
        </w:tc>
      </w:tr>
      <w:tr>
        <w:trPr>
          <w:trHeight w:val="202"/>
        </w:trPr>
        <w:tc>
          <w:tcPr>
            <w:tcW w:w="3280" w:type="dxa"/>
            <w:vAlign w:val="bottom"/>
            <w:gridSpan w:val="7"/>
          </w:tcPr>
          <w:p>
            <w:pPr>
              <w:spacing w:after="0"/>
              <w:rPr>
                <w:sz w:val="20"/>
                <w:szCs w:val="20"/>
                <w:color w:val="auto"/>
              </w:rPr>
            </w:pPr>
            <w:r>
              <w:rPr>
                <w:rFonts w:ascii="Arial" w:cs="Arial" w:eastAsia="Arial" w:hAnsi="Arial"/>
                <w:sz w:val="16"/>
                <w:szCs w:val="16"/>
                <w:color w:val="231F20"/>
              </w:rPr>
              <w:t>and expressly disclaim any s ch obligation to</w:t>
            </w:r>
          </w:p>
        </w:tc>
        <w:tc>
          <w:tcPr>
            <w:tcW w:w="6900" w:type="dxa"/>
            <w:vAlign w:val="bottom"/>
            <w:gridSpan w:val="21"/>
          </w:tcPr>
          <w:p>
            <w:pPr>
              <w:spacing w:after="0"/>
              <w:rPr>
                <w:sz w:val="20"/>
                <w:szCs w:val="20"/>
                <w:color w:val="auto"/>
              </w:rPr>
            </w:pPr>
            <w:r>
              <w:rPr>
                <w:rFonts w:ascii="Arial" w:cs="Arial" w:eastAsia="Arial" w:hAnsi="Arial"/>
                <w:sz w:val="16"/>
                <w:szCs w:val="16"/>
                <w:color w:val="231F20"/>
              </w:rPr>
              <w:t>update, amend, clarify, or rev se any fo ward-lookin  statements to reflect changed assumptions,</w:t>
            </w:r>
          </w:p>
        </w:tc>
      </w:tr>
      <w:tr>
        <w:trPr>
          <w:trHeight w:val="202"/>
        </w:trPr>
        <w:tc>
          <w:tcPr>
            <w:tcW w:w="240" w:type="dxa"/>
            <w:vAlign w:val="bottom"/>
          </w:tcPr>
          <w:p>
            <w:pPr>
              <w:spacing w:after="0"/>
              <w:rPr>
                <w:sz w:val="20"/>
                <w:szCs w:val="20"/>
                <w:color w:val="auto"/>
              </w:rPr>
            </w:pPr>
            <w:r>
              <w:rPr>
                <w:rFonts w:ascii="Arial" w:cs="Arial" w:eastAsia="Arial" w:hAnsi="Arial"/>
                <w:sz w:val="16"/>
                <w:szCs w:val="16"/>
                <w:color w:val="231F20"/>
              </w:rPr>
              <w:t>th</w:t>
            </w:r>
          </w:p>
        </w:tc>
        <w:tc>
          <w:tcPr>
            <w:tcW w:w="1480" w:type="dxa"/>
            <w:vAlign w:val="bottom"/>
            <w:gridSpan w:val="3"/>
          </w:tcPr>
          <w:p>
            <w:pPr>
              <w:ind w:left="20"/>
              <w:spacing w:after="0"/>
              <w:rPr>
                <w:sz w:val="20"/>
                <w:szCs w:val="20"/>
                <w:color w:val="auto"/>
              </w:rPr>
            </w:pPr>
            <w:r>
              <w:rPr>
                <w:rFonts w:ascii="Arial" w:cs="Arial" w:eastAsia="Arial" w:hAnsi="Arial"/>
                <w:sz w:val="16"/>
                <w:szCs w:val="16"/>
                <w:color w:val="231F20"/>
              </w:rPr>
              <w:t>occu rence of antici</w:t>
            </w:r>
          </w:p>
        </w:tc>
        <w:tc>
          <w:tcPr>
            <w:tcW w:w="3320" w:type="dxa"/>
            <w:vAlign w:val="bottom"/>
            <w:gridSpan w:val="9"/>
          </w:tcPr>
          <w:p>
            <w:pPr>
              <w:jc w:val="right"/>
              <w:ind w:right="59"/>
              <w:spacing w:after="0"/>
              <w:rPr>
                <w:sz w:val="20"/>
                <w:szCs w:val="20"/>
                <w:color w:val="auto"/>
              </w:rPr>
            </w:pPr>
            <w:r>
              <w:rPr>
                <w:rFonts w:ascii="Arial" w:cs="Arial" w:eastAsia="Arial" w:hAnsi="Arial"/>
                <w:sz w:val="16"/>
                <w:szCs w:val="16"/>
                <w:color w:val="231F20"/>
              </w:rPr>
              <w:t>ated or unanticipated events, new informatio</w:t>
            </w:r>
          </w:p>
        </w:tc>
        <w:tc>
          <w:tcPr>
            <w:tcW w:w="5140" w:type="dxa"/>
            <w:vAlign w:val="bottom"/>
            <w:gridSpan w:val="15"/>
          </w:tcPr>
          <w:p>
            <w:pPr>
              <w:spacing w:after="0"/>
              <w:rPr>
                <w:sz w:val="20"/>
                <w:szCs w:val="20"/>
                <w:color w:val="auto"/>
              </w:rPr>
            </w:pPr>
            <w:r>
              <w:rPr>
                <w:rFonts w:ascii="Arial" w:cs="Arial" w:eastAsia="Arial" w:hAnsi="Arial"/>
                <w:sz w:val="16"/>
                <w:szCs w:val="16"/>
                <w:color w:val="231F20"/>
              </w:rPr>
              <w:t>or change  to future res lts over time or othe wise, except as req ired</w:t>
            </w:r>
          </w:p>
        </w:tc>
      </w:tr>
      <w:tr>
        <w:trPr>
          <w:trHeight w:val="202"/>
        </w:trPr>
        <w:tc>
          <w:tcPr>
            <w:tcW w:w="980" w:type="dxa"/>
            <w:vAlign w:val="bottom"/>
            <w:gridSpan w:val="3"/>
          </w:tcPr>
          <w:p>
            <w:pPr>
              <w:spacing w:after="0"/>
              <w:rPr>
                <w:sz w:val="20"/>
                <w:szCs w:val="20"/>
                <w:color w:val="auto"/>
              </w:rPr>
            </w:pPr>
            <w:r>
              <w:rPr>
                <w:rFonts w:ascii="Arial" w:cs="Arial" w:eastAsia="Arial" w:hAnsi="Arial"/>
                <w:sz w:val="16"/>
                <w:szCs w:val="16"/>
                <w:color w:val="231F20"/>
              </w:rPr>
              <w:t>by law.</w:t>
            </w: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Use of Non- GAAP Financial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56515</wp:posOffset>
                </wp:positionV>
                <wp:extent cx="651256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2560" cy="4763"/>
                        </a:xfrm>
                        <a:prstGeom prst="line">
                          <a:avLst/>
                        </a:prstGeom>
                        <a:solidFill>
                          <a:srgbClr val="FFFFFF"/>
                        </a:solidFill>
                        <a:ln w="3212">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999pt,4.45pt" to="512.4pt,4.45pt" o:allowincell="f" strokecolor="#231F20" strokeweight="0.2529pt"/>
            </w:pict>
          </mc:Fallback>
        </mc:AlternateConten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 w:type="dxa"/>
            <w:vAlign w:val="bottom"/>
          </w:tcPr>
          <w:p>
            <w:pPr>
              <w:spacing w:after="0"/>
              <w:rPr>
                <w:sz w:val="20"/>
                <w:szCs w:val="20"/>
                <w:color w:val="auto"/>
              </w:rPr>
            </w:pPr>
            <w:r>
              <w:rPr>
                <w:rFonts w:ascii="Arial" w:cs="Arial" w:eastAsia="Arial" w:hAnsi="Arial"/>
                <w:sz w:val="16"/>
                <w:szCs w:val="16"/>
                <w:color w:val="231F20"/>
              </w:rPr>
              <w:t>This a n</w:t>
            </w:r>
          </w:p>
        </w:tc>
        <w:tc>
          <w:tcPr>
            <w:tcW w:w="400" w:type="dxa"/>
            <w:vAlign w:val="bottom"/>
          </w:tcPr>
          <w:p>
            <w:pPr>
              <w:ind w:left="80"/>
              <w:spacing w:after="0"/>
              <w:rPr>
                <w:sz w:val="20"/>
                <w:szCs w:val="20"/>
                <w:color w:val="auto"/>
              </w:rPr>
            </w:pPr>
            <w:r>
              <w:rPr>
                <w:rFonts w:ascii="Arial" w:cs="Arial" w:eastAsia="Arial" w:hAnsi="Arial"/>
                <w:sz w:val="16"/>
                <w:szCs w:val="16"/>
                <w:color w:val="231F20"/>
              </w:rPr>
              <w:t>a re</w:t>
            </w:r>
          </w:p>
        </w:tc>
        <w:tc>
          <w:tcPr>
            <w:tcW w:w="2940" w:type="dxa"/>
            <w:vAlign w:val="bottom"/>
            <w:gridSpan w:val="3"/>
          </w:tcPr>
          <w:p>
            <w:pPr>
              <w:ind w:left="80"/>
              <w:spacing w:after="0"/>
              <w:rPr>
                <w:sz w:val="20"/>
                <w:szCs w:val="20"/>
                <w:color w:val="auto"/>
              </w:rPr>
            </w:pPr>
            <w:r>
              <w:rPr>
                <w:rFonts w:ascii="Arial" w:cs="Arial" w:eastAsia="Arial" w:hAnsi="Arial"/>
                <w:sz w:val="16"/>
                <w:szCs w:val="16"/>
                <w:color w:val="231F20"/>
              </w:rPr>
              <w:t>ort includes financia measures includ n</w:t>
            </w:r>
          </w:p>
        </w:tc>
        <w:tc>
          <w:tcPr>
            <w:tcW w:w="820" w:type="dxa"/>
            <w:vAlign w:val="bottom"/>
            <w:gridSpan w:val="2"/>
          </w:tcPr>
          <w:p>
            <w:pPr>
              <w:ind w:left="140"/>
              <w:spacing w:after="0"/>
              <w:rPr>
                <w:sz w:val="20"/>
                <w:szCs w:val="20"/>
                <w:color w:val="auto"/>
              </w:rPr>
            </w:pPr>
            <w:r>
              <w:rPr>
                <w:rFonts w:ascii="Arial" w:cs="Arial" w:eastAsia="Arial" w:hAnsi="Arial"/>
                <w:sz w:val="16"/>
                <w:szCs w:val="16"/>
                <w:color w:val="231F20"/>
              </w:rPr>
              <w:t>operatin</w:t>
            </w:r>
          </w:p>
        </w:tc>
        <w:tc>
          <w:tcPr>
            <w:tcW w:w="620" w:type="dxa"/>
            <w:vAlign w:val="bottom"/>
          </w:tcPr>
          <w:p>
            <w:pPr>
              <w:ind w:left="60"/>
              <w:spacing w:after="0"/>
              <w:rPr>
                <w:sz w:val="20"/>
                <w:szCs w:val="20"/>
                <w:color w:val="auto"/>
              </w:rPr>
            </w:pPr>
            <w:r>
              <w:rPr>
                <w:rFonts w:ascii="Arial" w:cs="Arial" w:eastAsia="Arial" w:hAnsi="Arial"/>
                <w:sz w:val="16"/>
                <w:szCs w:val="16"/>
                <w:color w:val="231F20"/>
              </w:rPr>
              <w:t>incom</w:t>
            </w:r>
          </w:p>
        </w:tc>
        <w:tc>
          <w:tcPr>
            <w:tcW w:w="2260" w:type="dxa"/>
            <w:vAlign w:val="bottom"/>
            <w:gridSpan w:val="2"/>
          </w:tcPr>
          <w:p>
            <w:pPr>
              <w:jc w:val="right"/>
              <w:spacing w:after="0"/>
              <w:rPr>
                <w:sz w:val="20"/>
                <w:szCs w:val="20"/>
                <w:color w:val="auto"/>
              </w:rPr>
            </w:pPr>
            <w:r>
              <w:rPr>
                <w:rFonts w:ascii="Arial" w:cs="Arial" w:eastAsia="Arial" w:hAnsi="Arial"/>
                <w:sz w:val="16"/>
                <w:szCs w:val="16"/>
                <w:color w:val="231F20"/>
              </w:rPr>
              <w:t>before charges/gains operatin</w:t>
            </w:r>
          </w:p>
        </w:tc>
        <w:tc>
          <w:tcPr>
            <w:tcW w:w="2140" w:type="dxa"/>
            <w:vAlign w:val="bottom"/>
            <w:gridSpan w:val="3"/>
          </w:tcPr>
          <w:p>
            <w:pPr>
              <w:jc w:val="right"/>
              <w:spacing w:after="0"/>
              <w:rPr>
                <w:sz w:val="20"/>
                <w:szCs w:val="20"/>
                <w:color w:val="auto"/>
              </w:rPr>
            </w:pPr>
            <w:r>
              <w:rPr>
                <w:rFonts w:ascii="Arial" w:cs="Arial" w:eastAsia="Arial" w:hAnsi="Arial"/>
                <w:sz w:val="16"/>
                <w:szCs w:val="16"/>
                <w:color w:val="231F20"/>
              </w:rPr>
              <w:t>mar in before charges/gains</w:t>
            </w:r>
          </w:p>
        </w:tc>
        <w:tc>
          <w:tcPr>
            <w:tcW w:w="120" w:type="dxa"/>
            <w:vAlign w:val="bottom"/>
          </w:tcPr>
          <w:p>
            <w:pPr>
              <w:spacing w:after="0"/>
              <w:rPr>
                <w:sz w:val="16"/>
                <w:szCs w:val="16"/>
                <w:color w:val="auto"/>
              </w:rPr>
            </w:pPr>
          </w:p>
        </w:tc>
      </w:tr>
      <w:tr>
        <w:trPr>
          <w:trHeight w:val="202"/>
        </w:trPr>
        <w:tc>
          <w:tcPr>
            <w:tcW w:w="2120" w:type="dxa"/>
            <w:vAlign w:val="bottom"/>
            <w:gridSpan w:val="4"/>
          </w:tcPr>
          <w:p>
            <w:pPr>
              <w:spacing w:after="0"/>
              <w:rPr>
                <w:sz w:val="20"/>
                <w:szCs w:val="20"/>
                <w:color w:val="auto"/>
              </w:rPr>
            </w:pPr>
            <w:r>
              <w:rPr>
                <w:rFonts w:ascii="Arial" w:cs="Arial" w:eastAsia="Arial" w:hAnsi="Arial"/>
                <w:sz w:val="16"/>
                <w:szCs w:val="16"/>
                <w:color w:val="231F20"/>
                <w:w w:val="99"/>
              </w:rPr>
              <w:t>EB TDA before charges/gains</w:t>
            </w:r>
          </w:p>
        </w:tc>
        <w:tc>
          <w:tcPr>
            <w:tcW w:w="2660" w:type="dxa"/>
            <w:vAlign w:val="bottom"/>
            <w:gridSpan w:val="3"/>
          </w:tcPr>
          <w:p>
            <w:pPr>
              <w:ind w:left="80"/>
              <w:spacing w:after="0"/>
              <w:rPr>
                <w:sz w:val="20"/>
                <w:szCs w:val="20"/>
                <w:color w:val="auto"/>
              </w:rPr>
            </w:pPr>
            <w:r>
              <w:rPr>
                <w:rFonts w:ascii="Arial" w:cs="Arial" w:eastAsia="Arial" w:hAnsi="Arial"/>
                <w:sz w:val="16"/>
                <w:szCs w:val="16"/>
                <w:color w:val="231F20"/>
              </w:rPr>
              <w:t>diluted EPS before charges/ga ns a</w:t>
            </w:r>
          </w:p>
        </w:tc>
        <w:tc>
          <w:tcPr>
            <w:tcW w:w="2620" w:type="dxa"/>
            <w:vAlign w:val="bottom"/>
            <w:gridSpan w:val="2"/>
          </w:tcPr>
          <w:p>
            <w:pPr>
              <w:ind w:left="40"/>
              <w:spacing w:after="0"/>
              <w:rPr>
                <w:sz w:val="20"/>
                <w:szCs w:val="20"/>
                <w:color w:val="auto"/>
              </w:rPr>
            </w:pPr>
            <w:r>
              <w:rPr>
                <w:rFonts w:ascii="Arial" w:cs="Arial" w:eastAsia="Arial" w:hAnsi="Arial"/>
                <w:sz w:val="16"/>
                <w:szCs w:val="16"/>
                <w:color w:val="231F20"/>
              </w:rPr>
              <w:t>d free cash flow that ar  derived o</w:t>
            </w:r>
          </w:p>
        </w:tc>
        <w:tc>
          <w:tcPr>
            <w:tcW w:w="260" w:type="dxa"/>
            <w:vAlign w:val="bottom"/>
          </w:tcPr>
          <w:p>
            <w:pPr>
              <w:jc w:val="right"/>
              <w:spacing w:after="0"/>
              <w:rPr>
                <w:sz w:val="20"/>
                <w:szCs w:val="20"/>
                <w:color w:val="auto"/>
              </w:rPr>
            </w:pPr>
            <w:r>
              <w:rPr>
                <w:rFonts w:ascii="Arial" w:cs="Arial" w:eastAsia="Arial" w:hAnsi="Arial"/>
                <w:sz w:val="16"/>
                <w:szCs w:val="16"/>
                <w:color w:val="231F20"/>
              </w:rPr>
              <w:t>th</w:t>
            </w:r>
          </w:p>
        </w:tc>
        <w:tc>
          <w:tcPr>
            <w:tcW w:w="2140" w:type="dxa"/>
            <w:vAlign w:val="bottom"/>
            <w:gridSpan w:val="3"/>
          </w:tcPr>
          <w:p>
            <w:pPr>
              <w:jc w:val="right"/>
              <w:spacing w:after="0"/>
              <w:rPr>
                <w:sz w:val="20"/>
                <w:szCs w:val="20"/>
                <w:color w:val="auto"/>
              </w:rPr>
            </w:pPr>
            <w:r>
              <w:rPr>
                <w:rFonts w:ascii="Arial" w:cs="Arial" w:eastAsia="Arial" w:hAnsi="Arial"/>
                <w:sz w:val="16"/>
                <w:szCs w:val="16"/>
                <w:color w:val="231F20"/>
              </w:rPr>
              <w:t>basis of methodolo  es other</w:t>
            </w:r>
          </w:p>
        </w:tc>
        <w:tc>
          <w:tcPr>
            <w:tcW w:w="120" w:type="dxa"/>
            <w:vAlign w:val="bottom"/>
          </w:tcPr>
          <w:p>
            <w:pPr>
              <w:spacing w:after="0"/>
              <w:rPr>
                <w:sz w:val="17"/>
                <w:szCs w:val="17"/>
                <w:color w:val="auto"/>
              </w:rPr>
            </w:pPr>
          </w:p>
        </w:tc>
      </w:tr>
      <w:tr>
        <w:trPr>
          <w:trHeight w:val="202"/>
        </w:trPr>
        <w:tc>
          <w:tcPr>
            <w:tcW w:w="2120" w:type="dxa"/>
            <w:vAlign w:val="bottom"/>
            <w:gridSpan w:val="4"/>
          </w:tcPr>
          <w:p>
            <w:pPr>
              <w:spacing w:after="0"/>
              <w:rPr>
                <w:sz w:val="20"/>
                <w:szCs w:val="20"/>
                <w:color w:val="auto"/>
              </w:rPr>
            </w:pPr>
            <w:r>
              <w:rPr>
                <w:rFonts w:ascii="Arial" w:cs="Arial" w:eastAsia="Arial" w:hAnsi="Arial"/>
                <w:sz w:val="16"/>
                <w:szCs w:val="16"/>
                <w:color w:val="231F20"/>
              </w:rPr>
              <w:t>tha  in accord a ce w th U.S</w:t>
            </w:r>
          </w:p>
        </w:tc>
        <w:tc>
          <w:tcPr>
            <w:tcW w:w="1840" w:type="dxa"/>
            <w:vAlign w:val="bottom"/>
          </w:tcPr>
          <w:p>
            <w:pPr>
              <w:spacing w:after="0"/>
              <w:rPr>
                <w:sz w:val="20"/>
                <w:szCs w:val="20"/>
                <w:color w:val="auto"/>
              </w:rPr>
            </w:pPr>
            <w:r>
              <w:rPr>
                <w:rFonts w:ascii="Arial" w:cs="Arial" w:eastAsia="Arial" w:hAnsi="Arial"/>
                <w:sz w:val="16"/>
                <w:szCs w:val="16"/>
                <w:color w:val="231F20"/>
              </w:rPr>
              <w:t>general y acce pted acco</w:t>
            </w:r>
          </w:p>
        </w:tc>
        <w:tc>
          <w:tcPr>
            <w:tcW w:w="320" w:type="dxa"/>
            <w:vAlign w:val="bottom"/>
          </w:tcPr>
          <w:p>
            <w:pPr>
              <w:spacing w:after="0"/>
              <w:rPr>
                <w:sz w:val="20"/>
                <w:szCs w:val="20"/>
                <w:color w:val="auto"/>
              </w:rPr>
            </w:pPr>
            <w:r>
              <w:rPr>
                <w:rFonts w:ascii="Arial" w:cs="Arial" w:eastAsia="Arial" w:hAnsi="Arial"/>
                <w:sz w:val="16"/>
                <w:szCs w:val="16"/>
                <w:color w:val="231F20"/>
              </w:rPr>
              <w:t>ntin</w:t>
            </w:r>
          </w:p>
        </w:tc>
        <w:tc>
          <w:tcPr>
            <w:tcW w:w="3920" w:type="dxa"/>
            <w:vAlign w:val="bottom"/>
            <w:gridSpan w:val="6"/>
          </w:tcPr>
          <w:p>
            <w:pPr>
              <w:ind w:left="180"/>
              <w:spacing w:after="0"/>
              <w:rPr>
                <w:sz w:val="20"/>
                <w:szCs w:val="20"/>
                <w:color w:val="auto"/>
              </w:rPr>
            </w:pPr>
            <w:r>
              <w:rPr>
                <w:rFonts w:ascii="Arial" w:cs="Arial" w:eastAsia="Arial" w:hAnsi="Arial"/>
                <w:sz w:val="16"/>
                <w:szCs w:val="16"/>
                <w:color w:val="231F20"/>
              </w:rPr>
              <w:t>rincip es (GAAP) We offe  thes  meas res to assist</w:t>
            </w:r>
          </w:p>
        </w:tc>
        <w:tc>
          <w:tcPr>
            <w:tcW w:w="1600" w:type="dxa"/>
            <w:vAlign w:val="bottom"/>
          </w:tcPr>
          <w:p>
            <w:pPr>
              <w:jc w:val="right"/>
              <w:ind w:right="59"/>
              <w:spacing w:after="0"/>
              <w:rPr>
                <w:sz w:val="20"/>
                <w:szCs w:val="20"/>
                <w:color w:val="auto"/>
              </w:rPr>
            </w:pPr>
            <w:r>
              <w:rPr>
                <w:rFonts w:ascii="Arial" w:cs="Arial" w:eastAsia="Arial" w:hAnsi="Arial"/>
                <w:sz w:val="16"/>
                <w:szCs w:val="16"/>
                <w:color w:val="231F20"/>
                <w:w w:val="99"/>
              </w:rPr>
              <w:t>nvestors in assess n</w:t>
            </w:r>
          </w:p>
        </w:tc>
        <w:tc>
          <w:tcPr>
            <w:tcW w:w="120" w:type="dxa"/>
            <w:vAlign w:val="bottom"/>
          </w:tcPr>
          <w:p>
            <w:pPr>
              <w:jc w:val="right"/>
              <w:spacing w:after="0"/>
              <w:rPr>
                <w:sz w:val="20"/>
                <w:szCs w:val="20"/>
                <w:color w:val="auto"/>
              </w:rPr>
            </w:pPr>
            <w:r>
              <w:rPr>
                <w:rFonts w:ascii="Arial" w:cs="Arial" w:eastAsia="Arial" w:hAnsi="Arial"/>
                <w:sz w:val="16"/>
                <w:szCs w:val="16"/>
                <w:color w:val="231F20"/>
                <w:w w:val="89"/>
              </w:rPr>
              <w:t>o</w:t>
            </w:r>
          </w:p>
        </w:tc>
      </w:tr>
      <w:tr>
        <w:trPr>
          <w:trHeight w:val="202"/>
        </w:trPr>
        <w:tc>
          <w:tcPr>
            <w:tcW w:w="620" w:type="dxa"/>
            <w:vAlign w:val="bottom"/>
          </w:tcPr>
          <w:p>
            <w:pPr>
              <w:spacing w:after="0"/>
              <w:rPr>
                <w:sz w:val="20"/>
                <w:szCs w:val="20"/>
                <w:color w:val="auto"/>
              </w:rPr>
            </w:pPr>
            <w:r>
              <w:rPr>
                <w:rFonts w:ascii="Arial" w:cs="Arial" w:eastAsia="Arial" w:hAnsi="Arial"/>
                <w:sz w:val="16"/>
                <w:szCs w:val="16"/>
                <w:color w:val="231F20"/>
              </w:rPr>
              <w:t>f nancia</w:t>
            </w:r>
          </w:p>
        </w:tc>
        <w:tc>
          <w:tcPr>
            <w:tcW w:w="960" w:type="dxa"/>
            <w:vAlign w:val="bottom"/>
            <w:gridSpan w:val="2"/>
          </w:tcPr>
          <w:p>
            <w:pPr>
              <w:ind w:left="100"/>
              <w:spacing w:after="0"/>
              <w:rPr>
                <w:sz w:val="20"/>
                <w:szCs w:val="20"/>
                <w:color w:val="auto"/>
              </w:rPr>
            </w:pPr>
            <w:r>
              <w:rPr>
                <w:rFonts w:ascii="Arial" w:cs="Arial" w:eastAsia="Arial" w:hAnsi="Arial"/>
                <w:sz w:val="16"/>
                <w:szCs w:val="16"/>
                <w:color w:val="231F20"/>
              </w:rPr>
              <w:t>erformanc</w:t>
            </w:r>
          </w:p>
        </w:tc>
        <w:tc>
          <w:tcPr>
            <w:tcW w:w="5820" w:type="dxa"/>
            <w:vAlign w:val="bottom"/>
            <w:gridSpan w:val="6"/>
          </w:tcPr>
          <w:p>
            <w:pPr>
              <w:ind w:left="20"/>
              <w:spacing w:after="0"/>
              <w:rPr>
                <w:sz w:val="20"/>
                <w:szCs w:val="20"/>
                <w:color w:val="auto"/>
              </w:rPr>
            </w:pPr>
            <w:r>
              <w:rPr>
                <w:rFonts w:ascii="Arial" w:cs="Arial" w:eastAsia="Arial" w:hAnsi="Arial"/>
                <w:sz w:val="16"/>
                <w:szCs w:val="16"/>
                <w:color w:val="231F20"/>
              </w:rPr>
              <w:t>a d iquidity unde  GAAP but nvestors should not rely on thes  measures as a s</w:t>
            </w:r>
          </w:p>
        </w:tc>
        <w:tc>
          <w:tcPr>
            <w:tcW w:w="800" w:type="dxa"/>
            <w:vAlign w:val="bottom"/>
            <w:gridSpan w:val="3"/>
          </w:tcPr>
          <w:p>
            <w:pPr>
              <w:ind w:left="80"/>
              <w:spacing w:after="0"/>
              <w:rPr>
                <w:sz w:val="20"/>
                <w:szCs w:val="20"/>
                <w:color w:val="auto"/>
              </w:rPr>
            </w:pPr>
            <w:r>
              <w:rPr>
                <w:rFonts w:ascii="Arial" w:cs="Arial" w:eastAsia="Arial" w:hAnsi="Arial"/>
                <w:sz w:val="16"/>
                <w:szCs w:val="16"/>
                <w:color w:val="231F20"/>
                <w:w w:val="99"/>
              </w:rPr>
              <w:t>bst tute fo</w:t>
            </w:r>
          </w:p>
        </w:tc>
        <w:tc>
          <w:tcPr>
            <w:tcW w:w="1600" w:type="dxa"/>
            <w:vAlign w:val="bottom"/>
          </w:tcPr>
          <w:p>
            <w:pPr>
              <w:jc w:val="right"/>
              <w:ind w:right="19"/>
              <w:spacing w:after="0"/>
              <w:rPr>
                <w:sz w:val="20"/>
                <w:szCs w:val="20"/>
                <w:color w:val="auto"/>
              </w:rPr>
            </w:pPr>
            <w:r>
              <w:rPr>
                <w:rFonts w:ascii="Arial" w:cs="Arial" w:eastAsia="Arial" w:hAnsi="Arial"/>
                <w:sz w:val="16"/>
                <w:szCs w:val="16"/>
                <w:color w:val="231F20"/>
              </w:rPr>
              <w:t>any GAAP measure</w:t>
            </w:r>
          </w:p>
        </w:tc>
        <w:tc>
          <w:tcPr>
            <w:tcW w:w="120" w:type="dxa"/>
            <w:vAlign w:val="bottom"/>
          </w:tcPr>
          <w:p>
            <w:pPr>
              <w:jc w:val="right"/>
              <w:spacing w:after="0"/>
              <w:rPr>
                <w:sz w:val="20"/>
                <w:szCs w:val="20"/>
                <w:color w:val="auto"/>
              </w:rPr>
            </w:pPr>
            <w:r>
              <w:rPr>
                <w:rFonts w:ascii="Arial" w:cs="Arial" w:eastAsia="Arial" w:hAnsi="Arial"/>
                <w:sz w:val="16"/>
                <w:szCs w:val="16"/>
                <w:color w:val="231F20"/>
                <w:w w:val="74"/>
              </w:rPr>
              <w:t>In</w:t>
            </w:r>
          </w:p>
        </w:tc>
      </w:tr>
      <w:tr>
        <w:trPr>
          <w:trHeight w:val="202"/>
        </w:trPr>
        <w:tc>
          <w:tcPr>
            <w:tcW w:w="620" w:type="dxa"/>
            <w:vAlign w:val="bottom"/>
          </w:tcPr>
          <w:p>
            <w:pPr>
              <w:spacing w:after="0"/>
              <w:rPr>
                <w:sz w:val="20"/>
                <w:szCs w:val="20"/>
                <w:color w:val="auto"/>
              </w:rPr>
            </w:pPr>
            <w:r>
              <w:rPr>
                <w:rFonts w:ascii="Arial" w:cs="Arial" w:eastAsia="Arial" w:hAnsi="Arial"/>
                <w:sz w:val="16"/>
                <w:szCs w:val="16"/>
                <w:color w:val="231F20"/>
              </w:rPr>
              <w:t>add t on</w:t>
            </w:r>
          </w:p>
        </w:tc>
        <w:tc>
          <w:tcPr>
            <w:tcW w:w="400" w:type="dxa"/>
            <w:vAlign w:val="bottom"/>
          </w:tcPr>
          <w:p>
            <w:pPr>
              <w:ind w:left="40"/>
              <w:spacing w:after="0"/>
              <w:rPr>
                <w:sz w:val="20"/>
                <w:szCs w:val="20"/>
                <w:color w:val="auto"/>
              </w:rPr>
            </w:pPr>
            <w:r>
              <w:rPr>
                <w:rFonts w:ascii="Arial" w:cs="Arial" w:eastAsia="Arial" w:hAnsi="Arial"/>
                <w:sz w:val="16"/>
                <w:szCs w:val="16"/>
                <w:color w:val="231F20"/>
              </w:rPr>
              <w:t>thes</w:t>
            </w:r>
          </w:p>
        </w:tc>
        <w:tc>
          <w:tcPr>
            <w:tcW w:w="4380" w:type="dxa"/>
            <w:vAlign w:val="bottom"/>
            <w:gridSpan w:val="6"/>
          </w:tcPr>
          <w:p>
            <w:pPr>
              <w:ind w:left="80"/>
              <w:spacing w:after="0"/>
              <w:rPr>
                <w:sz w:val="20"/>
                <w:szCs w:val="20"/>
                <w:color w:val="auto"/>
              </w:rPr>
            </w:pPr>
            <w:r>
              <w:rPr>
                <w:rFonts w:ascii="Arial" w:cs="Arial" w:eastAsia="Arial" w:hAnsi="Arial"/>
                <w:sz w:val="16"/>
                <w:szCs w:val="16"/>
                <w:color w:val="231F20"/>
              </w:rPr>
              <w:t>measures may be inconsistent w th s m ar y t t ed measures</w:t>
            </w:r>
          </w:p>
        </w:tc>
        <w:tc>
          <w:tcPr>
            <w:tcW w:w="2000" w:type="dxa"/>
            <w:vAlign w:val="bottom"/>
          </w:tcPr>
          <w:p>
            <w:pPr>
              <w:ind w:left="120"/>
              <w:spacing w:after="0"/>
              <w:rPr>
                <w:sz w:val="20"/>
                <w:szCs w:val="20"/>
                <w:color w:val="auto"/>
              </w:rPr>
            </w:pPr>
            <w:r>
              <w:rPr>
                <w:rFonts w:ascii="Arial" w:cs="Arial" w:eastAsia="Arial" w:hAnsi="Arial"/>
                <w:sz w:val="16"/>
                <w:szCs w:val="16"/>
                <w:color w:val="231F20"/>
              </w:rPr>
              <w:t>rese ted by othe  compa</w:t>
            </w:r>
          </w:p>
        </w:tc>
        <w:tc>
          <w:tcPr>
            <w:tcW w:w="260" w:type="dxa"/>
            <w:vAlign w:val="bottom"/>
          </w:tcPr>
          <w:p>
            <w:pPr>
              <w:jc w:val="right"/>
              <w:spacing w:after="0"/>
              <w:rPr>
                <w:sz w:val="20"/>
                <w:szCs w:val="20"/>
                <w:color w:val="auto"/>
              </w:rPr>
            </w:pPr>
            <w:r>
              <w:rPr>
                <w:rFonts w:ascii="Arial" w:cs="Arial" w:eastAsia="Arial" w:hAnsi="Arial"/>
                <w:sz w:val="16"/>
                <w:szCs w:val="16"/>
                <w:color w:val="231F20"/>
                <w:w w:val="97"/>
              </w:rPr>
              <w:t>ies</w:t>
            </w:r>
          </w:p>
        </w:tc>
        <w:tc>
          <w:tcPr>
            <w:tcW w:w="280" w:type="dxa"/>
            <w:vAlign w:val="bottom"/>
          </w:tcPr>
          <w:p>
            <w:pPr>
              <w:jc w:val="right"/>
              <w:spacing w:after="0"/>
              <w:rPr>
                <w:sz w:val="20"/>
                <w:szCs w:val="20"/>
                <w:color w:val="auto"/>
              </w:rPr>
            </w:pPr>
            <w:r>
              <w:rPr>
                <w:rFonts w:ascii="Arial" w:cs="Arial" w:eastAsia="Arial" w:hAnsi="Arial"/>
                <w:sz w:val="16"/>
                <w:szCs w:val="16"/>
                <w:color w:val="231F20"/>
              </w:rPr>
              <w:t>Fo</w:t>
            </w:r>
          </w:p>
        </w:tc>
        <w:tc>
          <w:tcPr>
            <w:tcW w:w="1980" w:type="dxa"/>
            <w:vAlign w:val="bottom"/>
            <w:gridSpan w:val="3"/>
          </w:tcPr>
          <w:p>
            <w:pPr>
              <w:jc w:val="right"/>
              <w:spacing w:after="0"/>
              <w:rPr>
                <w:sz w:val="20"/>
                <w:szCs w:val="20"/>
                <w:color w:val="auto"/>
              </w:rPr>
            </w:pPr>
            <w:r>
              <w:rPr>
                <w:rFonts w:ascii="Arial" w:cs="Arial" w:eastAsia="Arial" w:hAnsi="Arial"/>
                <w:sz w:val="16"/>
                <w:szCs w:val="16"/>
                <w:color w:val="231F20"/>
              </w:rPr>
              <w:t>more information inc ud n</w:t>
            </w:r>
          </w:p>
        </w:tc>
      </w:tr>
      <w:tr>
        <w:trPr>
          <w:trHeight w:val="202"/>
        </w:trPr>
        <w:tc>
          <w:tcPr>
            <w:tcW w:w="1020" w:type="dxa"/>
            <w:vAlign w:val="bottom"/>
            <w:gridSpan w:val="2"/>
          </w:tcPr>
          <w:p>
            <w:pPr>
              <w:spacing w:after="0"/>
              <w:rPr>
                <w:sz w:val="20"/>
                <w:szCs w:val="20"/>
                <w:color w:val="auto"/>
              </w:rPr>
            </w:pPr>
            <w:r>
              <w:rPr>
                <w:rFonts w:ascii="Arial" w:cs="Arial" w:eastAsia="Arial" w:hAnsi="Arial"/>
                <w:sz w:val="16"/>
                <w:szCs w:val="16"/>
                <w:color w:val="231F20"/>
              </w:rPr>
              <w:t>reconci iat o</w:t>
            </w:r>
          </w:p>
        </w:tc>
        <w:tc>
          <w:tcPr>
            <w:tcW w:w="560" w:type="dxa"/>
            <w:vAlign w:val="bottom"/>
          </w:tcPr>
          <w:p>
            <w:pPr>
              <w:ind w:left="40"/>
              <w:spacing w:after="0"/>
              <w:rPr>
                <w:sz w:val="20"/>
                <w:szCs w:val="20"/>
                <w:color w:val="auto"/>
              </w:rPr>
            </w:pPr>
            <w:r>
              <w:rPr>
                <w:rFonts w:ascii="Arial" w:cs="Arial" w:eastAsia="Arial" w:hAnsi="Arial"/>
                <w:sz w:val="16"/>
                <w:szCs w:val="16"/>
                <w:color w:val="231F20"/>
                <w:w w:val="95"/>
              </w:rPr>
              <w:t>of th es</w:t>
            </w:r>
          </w:p>
        </w:tc>
        <w:tc>
          <w:tcPr>
            <w:tcW w:w="2700" w:type="dxa"/>
            <w:vAlign w:val="bottom"/>
            <w:gridSpan w:val="3"/>
          </w:tcPr>
          <w:p>
            <w:pPr>
              <w:ind w:left="100"/>
              <w:spacing w:after="0"/>
              <w:rPr>
                <w:sz w:val="20"/>
                <w:szCs w:val="20"/>
                <w:color w:val="auto"/>
              </w:rPr>
            </w:pPr>
            <w:r>
              <w:rPr>
                <w:rFonts w:ascii="Arial" w:cs="Arial" w:eastAsia="Arial" w:hAnsi="Arial"/>
                <w:sz w:val="16"/>
                <w:szCs w:val="16"/>
                <w:color w:val="231F20"/>
              </w:rPr>
              <w:t>non GAAP f nancial measures to th</w:t>
            </w:r>
          </w:p>
        </w:tc>
        <w:tc>
          <w:tcPr>
            <w:tcW w:w="3380" w:type="dxa"/>
            <w:vAlign w:val="bottom"/>
            <w:gridSpan w:val="4"/>
          </w:tcPr>
          <w:p>
            <w:pPr>
              <w:jc w:val="right"/>
              <w:spacing w:after="0"/>
              <w:rPr>
                <w:sz w:val="20"/>
                <w:szCs w:val="20"/>
                <w:color w:val="auto"/>
              </w:rPr>
            </w:pPr>
            <w:r>
              <w:rPr>
                <w:rFonts w:ascii="Arial" w:cs="Arial" w:eastAsia="Arial" w:hAnsi="Arial"/>
                <w:sz w:val="16"/>
                <w:szCs w:val="16"/>
                <w:color w:val="231F20"/>
              </w:rPr>
              <w:t>most comparable GAAP measures p ease se</w:t>
            </w:r>
          </w:p>
        </w:tc>
        <w:tc>
          <w:tcPr>
            <w:tcW w:w="280" w:type="dxa"/>
            <w:vAlign w:val="bottom"/>
          </w:tcPr>
          <w:p>
            <w:pPr>
              <w:jc w:val="right"/>
              <w:spacing w:after="0"/>
              <w:rPr>
                <w:sz w:val="20"/>
                <w:szCs w:val="20"/>
                <w:color w:val="auto"/>
              </w:rPr>
            </w:pPr>
            <w:r>
              <w:rPr>
                <w:rFonts w:ascii="Arial" w:cs="Arial" w:eastAsia="Arial" w:hAnsi="Arial"/>
                <w:sz w:val="16"/>
                <w:szCs w:val="16"/>
                <w:color w:val="231F20"/>
              </w:rPr>
              <w:t>th</w:t>
            </w:r>
          </w:p>
        </w:tc>
        <w:tc>
          <w:tcPr>
            <w:tcW w:w="1980" w:type="dxa"/>
            <w:vAlign w:val="bottom"/>
            <w:gridSpan w:val="3"/>
          </w:tcPr>
          <w:p>
            <w:pPr>
              <w:jc w:val="right"/>
              <w:spacing w:after="0"/>
              <w:rPr>
                <w:sz w:val="20"/>
                <w:szCs w:val="20"/>
                <w:color w:val="auto"/>
              </w:rPr>
            </w:pPr>
            <w:r>
              <w:rPr>
                <w:rFonts w:ascii="Arial" w:cs="Arial" w:eastAsia="Arial" w:hAnsi="Arial"/>
                <w:sz w:val="16"/>
                <w:szCs w:val="16"/>
                <w:color w:val="231F20"/>
              </w:rPr>
              <w:t>reconci iat o  tab es in this</w:t>
            </w:r>
          </w:p>
        </w:tc>
      </w:tr>
      <w:tr>
        <w:trPr>
          <w:trHeight w:val="202"/>
        </w:trPr>
        <w:tc>
          <w:tcPr>
            <w:tcW w:w="1580" w:type="dxa"/>
            <w:vAlign w:val="bottom"/>
            <w:gridSpan w:val="3"/>
          </w:tcPr>
          <w:p>
            <w:pPr>
              <w:spacing w:after="0"/>
              <w:rPr>
                <w:sz w:val="20"/>
                <w:szCs w:val="20"/>
                <w:color w:val="auto"/>
              </w:rPr>
            </w:pPr>
            <w:r>
              <w:rPr>
                <w:rFonts w:ascii="Arial" w:cs="Arial" w:eastAsia="Arial" w:hAnsi="Arial"/>
                <w:sz w:val="16"/>
                <w:szCs w:val="16"/>
                <w:color w:val="231F20"/>
              </w:rPr>
              <w:t>Annual Report.</w:t>
            </w: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20" w:lineRule="exact"/>
        <w:rPr>
          <w:sz w:val="20"/>
          <w:szCs w:val="20"/>
          <w:color w:val="auto"/>
        </w:rPr>
      </w:pPr>
    </w:p>
    <w:p>
      <w:pPr>
        <w:sectPr>
          <w:pgSz w:w="12240" w:h="15840" w:orient="portrait"/>
          <w:cols w:equalWidth="0" w:num="1">
            <w:col w:w="10180"/>
          </w:cols>
          <w:pgMar w:left="1000" w:top="1044" w:right="1060" w:bottom="3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231F20"/>
        </w:rPr>
        <w:t>105</w:t>
      </w:r>
    </w:p>
    <w:p>
      <w:pPr>
        <w:sectPr>
          <w:pgSz w:w="12240" w:h="15840" w:orient="portrait"/>
          <w:cols w:equalWidth="0" w:num="1">
            <w:col w:w="10180"/>
          </w:cols>
          <w:pgMar w:left="1000" w:top="1044" w:right="1060" w:bottom="393" w:gutter="0" w:footer="0" w:header="0"/>
          <w:type w:val="continuous"/>
        </w:sectPr>
      </w:pPr>
    </w:p>
    <w:bookmarkStart w:id="113" w:name="page114"/>
    <w:bookmarkEnd w:id="113"/>
    <w:p>
      <w:pPr>
        <w:jc w:val="center"/>
        <w:ind w:right="-159"/>
        <w:spacing w:after="0"/>
        <w:rPr>
          <w:sz w:val="20"/>
          <w:szCs w:val="20"/>
          <w:color w:val="auto"/>
        </w:rPr>
      </w:pPr>
      <w:r>
        <w:rPr>
          <w:rFonts w:ascii="Arial" w:cs="Arial" w:eastAsia="Arial" w:hAnsi="Arial"/>
          <w:sz w:val="24"/>
          <w:szCs w:val="24"/>
          <w:color w:val="231F20"/>
        </w:rPr>
        <w:t>CO R P OR AT E D 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20"/>
                <w:szCs w:val="20"/>
                <w:color w:val="auto"/>
              </w:rPr>
            </w:pPr>
            <w:r>
              <w:rPr>
                <w:rFonts w:ascii="Arial" w:cs="Arial" w:eastAsia="Arial" w:hAnsi="Arial"/>
                <w:sz w:val="16"/>
                <w:szCs w:val="16"/>
                <w:b w:val="1"/>
                <w:bCs w:val="1"/>
                <w:color w:val="231F20"/>
              </w:rPr>
              <w:t>Executive Office</w:t>
            </w:r>
          </w:p>
        </w:tc>
        <w:tc>
          <w:tcPr>
            <w:tcW w:w="3420" w:type="dxa"/>
            <w:vAlign w:val="bottom"/>
          </w:tcPr>
          <w:p>
            <w:pPr>
              <w:ind w:left="260"/>
              <w:spacing w:after="0"/>
              <w:rPr>
                <w:sz w:val="20"/>
                <w:szCs w:val="20"/>
                <w:color w:val="auto"/>
              </w:rPr>
            </w:pPr>
            <w:r>
              <w:rPr>
                <w:rFonts w:ascii="Arial" w:cs="Arial" w:eastAsia="Arial" w:hAnsi="Arial"/>
                <w:sz w:val="16"/>
                <w:szCs w:val="16"/>
                <w:b w:val="1"/>
                <w:bCs w:val="1"/>
                <w:color w:val="231F20"/>
              </w:rPr>
              <w:t>Transfer Agent for Common Stock</w:t>
            </w:r>
          </w:p>
        </w:tc>
        <w:tc>
          <w:tcPr>
            <w:tcW w:w="3420" w:type="dxa"/>
            <w:vAlign w:val="bottom"/>
          </w:tcPr>
          <w:p>
            <w:pPr>
              <w:ind w:left="400"/>
              <w:spacing w:after="0"/>
              <w:rPr>
                <w:sz w:val="20"/>
                <w:szCs w:val="20"/>
                <w:color w:val="auto"/>
              </w:rPr>
            </w:pPr>
            <w:r>
              <w:rPr>
                <w:rFonts w:ascii="Arial" w:cs="Arial" w:eastAsia="Arial" w:hAnsi="Arial"/>
                <w:sz w:val="16"/>
                <w:szCs w:val="16"/>
                <w:b w:val="1"/>
                <w:bCs w:val="1"/>
                <w:color w:val="231F20"/>
              </w:rPr>
              <w:t>SEC Filings</w:t>
            </w:r>
          </w:p>
        </w:tc>
      </w:tr>
      <w:tr>
        <w:trPr>
          <w:trHeight w:val="178"/>
        </w:trPr>
        <w:tc>
          <w:tcPr>
            <w:tcW w:w="3280" w:type="dxa"/>
            <w:vAlign w:val="bottom"/>
          </w:tcPr>
          <w:p>
            <w:pPr>
              <w:spacing w:after="0"/>
              <w:rPr>
                <w:sz w:val="20"/>
                <w:szCs w:val="20"/>
                <w:color w:val="auto"/>
              </w:rPr>
            </w:pPr>
            <w:r>
              <w:rPr>
                <w:rFonts w:ascii="Arial" w:cs="Arial" w:eastAsia="Arial" w:hAnsi="Arial"/>
                <w:sz w:val="14"/>
                <w:szCs w:val="14"/>
                <w:color w:val="231F20"/>
              </w:rPr>
              <w:t>520 Lake C ook Road</w:t>
            </w:r>
          </w:p>
        </w:tc>
        <w:tc>
          <w:tcPr>
            <w:tcW w:w="3420" w:type="dxa"/>
            <w:vAlign w:val="bottom"/>
          </w:tcPr>
          <w:p>
            <w:pPr>
              <w:ind w:left="260"/>
              <w:spacing w:after="0"/>
              <w:rPr>
                <w:sz w:val="20"/>
                <w:szCs w:val="20"/>
                <w:color w:val="auto"/>
              </w:rPr>
            </w:pPr>
            <w:r>
              <w:rPr>
                <w:rFonts w:ascii="Arial" w:cs="Arial" w:eastAsia="Arial" w:hAnsi="Arial"/>
                <w:sz w:val="14"/>
                <w:szCs w:val="14"/>
                <w:color w:val="231F20"/>
              </w:rPr>
              <w:t>EQ Shareown er Servi ces</w:t>
            </w:r>
          </w:p>
        </w:tc>
        <w:tc>
          <w:tcPr>
            <w:tcW w:w="3420" w:type="dxa"/>
            <w:vAlign w:val="bottom"/>
          </w:tcPr>
          <w:p>
            <w:pPr>
              <w:ind w:left="380"/>
              <w:spacing w:after="0"/>
              <w:rPr>
                <w:sz w:val="20"/>
                <w:szCs w:val="20"/>
                <w:color w:val="auto"/>
              </w:rPr>
            </w:pPr>
            <w:r>
              <w:rPr>
                <w:rFonts w:ascii="Arial" w:cs="Arial" w:eastAsia="Arial" w:hAnsi="Arial"/>
                <w:sz w:val="14"/>
                <w:szCs w:val="14"/>
                <w:color w:val="231F20"/>
              </w:rPr>
              <w:t>Our Annual R eport o n F orm 1 0-K, as</w:t>
            </w: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231F20"/>
              </w:rPr>
              <w:t>Suite 300</w:t>
            </w:r>
          </w:p>
        </w:tc>
        <w:tc>
          <w:tcPr>
            <w:tcW w:w="3420" w:type="dxa"/>
            <w:vAlign w:val="bottom"/>
          </w:tcPr>
          <w:p>
            <w:pPr>
              <w:ind w:left="260"/>
              <w:spacing w:after="0"/>
              <w:rPr>
                <w:sz w:val="20"/>
                <w:szCs w:val="20"/>
                <w:color w:val="auto"/>
              </w:rPr>
            </w:pPr>
            <w:r>
              <w:rPr>
                <w:rFonts w:ascii="Arial" w:cs="Arial" w:eastAsia="Arial" w:hAnsi="Arial"/>
                <w:sz w:val="14"/>
                <w:szCs w:val="14"/>
                <w:color w:val="231F20"/>
              </w:rPr>
              <w:t>1110 Cen tre Poi nte Curve</w:t>
            </w:r>
          </w:p>
        </w:tc>
        <w:tc>
          <w:tcPr>
            <w:tcW w:w="3420" w:type="dxa"/>
            <w:vAlign w:val="bottom"/>
          </w:tcPr>
          <w:p>
            <w:pPr>
              <w:ind w:left="380"/>
              <w:spacing w:after="0"/>
              <w:rPr>
                <w:sz w:val="20"/>
                <w:szCs w:val="20"/>
                <w:color w:val="auto"/>
              </w:rPr>
            </w:pPr>
            <w:r>
              <w:rPr>
                <w:rFonts w:ascii="Arial" w:cs="Arial" w:eastAsia="Arial" w:hAnsi="Arial"/>
                <w:sz w:val="14"/>
                <w:szCs w:val="14"/>
                <w:color w:val="231F20"/>
              </w:rPr>
              <w:t>fi led with the SEC for the last fiscal yea r</w:t>
            </w: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231F20"/>
              </w:rPr>
              <w:t>Deerfield, IL 60015-5611</w:t>
            </w:r>
          </w:p>
        </w:tc>
        <w:tc>
          <w:tcPr>
            <w:tcW w:w="3420" w:type="dxa"/>
            <w:vAlign w:val="bottom"/>
          </w:tcPr>
          <w:p>
            <w:pPr>
              <w:ind w:left="260"/>
              <w:spacing w:after="0"/>
              <w:rPr>
                <w:sz w:val="20"/>
                <w:szCs w:val="20"/>
                <w:color w:val="auto"/>
              </w:rPr>
            </w:pPr>
            <w:r>
              <w:rPr>
                <w:rFonts w:ascii="Arial" w:cs="Arial" w:eastAsia="Arial" w:hAnsi="Arial"/>
                <w:sz w:val="14"/>
                <w:szCs w:val="14"/>
                <w:color w:val="231F20"/>
              </w:rPr>
              <w:t>Su ite 101</w:t>
            </w:r>
          </w:p>
        </w:tc>
        <w:tc>
          <w:tcPr>
            <w:tcW w:w="3420" w:type="dxa"/>
            <w:vAlign w:val="bottom"/>
          </w:tcPr>
          <w:p>
            <w:pPr>
              <w:ind w:left="400"/>
              <w:spacing w:after="0"/>
              <w:rPr>
                <w:sz w:val="20"/>
                <w:szCs w:val="20"/>
                <w:color w:val="auto"/>
              </w:rPr>
            </w:pPr>
            <w:r>
              <w:rPr>
                <w:rFonts w:ascii="Arial" w:cs="Arial" w:eastAsia="Arial" w:hAnsi="Arial"/>
                <w:sz w:val="14"/>
                <w:szCs w:val="14"/>
                <w:color w:val="231F20"/>
              </w:rPr>
              <w:t>and this 2023 Annual Report are being</w:t>
            </w: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231F20"/>
              </w:rPr>
              <w:t>847-484- 4400</w:t>
            </w:r>
          </w:p>
        </w:tc>
        <w:tc>
          <w:tcPr>
            <w:tcW w:w="3420" w:type="dxa"/>
            <w:vAlign w:val="bottom"/>
          </w:tcPr>
          <w:p>
            <w:pPr>
              <w:ind w:left="260"/>
              <w:spacing w:after="0"/>
              <w:rPr>
                <w:sz w:val="20"/>
                <w:szCs w:val="20"/>
                <w:color w:val="auto"/>
              </w:rPr>
            </w:pPr>
            <w:r>
              <w:rPr>
                <w:rFonts w:ascii="Arial" w:cs="Arial" w:eastAsia="Arial" w:hAnsi="Arial"/>
                <w:sz w:val="14"/>
                <w:szCs w:val="14"/>
                <w:color w:val="231F20"/>
              </w:rPr>
              <w:t>Mendot a Heights, M N 55120-4100</w:t>
            </w:r>
          </w:p>
        </w:tc>
        <w:tc>
          <w:tcPr>
            <w:tcW w:w="3420" w:type="dxa"/>
            <w:vAlign w:val="bottom"/>
          </w:tcPr>
          <w:p>
            <w:pPr>
              <w:ind w:left="400"/>
              <w:spacing w:after="0"/>
              <w:rPr>
                <w:sz w:val="20"/>
                <w:szCs w:val="20"/>
                <w:color w:val="auto"/>
              </w:rPr>
            </w:pPr>
            <w:r>
              <w:rPr>
                <w:rFonts w:ascii="Arial" w:cs="Arial" w:eastAsia="Arial" w:hAnsi="Arial"/>
                <w:sz w:val="14"/>
                <w:szCs w:val="14"/>
                <w:color w:val="231F20"/>
              </w:rPr>
              <w:t>dist ributed in connection with our 2024</w:t>
            </w:r>
          </w:p>
        </w:tc>
      </w:tr>
      <w:tr>
        <w:trPr>
          <w:trHeight w:val="182"/>
        </w:trPr>
        <w:tc>
          <w:tcPr>
            <w:tcW w:w="3280" w:type="dxa"/>
            <w:vAlign w:val="bottom"/>
          </w:tcPr>
          <w:p>
            <w:pPr>
              <w:spacing w:after="0"/>
              <w:rPr>
                <w:sz w:val="15"/>
                <w:szCs w:val="15"/>
                <w:color w:val="auto"/>
              </w:rPr>
            </w:pPr>
          </w:p>
        </w:tc>
        <w:tc>
          <w:tcPr>
            <w:tcW w:w="3420" w:type="dxa"/>
            <w:vAlign w:val="bottom"/>
          </w:tcPr>
          <w:p>
            <w:pPr>
              <w:ind w:left="260"/>
              <w:spacing w:after="0"/>
              <w:rPr>
                <w:sz w:val="20"/>
                <w:szCs w:val="20"/>
                <w:color w:val="auto"/>
              </w:rPr>
            </w:pPr>
            <w:r>
              <w:rPr>
                <w:rFonts w:ascii="Arial" w:cs="Arial" w:eastAsia="Arial" w:hAnsi="Arial"/>
                <w:sz w:val="14"/>
                <w:szCs w:val="14"/>
                <w:color w:val="231F20"/>
              </w:rPr>
              <w:t>80 0-468- 9716</w:t>
            </w:r>
          </w:p>
        </w:tc>
        <w:tc>
          <w:tcPr>
            <w:tcW w:w="3420" w:type="dxa"/>
            <w:vAlign w:val="bottom"/>
          </w:tcPr>
          <w:p>
            <w:pPr>
              <w:ind w:left="400"/>
              <w:spacing w:after="0"/>
              <w:rPr>
                <w:sz w:val="20"/>
                <w:szCs w:val="20"/>
                <w:color w:val="auto"/>
              </w:rPr>
            </w:pPr>
            <w:r>
              <w:rPr>
                <w:rFonts w:ascii="Arial" w:cs="Arial" w:eastAsia="Arial" w:hAnsi="Arial"/>
                <w:sz w:val="14"/>
                <w:szCs w:val="14"/>
                <w:color w:val="231F20"/>
              </w:rPr>
              <w:t>Annual Meeting of Stockholders You</w:t>
            </w:r>
          </w:p>
        </w:tc>
      </w:tr>
      <w:tr>
        <w:trPr>
          <w:trHeight w:val="186"/>
        </w:trPr>
        <w:tc>
          <w:tcPr>
            <w:tcW w:w="3280" w:type="dxa"/>
            <w:vAlign w:val="bottom"/>
          </w:tcPr>
          <w:p>
            <w:pPr>
              <w:spacing w:after="0"/>
              <w:rPr>
                <w:sz w:val="20"/>
                <w:szCs w:val="20"/>
                <w:color w:val="auto"/>
              </w:rPr>
            </w:pPr>
            <w:r>
              <w:rPr>
                <w:rFonts w:ascii="Arial" w:cs="Arial" w:eastAsia="Arial" w:hAnsi="Arial"/>
                <w:sz w:val="16"/>
                <w:szCs w:val="16"/>
                <w:b w:val="1"/>
                <w:bCs w:val="1"/>
                <w:color w:val="231F20"/>
              </w:rPr>
              <w:t>Website</w:t>
            </w:r>
          </w:p>
        </w:tc>
        <w:tc>
          <w:tcPr>
            <w:tcW w:w="3420" w:type="dxa"/>
            <w:vAlign w:val="bottom"/>
          </w:tcPr>
          <w:p>
            <w:pPr>
              <w:spacing w:after="0"/>
              <w:rPr>
                <w:sz w:val="16"/>
                <w:szCs w:val="16"/>
                <w:color w:val="auto"/>
              </w:rPr>
            </w:pPr>
          </w:p>
        </w:tc>
        <w:tc>
          <w:tcPr>
            <w:tcW w:w="3420" w:type="dxa"/>
            <w:vAlign w:val="bottom"/>
          </w:tcPr>
          <w:p>
            <w:pPr>
              <w:ind w:left="380"/>
              <w:spacing w:after="0"/>
              <w:rPr>
                <w:sz w:val="20"/>
                <w:szCs w:val="20"/>
                <w:color w:val="auto"/>
              </w:rPr>
            </w:pPr>
            <w:r>
              <w:rPr>
                <w:rFonts w:ascii="Arial" w:cs="Arial" w:eastAsia="Arial" w:hAnsi="Arial"/>
                <w:sz w:val="14"/>
                <w:szCs w:val="14"/>
                <w:color w:val="231F20"/>
              </w:rPr>
              <w:t>may also view electronic copies of our</w:t>
            </w: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231F20"/>
              </w:rPr>
              <w:t>FBIN .com</w:t>
            </w:r>
          </w:p>
        </w:tc>
        <w:tc>
          <w:tcPr>
            <w:tcW w:w="3420" w:type="dxa"/>
            <w:vAlign w:val="bottom"/>
          </w:tcPr>
          <w:p>
            <w:pPr>
              <w:ind w:left="260"/>
              <w:spacing w:after="0" w:line="182" w:lineRule="exact"/>
              <w:rPr>
                <w:sz w:val="20"/>
                <w:szCs w:val="20"/>
                <w:color w:val="auto"/>
              </w:rPr>
            </w:pPr>
            <w:r>
              <w:rPr>
                <w:rFonts w:ascii="Arial" w:cs="Arial" w:eastAsia="Arial" w:hAnsi="Arial"/>
                <w:sz w:val="16"/>
                <w:szCs w:val="16"/>
                <w:b w:val="1"/>
                <w:bCs w:val="1"/>
                <w:color w:val="231F20"/>
              </w:rPr>
              <w:t>Earnings &amp; News</w:t>
            </w:r>
          </w:p>
        </w:tc>
        <w:tc>
          <w:tcPr>
            <w:tcW w:w="3420" w:type="dxa"/>
            <w:vAlign w:val="bottom"/>
          </w:tcPr>
          <w:p>
            <w:pPr>
              <w:ind w:left="400"/>
              <w:spacing w:after="0"/>
              <w:rPr>
                <w:sz w:val="20"/>
                <w:szCs w:val="20"/>
                <w:color w:val="auto"/>
              </w:rPr>
            </w:pPr>
            <w:r>
              <w:rPr>
                <w:rFonts w:ascii="Arial" w:cs="Arial" w:eastAsia="Arial" w:hAnsi="Arial"/>
                <w:sz w:val="14"/>
                <w:szCs w:val="14"/>
                <w:color w:val="231F20"/>
              </w:rPr>
              <w:t>Annual Report on Form 10-K and oth er</w:t>
            </w:r>
          </w:p>
        </w:tc>
      </w:tr>
      <w:tr>
        <w:trPr>
          <w:trHeight w:val="178"/>
        </w:trPr>
        <w:tc>
          <w:tcPr>
            <w:tcW w:w="3280" w:type="dxa"/>
            <w:vAlign w:val="bottom"/>
          </w:tcPr>
          <w:p>
            <w:pPr>
              <w:spacing w:after="0"/>
              <w:rPr>
                <w:sz w:val="15"/>
                <w:szCs w:val="15"/>
                <w:color w:val="auto"/>
              </w:rPr>
            </w:pPr>
          </w:p>
        </w:tc>
        <w:tc>
          <w:tcPr>
            <w:tcW w:w="3420" w:type="dxa"/>
            <w:vAlign w:val="bottom"/>
          </w:tcPr>
          <w:p>
            <w:pPr>
              <w:ind w:left="260"/>
              <w:spacing w:after="0"/>
              <w:rPr>
                <w:sz w:val="20"/>
                <w:szCs w:val="20"/>
                <w:color w:val="auto"/>
              </w:rPr>
            </w:pPr>
            <w:r>
              <w:rPr>
                <w:rFonts w:ascii="Arial" w:cs="Arial" w:eastAsia="Arial" w:hAnsi="Arial"/>
                <w:sz w:val="14"/>
                <w:szCs w:val="14"/>
                <w:color w:val="231F20"/>
              </w:rPr>
              <w:t>ir.FBI N.co m</w:t>
            </w:r>
          </w:p>
        </w:tc>
        <w:tc>
          <w:tcPr>
            <w:tcW w:w="3420" w:type="dxa"/>
            <w:vAlign w:val="bottom"/>
          </w:tcPr>
          <w:p>
            <w:pPr>
              <w:ind w:left="400"/>
              <w:spacing w:after="0"/>
              <w:rPr>
                <w:sz w:val="20"/>
                <w:szCs w:val="20"/>
                <w:color w:val="auto"/>
              </w:rPr>
            </w:pPr>
            <w:r>
              <w:rPr>
                <w:rFonts w:ascii="Arial" w:cs="Arial" w:eastAsia="Arial" w:hAnsi="Arial"/>
                <w:sz w:val="14"/>
                <w:szCs w:val="14"/>
                <w:color w:val="231F20"/>
              </w:rPr>
              <w:t>document s we file with the SEC on our</w:t>
            </w:r>
          </w:p>
        </w:tc>
      </w:tr>
      <w:tr>
        <w:trPr>
          <w:trHeight w:val="186"/>
        </w:trPr>
        <w:tc>
          <w:tcPr>
            <w:tcW w:w="3280" w:type="dxa"/>
            <w:vAlign w:val="bottom"/>
          </w:tcPr>
          <w:p>
            <w:pPr>
              <w:spacing w:after="0"/>
              <w:rPr>
                <w:sz w:val="20"/>
                <w:szCs w:val="20"/>
                <w:color w:val="auto"/>
              </w:rPr>
            </w:pPr>
            <w:r>
              <w:rPr>
                <w:rFonts w:ascii="Arial" w:cs="Arial" w:eastAsia="Arial" w:hAnsi="Arial"/>
                <w:sz w:val="16"/>
                <w:szCs w:val="16"/>
                <w:b w:val="1"/>
                <w:bCs w:val="1"/>
                <w:color w:val="231F20"/>
              </w:rPr>
              <w:t>Emai l</w:t>
            </w:r>
          </w:p>
        </w:tc>
        <w:tc>
          <w:tcPr>
            <w:tcW w:w="3420" w:type="dxa"/>
            <w:vAlign w:val="bottom"/>
          </w:tcPr>
          <w:p>
            <w:pPr>
              <w:spacing w:after="0"/>
              <w:rPr>
                <w:sz w:val="16"/>
                <w:szCs w:val="16"/>
                <w:color w:val="auto"/>
              </w:rPr>
            </w:pPr>
          </w:p>
        </w:tc>
        <w:tc>
          <w:tcPr>
            <w:tcW w:w="3420" w:type="dxa"/>
            <w:vAlign w:val="bottom"/>
          </w:tcPr>
          <w:p>
            <w:pPr>
              <w:ind w:left="380"/>
              <w:spacing w:after="0"/>
              <w:rPr>
                <w:sz w:val="20"/>
                <w:szCs w:val="20"/>
                <w:color w:val="auto"/>
              </w:rPr>
            </w:pPr>
            <w:r>
              <w:rPr>
                <w:rFonts w:ascii="Arial" w:cs="Arial" w:eastAsia="Arial" w:hAnsi="Arial"/>
                <w:sz w:val="14"/>
                <w:szCs w:val="14"/>
                <w:color w:val="231F20"/>
              </w:rPr>
              <w:t>investor rela tions web si te , ir.FB IN.com.</w:t>
            </w:r>
          </w:p>
        </w:tc>
      </w:tr>
      <w:tr>
        <w:trPr>
          <w:trHeight w:val="178"/>
        </w:trPr>
        <w:tc>
          <w:tcPr>
            <w:tcW w:w="3280" w:type="dxa"/>
            <w:vAlign w:val="bottom"/>
          </w:tcPr>
          <w:p>
            <w:pPr>
              <w:spacing w:after="0"/>
              <w:rPr>
                <w:sz w:val="20"/>
                <w:szCs w:val="20"/>
                <w:color w:val="auto"/>
              </w:rPr>
            </w:pPr>
            <w:r>
              <w:rPr>
                <w:rFonts w:ascii="Arial" w:cs="Arial" w:eastAsia="Arial" w:hAnsi="Arial"/>
                <w:sz w:val="14"/>
                <w:szCs w:val="14"/>
                <w:color w:val="231F20"/>
              </w:rPr>
              <w:t>Mail @FBH S.co m</w:t>
            </w:r>
          </w:p>
        </w:tc>
        <w:tc>
          <w:tcPr>
            <w:tcW w:w="3420" w:type="dxa"/>
            <w:vAlign w:val="bottom"/>
          </w:tcPr>
          <w:p>
            <w:pPr>
              <w:ind w:left="260"/>
              <w:spacing w:after="0"/>
              <w:rPr>
                <w:sz w:val="20"/>
                <w:szCs w:val="20"/>
                <w:color w:val="auto"/>
              </w:rPr>
            </w:pPr>
            <w:r>
              <w:rPr>
                <w:rFonts w:ascii="Arial" w:cs="Arial" w:eastAsia="Arial" w:hAnsi="Arial"/>
                <w:sz w:val="14"/>
                <w:szCs w:val="14"/>
                <w:color w:val="231F20"/>
              </w:rPr>
              <w:t>Duplicate mai lings of proxy materials</w:t>
            </w:r>
          </w:p>
        </w:tc>
        <w:tc>
          <w:tcPr>
            <w:tcW w:w="3420" w:type="dxa"/>
            <w:vAlign w:val="bottom"/>
          </w:tcPr>
          <w:p>
            <w:pPr>
              <w:spacing w:after="0"/>
              <w:rPr>
                <w:sz w:val="15"/>
                <w:szCs w:val="15"/>
                <w:color w:val="auto"/>
              </w:rPr>
            </w:pPr>
          </w:p>
        </w:tc>
      </w:tr>
      <w:tr>
        <w:trPr>
          <w:trHeight w:val="182"/>
        </w:trPr>
        <w:tc>
          <w:tcPr>
            <w:tcW w:w="3280" w:type="dxa"/>
            <w:vAlign w:val="bottom"/>
          </w:tcPr>
          <w:p>
            <w:pPr>
              <w:spacing w:after="0"/>
              <w:rPr>
                <w:sz w:val="15"/>
                <w:szCs w:val="15"/>
                <w:color w:val="auto"/>
              </w:rPr>
            </w:pPr>
          </w:p>
        </w:tc>
        <w:tc>
          <w:tcPr>
            <w:tcW w:w="3420" w:type="dxa"/>
            <w:vAlign w:val="bottom"/>
          </w:tcPr>
          <w:p>
            <w:pPr>
              <w:ind w:left="260"/>
              <w:spacing w:after="0"/>
              <w:rPr>
                <w:sz w:val="20"/>
                <w:szCs w:val="20"/>
                <w:color w:val="auto"/>
              </w:rPr>
            </w:pPr>
            <w:r>
              <w:rPr>
                <w:rFonts w:ascii="Arial" w:cs="Arial" w:eastAsia="Arial" w:hAnsi="Arial"/>
                <w:sz w:val="14"/>
                <w:szCs w:val="14"/>
                <w:color w:val="231F20"/>
              </w:rPr>
              <w:t>to the same address are cost ly an d</w:t>
            </w:r>
          </w:p>
        </w:tc>
        <w:tc>
          <w:tcPr>
            <w:tcW w:w="3420" w:type="dxa"/>
            <w:vAlign w:val="bottom"/>
          </w:tcPr>
          <w:p>
            <w:pPr>
              <w:ind w:left="400"/>
              <w:spacing w:after="0"/>
              <w:rPr>
                <w:sz w:val="20"/>
                <w:szCs w:val="20"/>
                <w:color w:val="auto"/>
              </w:rPr>
            </w:pPr>
            <w:r>
              <w:rPr>
                <w:rFonts w:ascii="Arial" w:cs="Arial" w:eastAsia="Arial" w:hAnsi="Arial"/>
                <w:sz w:val="14"/>
                <w:szCs w:val="14"/>
                <w:color w:val="231F20"/>
              </w:rPr>
              <w:t>Fortune B rands Innovations, Inc. is</w:t>
            </w:r>
          </w:p>
        </w:tc>
      </w:tr>
      <w:tr>
        <w:trPr>
          <w:trHeight w:val="186"/>
        </w:trPr>
        <w:tc>
          <w:tcPr>
            <w:tcW w:w="3280" w:type="dxa"/>
            <w:vAlign w:val="bottom"/>
          </w:tcPr>
          <w:p>
            <w:pPr>
              <w:spacing w:after="0"/>
              <w:rPr>
                <w:sz w:val="20"/>
                <w:szCs w:val="20"/>
                <w:color w:val="auto"/>
              </w:rPr>
            </w:pPr>
            <w:r>
              <w:rPr>
                <w:rFonts w:ascii="Arial" w:cs="Arial" w:eastAsia="Arial" w:hAnsi="Arial"/>
                <w:sz w:val="16"/>
                <w:szCs w:val="16"/>
                <w:b w:val="1"/>
                <w:bCs w:val="1"/>
                <w:color w:val="231F20"/>
              </w:rPr>
              <w:t>Registered Office</w:t>
            </w:r>
          </w:p>
        </w:tc>
        <w:tc>
          <w:tcPr>
            <w:tcW w:w="3420" w:type="dxa"/>
            <w:vAlign w:val="bottom"/>
          </w:tcPr>
          <w:p>
            <w:pPr>
              <w:ind w:left="260"/>
              <w:spacing w:after="0"/>
              <w:rPr>
                <w:sz w:val="20"/>
                <w:szCs w:val="20"/>
                <w:color w:val="auto"/>
              </w:rPr>
            </w:pPr>
            <w:r>
              <w:rPr>
                <w:rFonts w:ascii="Arial" w:cs="Arial" w:eastAsia="Arial" w:hAnsi="Arial"/>
                <w:sz w:val="14"/>
                <w:szCs w:val="14"/>
                <w:color w:val="231F20"/>
              </w:rPr>
              <w:t>may be inconvenient. Stockholders</w:t>
            </w:r>
          </w:p>
        </w:tc>
        <w:tc>
          <w:tcPr>
            <w:tcW w:w="3420" w:type="dxa"/>
            <w:vAlign w:val="bottom"/>
          </w:tcPr>
          <w:p>
            <w:pPr>
              <w:ind w:left="400"/>
              <w:spacing w:after="0"/>
              <w:rPr>
                <w:sz w:val="20"/>
                <w:szCs w:val="20"/>
                <w:color w:val="auto"/>
              </w:rPr>
            </w:pPr>
            <w:r>
              <w:rPr>
                <w:rFonts w:ascii="Arial" w:cs="Arial" w:eastAsia="Arial" w:hAnsi="Arial"/>
                <w:sz w:val="14"/>
                <w:szCs w:val="14"/>
                <w:color w:val="231F20"/>
              </w:rPr>
              <w:t>a hol ding company with subsi diaries</w:t>
            </w:r>
          </w:p>
        </w:tc>
      </w:tr>
      <w:tr>
        <w:trPr>
          <w:trHeight w:val="178"/>
        </w:trPr>
        <w:tc>
          <w:tcPr>
            <w:tcW w:w="3280" w:type="dxa"/>
            <w:vAlign w:val="bottom"/>
          </w:tcPr>
          <w:p>
            <w:pPr>
              <w:spacing w:after="0"/>
              <w:rPr>
                <w:sz w:val="20"/>
                <w:szCs w:val="20"/>
                <w:color w:val="auto"/>
              </w:rPr>
            </w:pPr>
            <w:r>
              <w:rPr>
                <w:rFonts w:ascii="Arial" w:cs="Arial" w:eastAsia="Arial" w:hAnsi="Arial"/>
                <w:sz w:val="14"/>
                <w:szCs w:val="14"/>
                <w:color w:val="231F20"/>
              </w:rPr>
              <w:t>251 Little Falls Drive</w:t>
            </w:r>
          </w:p>
        </w:tc>
        <w:tc>
          <w:tcPr>
            <w:tcW w:w="3420" w:type="dxa"/>
            <w:vAlign w:val="bottom"/>
          </w:tcPr>
          <w:p>
            <w:pPr>
              <w:ind w:left="260"/>
              <w:spacing w:after="0"/>
              <w:rPr>
                <w:sz w:val="20"/>
                <w:szCs w:val="20"/>
                <w:color w:val="auto"/>
              </w:rPr>
            </w:pPr>
            <w:r>
              <w:rPr>
                <w:rFonts w:ascii="Arial" w:cs="Arial" w:eastAsia="Arial" w:hAnsi="Arial"/>
                <w:sz w:val="14"/>
                <w:szCs w:val="14"/>
                <w:color w:val="231F20"/>
              </w:rPr>
              <w:t>who wish to eliminate duplicate</w:t>
            </w:r>
          </w:p>
        </w:tc>
        <w:tc>
          <w:tcPr>
            <w:tcW w:w="3420" w:type="dxa"/>
            <w:vAlign w:val="bottom"/>
          </w:tcPr>
          <w:p>
            <w:pPr>
              <w:ind w:left="380"/>
              <w:spacing w:after="0"/>
              <w:rPr>
                <w:sz w:val="20"/>
                <w:szCs w:val="20"/>
                <w:color w:val="auto"/>
              </w:rPr>
            </w:pPr>
            <w:r>
              <w:rPr>
                <w:rFonts w:ascii="Arial" w:cs="Arial" w:eastAsia="Arial" w:hAnsi="Arial"/>
                <w:sz w:val="14"/>
                <w:szCs w:val="14"/>
                <w:color w:val="231F20"/>
              </w:rPr>
              <w:t>engage d in the manufacture and sale of</w:t>
            </w: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231F20"/>
              </w:rPr>
              <w:t>Wilmington , DE 1 9808</w:t>
            </w:r>
          </w:p>
        </w:tc>
        <w:tc>
          <w:tcPr>
            <w:tcW w:w="3420" w:type="dxa"/>
            <w:vAlign w:val="bottom"/>
          </w:tcPr>
          <w:p>
            <w:pPr>
              <w:ind w:left="260"/>
              <w:spacing w:after="0"/>
              <w:rPr>
                <w:sz w:val="20"/>
                <w:szCs w:val="20"/>
                <w:color w:val="auto"/>
              </w:rPr>
            </w:pPr>
            <w:r>
              <w:rPr>
                <w:rFonts w:ascii="Arial" w:cs="Arial" w:eastAsia="Arial" w:hAnsi="Arial"/>
                <w:sz w:val="14"/>
                <w:szCs w:val="14"/>
                <w:color w:val="231F20"/>
              </w:rPr>
              <w:t>mailings must provide their request in</w:t>
            </w:r>
          </w:p>
        </w:tc>
        <w:tc>
          <w:tcPr>
            <w:tcW w:w="3420" w:type="dxa"/>
            <w:vAlign w:val="bottom"/>
          </w:tcPr>
          <w:p>
            <w:pPr>
              <w:ind w:left="380"/>
              <w:spacing w:after="0"/>
              <w:rPr>
                <w:sz w:val="20"/>
                <w:szCs w:val="20"/>
                <w:color w:val="auto"/>
              </w:rPr>
            </w:pPr>
            <w:r>
              <w:rPr>
                <w:rFonts w:ascii="Arial" w:cs="Arial" w:eastAsia="Arial" w:hAnsi="Arial"/>
                <w:sz w:val="14"/>
                <w:szCs w:val="14"/>
                <w:color w:val="231F20"/>
              </w:rPr>
              <w:t>home an d securit y products To make th is</w:t>
            </w:r>
          </w:p>
        </w:tc>
      </w:tr>
      <w:tr>
        <w:trPr>
          <w:trHeight w:val="182"/>
        </w:trPr>
        <w:tc>
          <w:tcPr>
            <w:tcW w:w="3280" w:type="dxa"/>
            <w:vAlign w:val="bottom"/>
          </w:tcPr>
          <w:p>
            <w:pPr>
              <w:spacing w:after="0"/>
              <w:rPr>
                <w:sz w:val="15"/>
                <w:szCs w:val="15"/>
                <w:color w:val="auto"/>
              </w:rPr>
            </w:pPr>
          </w:p>
        </w:tc>
        <w:tc>
          <w:tcPr>
            <w:tcW w:w="3420" w:type="dxa"/>
            <w:vAlign w:val="bottom"/>
          </w:tcPr>
          <w:p>
            <w:pPr>
              <w:ind w:left="260"/>
              <w:spacing w:after="0"/>
              <w:rPr>
                <w:sz w:val="20"/>
                <w:szCs w:val="20"/>
                <w:color w:val="auto"/>
              </w:rPr>
            </w:pPr>
            <w:r>
              <w:rPr>
                <w:rFonts w:ascii="Arial" w:cs="Arial" w:eastAsia="Arial" w:hAnsi="Arial"/>
                <w:sz w:val="14"/>
                <w:szCs w:val="14"/>
                <w:color w:val="231F20"/>
              </w:rPr>
              <w:t>writing Elimin ating duplicate mailin gs</w:t>
            </w:r>
          </w:p>
        </w:tc>
        <w:tc>
          <w:tcPr>
            <w:tcW w:w="3420" w:type="dxa"/>
            <w:vAlign w:val="bottom"/>
          </w:tcPr>
          <w:p>
            <w:pPr>
              <w:ind w:left="400"/>
              <w:spacing w:after="0"/>
              <w:rPr>
                <w:sz w:val="20"/>
                <w:szCs w:val="20"/>
                <w:color w:val="auto"/>
              </w:rPr>
            </w:pPr>
            <w:r>
              <w:rPr>
                <w:rFonts w:ascii="Arial" w:cs="Arial" w:eastAsia="Arial" w:hAnsi="Arial"/>
                <w:sz w:val="14"/>
                <w:szCs w:val="14"/>
                <w:color w:val="231F20"/>
              </w:rPr>
              <w:t>Annual Re port easier to read, we’ve used</w:t>
            </w:r>
          </w:p>
        </w:tc>
      </w:tr>
      <w:tr>
        <w:trPr>
          <w:trHeight w:val="186"/>
        </w:trPr>
        <w:tc>
          <w:tcPr>
            <w:tcW w:w="3280" w:type="dxa"/>
            <w:vAlign w:val="bottom"/>
          </w:tcPr>
          <w:p>
            <w:pPr>
              <w:ind w:left="20"/>
              <w:spacing w:after="0"/>
              <w:rPr>
                <w:sz w:val="20"/>
                <w:szCs w:val="20"/>
                <w:color w:val="auto"/>
              </w:rPr>
            </w:pPr>
            <w:r>
              <w:rPr>
                <w:rFonts w:ascii="Arial" w:cs="Arial" w:eastAsia="Arial" w:hAnsi="Arial"/>
                <w:sz w:val="16"/>
                <w:szCs w:val="16"/>
                <w:b w:val="1"/>
                <w:bCs w:val="1"/>
                <w:color w:val="231F20"/>
              </w:rPr>
              <w:t>Common Stock</w:t>
            </w:r>
          </w:p>
        </w:tc>
        <w:tc>
          <w:tcPr>
            <w:tcW w:w="3420" w:type="dxa"/>
            <w:vAlign w:val="bottom"/>
          </w:tcPr>
          <w:p>
            <w:pPr>
              <w:ind w:left="260"/>
              <w:spacing w:after="0"/>
              <w:rPr>
                <w:sz w:val="20"/>
                <w:szCs w:val="20"/>
                <w:color w:val="auto"/>
              </w:rPr>
            </w:pPr>
            <w:r>
              <w:rPr>
                <w:rFonts w:ascii="Arial" w:cs="Arial" w:eastAsia="Arial" w:hAnsi="Arial"/>
                <w:sz w:val="14"/>
                <w:szCs w:val="14"/>
                <w:color w:val="231F20"/>
              </w:rPr>
              <w:t>will not affect your voting rights</w:t>
            </w:r>
          </w:p>
        </w:tc>
        <w:tc>
          <w:tcPr>
            <w:tcW w:w="3420" w:type="dxa"/>
            <w:vAlign w:val="bottom"/>
          </w:tcPr>
          <w:p>
            <w:pPr>
              <w:ind w:left="400"/>
              <w:spacing w:after="0"/>
              <w:rPr>
                <w:sz w:val="20"/>
                <w:szCs w:val="20"/>
                <w:color w:val="auto"/>
              </w:rPr>
            </w:pPr>
            <w:r>
              <w:rPr>
                <w:rFonts w:ascii="Arial" w:cs="Arial" w:eastAsia="Arial" w:hAnsi="Arial"/>
                <w:sz w:val="14"/>
                <w:szCs w:val="14"/>
                <w:color w:val="231F20"/>
              </w:rPr>
              <w:t>“we ”  our,  FBIN,” “Fortune Brands</w:t>
            </w:r>
          </w:p>
        </w:tc>
      </w:tr>
      <w:tr>
        <w:trPr>
          <w:trHeight w:val="179"/>
        </w:trPr>
        <w:tc>
          <w:tcPr>
            <w:tcW w:w="3280" w:type="dxa"/>
            <w:vAlign w:val="bottom"/>
          </w:tcPr>
          <w:p>
            <w:pPr>
              <w:spacing w:after="0"/>
              <w:rPr>
                <w:sz w:val="20"/>
                <w:szCs w:val="20"/>
                <w:color w:val="auto"/>
              </w:rPr>
            </w:pPr>
            <w:r>
              <w:rPr>
                <w:rFonts w:ascii="Arial" w:cs="Arial" w:eastAsia="Arial" w:hAnsi="Arial"/>
                <w:sz w:val="14"/>
                <w:szCs w:val="14"/>
                <w:color w:val="231F20"/>
              </w:rPr>
              <w:t>Fortune Brands Inn ovat io ns, Inc. com mo n</w:t>
            </w:r>
          </w:p>
        </w:tc>
        <w:tc>
          <w:tcPr>
            <w:tcW w:w="3420" w:type="dxa"/>
            <w:vAlign w:val="bottom"/>
          </w:tcPr>
          <w:p>
            <w:pPr>
              <w:spacing w:after="0"/>
              <w:rPr>
                <w:sz w:val="15"/>
                <w:szCs w:val="15"/>
                <w:color w:val="auto"/>
              </w:rPr>
            </w:pPr>
          </w:p>
        </w:tc>
        <w:tc>
          <w:tcPr>
            <w:tcW w:w="3420" w:type="dxa"/>
            <w:vAlign w:val="bottom"/>
          </w:tcPr>
          <w:p>
            <w:pPr>
              <w:ind w:left="400"/>
              <w:spacing w:after="0"/>
              <w:rPr>
                <w:sz w:val="20"/>
                <w:szCs w:val="20"/>
                <w:color w:val="auto"/>
              </w:rPr>
            </w:pPr>
            <w:r>
              <w:rPr>
                <w:rFonts w:ascii="Arial" w:cs="Arial" w:eastAsia="Arial" w:hAnsi="Arial"/>
                <w:sz w:val="14"/>
                <w:szCs w:val="14"/>
                <w:color w:val="231F20"/>
              </w:rPr>
              <w:t>and similar terms to describe the</w:t>
            </w:r>
          </w:p>
        </w:tc>
      </w:tr>
      <w:tr>
        <w:trPr>
          <w:trHeight w:val="186"/>
        </w:trPr>
        <w:tc>
          <w:tcPr>
            <w:tcW w:w="3280" w:type="dxa"/>
            <w:vAlign w:val="bottom"/>
          </w:tcPr>
          <w:p>
            <w:pPr>
              <w:spacing w:after="0"/>
              <w:rPr>
                <w:sz w:val="20"/>
                <w:szCs w:val="20"/>
                <w:color w:val="auto"/>
              </w:rPr>
            </w:pPr>
            <w:r>
              <w:rPr>
                <w:rFonts w:ascii="Arial" w:cs="Arial" w:eastAsia="Arial" w:hAnsi="Arial"/>
                <w:sz w:val="14"/>
                <w:szCs w:val="14"/>
                <w:color w:val="231F20"/>
              </w:rPr>
              <w:t>stock is listed on t he New York Stock</w:t>
            </w:r>
          </w:p>
        </w:tc>
        <w:tc>
          <w:tcPr>
            <w:tcW w:w="3420" w:type="dxa"/>
            <w:vAlign w:val="bottom"/>
          </w:tcPr>
          <w:p>
            <w:pPr>
              <w:ind w:left="260"/>
              <w:spacing w:after="0"/>
              <w:rPr>
                <w:sz w:val="20"/>
                <w:szCs w:val="20"/>
                <w:color w:val="auto"/>
              </w:rPr>
            </w:pPr>
            <w:r>
              <w:rPr>
                <w:rFonts w:ascii="Arial" w:cs="Arial" w:eastAsia="Arial" w:hAnsi="Arial"/>
                <w:sz w:val="16"/>
                <w:szCs w:val="16"/>
                <w:b w:val="1"/>
                <w:bCs w:val="1"/>
                <w:color w:val="231F20"/>
              </w:rPr>
              <w:t>For Inq ui ries</w:t>
            </w:r>
          </w:p>
        </w:tc>
        <w:tc>
          <w:tcPr>
            <w:tcW w:w="3420" w:type="dxa"/>
            <w:vAlign w:val="bottom"/>
          </w:tcPr>
          <w:p>
            <w:pPr>
              <w:ind w:left="400"/>
              <w:spacing w:after="0"/>
              <w:rPr>
                <w:sz w:val="20"/>
                <w:szCs w:val="20"/>
                <w:color w:val="auto"/>
              </w:rPr>
            </w:pPr>
            <w:r>
              <w:rPr>
                <w:rFonts w:ascii="Arial" w:cs="Arial" w:eastAsia="Arial" w:hAnsi="Arial"/>
                <w:sz w:val="14"/>
                <w:szCs w:val="14"/>
                <w:color w:val="231F20"/>
              </w:rPr>
              <w:t>activities of Fortune B rands Innovations</w:t>
            </w:r>
          </w:p>
        </w:tc>
      </w:tr>
      <w:tr>
        <w:trPr>
          <w:trHeight w:val="179"/>
        </w:trPr>
        <w:tc>
          <w:tcPr>
            <w:tcW w:w="3280" w:type="dxa"/>
            <w:vAlign w:val="bottom"/>
          </w:tcPr>
          <w:p>
            <w:pPr>
              <w:spacing w:after="0"/>
              <w:rPr>
                <w:sz w:val="20"/>
                <w:szCs w:val="20"/>
                <w:color w:val="auto"/>
              </w:rPr>
            </w:pPr>
            <w:r>
              <w:rPr>
                <w:rFonts w:ascii="Arial" w:cs="Arial" w:eastAsia="Arial" w:hAnsi="Arial"/>
                <w:sz w:val="14"/>
                <w:szCs w:val="14"/>
                <w:color w:val="231F20"/>
              </w:rPr>
              <w:t>Exchan ge. Our tradin g sym bol is FBI N.</w:t>
            </w:r>
          </w:p>
        </w:tc>
        <w:tc>
          <w:tcPr>
            <w:tcW w:w="3420" w:type="dxa"/>
            <w:vAlign w:val="bottom"/>
          </w:tcPr>
          <w:p>
            <w:pPr>
              <w:ind w:left="260"/>
              <w:spacing w:after="0"/>
              <w:rPr>
                <w:sz w:val="20"/>
                <w:szCs w:val="20"/>
                <w:color w:val="auto"/>
              </w:rPr>
            </w:pPr>
            <w:r>
              <w:rPr>
                <w:rFonts w:ascii="Arial" w:cs="Arial" w:eastAsia="Arial" w:hAnsi="Arial"/>
                <w:sz w:val="14"/>
                <w:szCs w:val="14"/>
                <w:color w:val="231F20"/>
              </w:rPr>
              <w:t>Fortune B rands Innovations Inc.</w:t>
            </w:r>
          </w:p>
        </w:tc>
        <w:tc>
          <w:tcPr>
            <w:tcW w:w="3420" w:type="dxa"/>
            <w:vAlign w:val="bottom"/>
          </w:tcPr>
          <w:p>
            <w:pPr>
              <w:ind w:left="380"/>
              <w:spacing w:after="0"/>
              <w:rPr>
                <w:sz w:val="20"/>
                <w:szCs w:val="20"/>
                <w:color w:val="auto"/>
              </w:rPr>
            </w:pPr>
            <w:r>
              <w:rPr>
                <w:rFonts w:ascii="Arial" w:cs="Arial" w:eastAsia="Arial" w:hAnsi="Arial"/>
                <w:sz w:val="14"/>
                <w:szCs w:val="14"/>
                <w:color w:val="231F20"/>
              </w:rPr>
              <w:t>In c. or its subsidi ary compani es or</w:t>
            </w:r>
          </w:p>
        </w:tc>
      </w:tr>
      <w:tr>
        <w:trPr>
          <w:trHeight w:val="182"/>
        </w:trPr>
        <w:tc>
          <w:tcPr>
            <w:tcW w:w="3280" w:type="dxa"/>
            <w:vAlign w:val="bottom"/>
          </w:tcPr>
          <w:p>
            <w:pPr>
              <w:spacing w:after="0"/>
              <w:rPr>
                <w:sz w:val="15"/>
                <w:szCs w:val="15"/>
                <w:color w:val="auto"/>
              </w:rPr>
            </w:pPr>
          </w:p>
        </w:tc>
        <w:tc>
          <w:tcPr>
            <w:tcW w:w="3420" w:type="dxa"/>
            <w:vAlign w:val="bottom"/>
          </w:tcPr>
          <w:p>
            <w:pPr>
              <w:ind w:left="260"/>
              <w:spacing w:after="0"/>
              <w:rPr>
                <w:sz w:val="20"/>
                <w:szCs w:val="20"/>
                <w:color w:val="auto"/>
              </w:rPr>
            </w:pPr>
            <w:r>
              <w:rPr>
                <w:rFonts w:ascii="Arial" w:cs="Arial" w:eastAsia="Arial" w:hAnsi="Arial"/>
                <w:sz w:val="14"/>
                <w:szCs w:val="14"/>
                <w:color w:val="231F20"/>
              </w:rPr>
              <w:t>Sharehol der Services</w:t>
            </w:r>
          </w:p>
        </w:tc>
        <w:tc>
          <w:tcPr>
            <w:tcW w:w="3420" w:type="dxa"/>
            <w:vAlign w:val="bottom"/>
          </w:tcPr>
          <w:p>
            <w:pPr>
              <w:ind w:left="380"/>
              <w:spacing w:after="0"/>
              <w:rPr>
                <w:sz w:val="20"/>
                <w:szCs w:val="20"/>
                <w:color w:val="auto"/>
              </w:rPr>
            </w:pPr>
            <w:r>
              <w:rPr>
                <w:rFonts w:ascii="Arial" w:cs="Arial" w:eastAsia="Arial" w:hAnsi="Arial"/>
                <w:sz w:val="14"/>
                <w:szCs w:val="14"/>
                <w:color w:val="231F20"/>
              </w:rPr>
              <w:t>both, depending on th e context.</w:t>
            </w:r>
          </w:p>
        </w:tc>
      </w:tr>
      <w:tr>
        <w:trPr>
          <w:trHeight w:val="185"/>
        </w:trPr>
        <w:tc>
          <w:tcPr>
            <w:tcW w:w="3280" w:type="dxa"/>
            <w:vAlign w:val="bottom"/>
          </w:tcPr>
          <w:p>
            <w:pPr>
              <w:spacing w:after="0"/>
              <w:rPr>
                <w:sz w:val="20"/>
                <w:szCs w:val="20"/>
                <w:color w:val="auto"/>
              </w:rPr>
            </w:pPr>
            <w:r>
              <w:rPr>
                <w:rFonts w:ascii="Arial" w:cs="Arial" w:eastAsia="Arial" w:hAnsi="Arial"/>
                <w:sz w:val="16"/>
                <w:szCs w:val="16"/>
                <w:b w:val="1"/>
                <w:bCs w:val="1"/>
                <w:color w:val="231F20"/>
              </w:rPr>
              <w:t>An nual Meeting</w:t>
            </w:r>
          </w:p>
        </w:tc>
        <w:tc>
          <w:tcPr>
            <w:tcW w:w="3420" w:type="dxa"/>
            <w:vAlign w:val="bottom"/>
          </w:tcPr>
          <w:p>
            <w:pPr>
              <w:ind w:left="260"/>
              <w:spacing w:after="0"/>
              <w:rPr>
                <w:sz w:val="20"/>
                <w:szCs w:val="20"/>
                <w:color w:val="auto"/>
              </w:rPr>
            </w:pPr>
            <w:r>
              <w:rPr>
                <w:rFonts w:ascii="Arial" w:cs="Arial" w:eastAsia="Arial" w:hAnsi="Arial"/>
                <w:sz w:val="14"/>
                <w:szCs w:val="14"/>
                <w:color w:val="231F20"/>
              </w:rPr>
              <w:t>520 Lake C oo k R oad</w:t>
            </w:r>
          </w:p>
        </w:tc>
        <w:tc>
          <w:tcPr>
            <w:tcW w:w="3420" w:type="dxa"/>
            <w:vAlign w:val="bottom"/>
          </w:tcPr>
          <w:p>
            <w:pPr>
              <w:spacing w:after="0"/>
              <w:rPr>
                <w:sz w:val="16"/>
                <w:szCs w:val="16"/>
                <w:color w:val="auto"/>
              </w:rPr>
            </w:pPr>
          </w:p>
        </w:tc>
      </w:tr>
      <w:tr>
        <w:trPr>
          <w:trHeight w:val="178"/>
        </w:trPr>
        <w:tc>
          <w:tcPr>
            <w:tcW w:w="3280" w:type="dxa"/>
            <w:vAlign w:val="bottom"/>
          </w:tcPr>
          <w:p>
            <w:pPr>
              <w:spacing w:after="0"/>
              <w:rPr>
                <w:sz w:val="20"/>
                <w:szCs w:val="20"/>
                <w:color w:val="auto"/>
              </w:rPr>
            </w:pPr>
            <w:r>
              <w:rPr>
                <w:rFonts w:ascii="Arial" w:cs="Arial" w:eastAsia="Arial" w:hAnsi="Arial"/>
                <w:sz w:val="14"/>
                <w:szCs w:val="14"/>
                <w:color w:val="231F20"/>
              </w:rPr>
              <w:t>The A nnual Meeting of</w:t>
            </w:r>
          </w:p>
        </w:tc>
        <w:tc>
          <w:tcPr>
            <w:tcW w:w="3420" w:type="dxa"/>
            <w:vAlign w:val="bottom"/>
          </w:tcPr>
          <w:p>
            <w:pPr>
              <w:ind w:left="280"/>
              <w:spacing w:after="0"/>
              <w:rPr>
                <w:sz w:val="20"/>
                <w:szCs w:val="20"/>
                <w:color w:val="auto"/>
              </w:rPr>
            </w:pPr>
            <w:r>
              <w:rPr>
                <w:rFonts w:ascii="Arial" w:cs="Arial" w:eastAsia="Arial" w:hAnsi="Arial"/>
                <w:sz w:val="14"/>
                <w:szCs w:val="14"/>
                <w:color w:val="231F20"/>
              </w:rPr>
              <w:t>Suite 300</w:t>
            </w:r>
          </w:p>
        </w:tc>
        <w:tc>
          <w:tcPr>
            <w:tcW w:w="3420" w:type="dxa"/>
            <w:vAlign w:val="bottom"/>
          </w:tcPr>
          <w:p>
            <w:pPr>
              <w:spacing w:after="0"/>
              <w:rPr>
                <w:sz w:val="15"/>
                <w:szCs w:val="15"/>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231F20"/>
              </w:rPr>
              <w:t>Stockholders will ta ke place o n</w:t>
            </w:r>
          </w:p>
        </w:tc>
        <w:tc>
          <w:tcPr>
            <w:tcW w:w="3420" w:type="dxa"/>
            <w:vAlign w:val="bottom"/>
          </w:tcPr>
          <w:p>
            <w:pPr>
              <w:ind w:left="280"/>
              <w:spacing w:after="0"/>
              <w:rPr>
                <w:sz w:val="20"/>
                <w:szCs w:val="20"/>
                <w:color w:val="auto"/>
              </w:rPr>
            </w:pPr>
            <w:r>
              <w:rPr>
                <w:rFonts w:ascii="Arial" w:cs="Arial" w:eastAsia="Arial" w:hAnsi="Arial"/>
                <w:sz w:val="14"/>
                <w:szCs w:val="14"/>
                <w:color w:val="231F20"/>
              </w:rPr>
              <w:t>Deerfiel d, IL 60015-56 11</w:t>
            </w:r>
          </w:p>
        </w:tc>
        <w:tc>
          <w:tcPr>
            <w:tcW w:w="3420" w:type="dxa"/>
            <w:vAlign w:val="bottom"/>
          </w:tcPr>
          <w:p>
            <w:pPr>
              <w:spacing w:after="0"/>
              <w:rPr>
                <w:sz w:val="15"/>
                <w:szCs w:val="15"/>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231F20"/>
              </w:rPr>
              <w:t>May 7, 2024, at 8: 00 a m. CDT.</w:t>
            </w:r>
          </w:p>
        </w:tc>
        <w:tc>
          <w:tcPr>
            <w:tcW w:w="342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231F20"/>
              </w:rPr>
              <w:t>52 0 Lake C ook R oad</w:t>
            </w:r>
          </w:p>
        </w:tc>
        <w:tc>
          <w:tcPr>
            <w:tcW w:w="342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182"/>
        </w:trPr>
        <w:tc>
          <w:tcPr>
            <w:tcW w:w="3280" w:type="dxa"/>
            <w:vAlign w:val="bottom"/>
          </w:tcPr>
          <w:p>
            <w:pPr>
              <w:ind w:left="20"/>
              <w:spacing w:after="0"/>
              <w:rPr>
                <w:sz w:val="20"/>
                <w:szCs w:val="20"/>
                <w:color w:val="auto"/>
              </w:rPr>
            </w:pPr>
            <w:r>
              <w:rPr>
                <w:rFonts w:ascii="Arial" w:cs="Arial" w:eastAsia="Arial" w:hAnsi="Arial"/>
                <w:sz w:val="14"/>
                <w:szCs w:val="14"/>
                <w:color w:val="231F20"/>
              </w:rPr>
              <w:t>(Starli ght Cafe Entra nce)</w:t>
            </w:r>
          </w:p>
        </w:tc>
        <w:tc>
          <w:tcPr>
            <w:tcW w:w="342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4"/>
                <w:szCs w:val="14"/>
                <w:color w:val="231F20"/>
              </w:rPr>
              <w:t>Deerfield, IL 6 0015 -5 611</w:t>
            </w:r>
          </w:p>
        </w:tc>
        <w:tc>
          <w:tcPr>
            <w:tcW w:w="3420" w:type="dxa"/>
            <w:vAlign w:val="bottom"/>
          </w:tcPr>
          <w:p>
            <w:pPr>
              <w:spacing w:after="0"/>
              <w:rPr>
                <w:sz w:val="15"/>
                <w:szCs w:val="15"/>
                <w:color w:val="auto"/>
              </w:rPr>
            </w:pPr>
          </w:p>
        </w:tc>
        <w:tc>
          <w:tcPr>
            <w:tcW w:w="3420" w:type="dxa"/>
            <w:vAlign w:val="bottom"/>
          </w:tcPr>
          <w:p>
            <w:pPr>
              <w:spacing w:after="0"/>
              <w:rPr>
                <w:sz w:val="15"/>
                <w:szCs w:val="15"/>
                <w:color w:val="auto"/>
              </w:rPr>
            </w:pPr>
          </w:p>
        </w:tc>
      </w:tr>
    </w:tbl>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231F20"/>
        </w:rPr>
        <w:t>BR AN DS</w:t>
      </w:r>
    </w:p>
    <w:p>
      <w:pPr>
        <w:spacing w:after="0" w:line="199" w:lineRule="exact"/>
        <w:rPr>
          <w:sz w:val="20"/>
          <w:szCs w:val="20"/>
          <w:color w:val="auto"/>
        </w:rPr>
      </w:pPr>
    </w:p>
    <w:p>
      <w:pPr>
        <w:ind w:left="2140"/>
        <w:spacing w:after="0"/>
        <w:tabs>
          <w:tab w:leader="none" w:pos="5820" w:val="left"/>
          <w:tab w:leader="none" w:pos="8600" w:val="left"/>
        </w:tabs>
        <w:rPr>
          <w:sz w:val="20"/>
          <w:szCs w:val="20"/>
          <w:color w:val="auto"/>
        </w:rPr>
      </w:pPr>
      <w:r>
        <w:rPr>
          <w:rFonts w:ascii="Arial" w:cs="Arial" w:eastAsia="Arial" w:hAnsi="Arial"/>
          <w:sz w:val="16"/>
          <w:szCs w:val="16"/>
          <w:b w:val="1"/>
          <w:bCs w:val="1"/>
          <w:color w:val="231F20"/>
        </w:rPr>
        <w:t>Water</w:t>
      </w:r>
      <w:r>
        <w:rPr>
          <w:sz w:val="20"/>
          <w:szCs w:val="20"/>
          <w:color w:val="auto"/>
        </w:rPr>
        <w:tab/>
      </w:r>
      <w:r>
        <w:rPr>
          <w:rFonts w:ascii="Arial" w:cs="Arial" w:eastAsia="Arial" w:hAnsi="Arial"/>
          <w:sz w:val="16"/>
          <w:szCs w:val="16"/>
          <w:b w:val="1"/>
          <w:bCs w:val="1"/>
          <w:color w:val="231F20"/>
        </w:rPr>
        <w:t>Outdoors</w:t>
      </w:r>
      <w:r>
        <w:rPr>
          <w:sz w:val="20"/>
          <w:szCs w:val="20"/>
          <w:color w:val="auto"/>
        </w:rPr>
        <w:tab/>
      </w:r>
      <w:r>
        <w:rPr>
          <w:rFonts w:ascii="Arial" w:cs="Arial" w:eastAsia="Arial" w:hAnsi="Arial"/>
          <w:sz w:val="15"/>
          <w:szCs w:val="15"/>
          <w:b w:val="1"/>
          <w:bCs w:val="1"/>
          <w:color w:val="231F20"/>
        </w:rPr>
        <w:t>Secu 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wp:posOffset>
            </wp:positionV>
            <wp:extent cx="6538595" cy="2699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2">
                      <a:extLst>
                        <a:ext uri="{28A0092B-C50C-407E-A947-70E740481C1C}"/>
                      </a:extLst>
                    </a:blip>
                    <a:srcRect/>
                    <a:stretch>
                      <a:fillRect/>
                    </a:stretch>
                  </pic:blipFill>
                  <pic:spPr bwMode="auto">
                    <a:xfrm>
                      <a:off x="0" y="0"/>
                      <a:ext cx="6538595" cy="2699385"/>
                    </a:xfrm>
                    <a:prstGeom prst="rect">
                      <a:avLst/>
                    </a:prstGeom>
                    <a:noFill/>
                  </pic:spPr>
                </pic:pic>
              </a:graphicData>
            </a:graphic>
          </wp:anchor>
        </w:drawing>
      </w:r>
    </w:p>
    <w:p>
      <w:pPr>
        <w:sectPr>
          <w:pgSz w:w="12240" w:h="15840" w:orient="portrait"/>
          <w:cols w:equalWidth="0" w:num="1">
            <w:col w:w="10120"/>
          </w:cols>
          <w:pgMar w:left="800" w:top="1033" w:right="1320" w:bottom="3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231F20"/>
        </w:rPr>
        <w:t>Throughout this Annua l Report, we refe r to numerous trademarks, trade names and brands. Moen, Riobel, ROHL, Perrin &amp; Rowe, S haws, Victoria + Albert, Fiberon Therma-Tru LARSON, Master Lock, Sentry Safe, Aq ualisa Solar Innovations, Ya le, August, Emtek an d Schaub are among the tradema rks or trade names held by subsi diaries of Fortune Brands Innovations, Inc., and are registe red, pending registration, and/or common law m arks in the U.S. and/or various countr 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920" w:hanging="5"/>
        <w:spacing w:after="0" w:line="236" w:lineRule="auto"/>
        <w:rPr>
          <w:sz w:val="20"/>
          <w:szCs w:val="20"/>
          <w:color w:val="auto"/>
        </w:rPr>
      </w:pPr>
      <w:r>
        <w:rPr>
          <w:rFonts w:ascii="Arial" w:cs="Arial" w:eastAsia="Arial" w:hAnsi="Arial"/>
          <w:sz w:val="14"/>
          <w:szCs w:val="14"/>
          <w:color w:val="231F20"/>
        </w:rPr>
        <w:t>Occasionally, in conveying information, we refer to trademarks of third parties. Such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-294005</wp:posOffset>
            </wp:positionV>
            <wp:extent cx="750570" cy="1130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3">
                      <a:extLst>
                        <a:ext uri="{28A0092B-C50C-407E-A947-70E740481C1C}"/>
                      </a:extLst>
                    </a:blip>
                    <a:srcRect/>
                    <a:stretch>
                      <a:fillRect/>
                    </a:stretch>
                  </pic:blipFill>
                  <pic:spPr bwMode="auto">
                    <a:xfrm>
                      <a:off x="0" y="0"/>
                      <a:ext cx="750570" cy="1130935"/>
                    </a:xfrm>
                    <a:prstGeom prst="rect">
                      <a:avLst/>
                    </a:prstGeom>
                    <a:noFill/>
                  </pic:spPr>
                </pic:pic>
              </a:graphicData>
            </a:graphic>
          </wp:anchor>
        </w:drawing>
      </w:r>
    </w:p>
    <w:p>
      <w:pPr>
        <w:spacing w:after="0" w:line="1012" w:lineRule="exact"/>
        <w:rPr>
          <w:sz w:val="20"/>
          <w:szCs w:val="20"/>
          <w:color w:val="auto"/>
        </w:rPr>
      </w:pPr>
    </w:p>
    <w:p>
      <w:pPr>
        <w:sectPr>
          <w:pgSz w:w="12240" w:h="15840" w:orient="portrait"/>
          <w:cols w:equalWidth="0" w:num="2">
            <w:col w:w="4160" w:space="360"/>
            <w:col w:w="5600"/>
          </w:cols>
          <w:pgMar w:left="800" w:top="1033" w:right="1320" w:bottom="39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231F20"/>
        </w:rPr>
        <w:t>106</w:t>
      </w:r>
    </w:p>
    <w:p>
      <w:pPr>
        <w:sectPr>
          <w:pgSz w:w="12240" w:h="15840" w:orient="portrait"/>
          <w:cols w:equalWidth="0" w:num="1">
            <w:col w:w="10120"/>
          </w:cols>
          <w:pgMar w:left="800" w:top="1033" w:right="1320" w:bottom="393" w:gutter="0" w:footer="0" w:header="0"/>
          <w:type w:val="continuous"/>
        </w:sectPr>
      </w:pPr>
    </w:p>
    <w:bookmarkStart w:id="114" w:name="page115"/>
    <w:bookmarkEnd w:id="114"/>
    <w:p>
      <w:pPr>
        <w:spacing w:after="0"/>
        <w:rPr>
          <w:sz w:val="20"/>
          <w:szCs w:val="20"/>
          <w:color w:val="auto"/>
        </w:rPr>
      </w:pPr>
      <w:r>
        <w:rPr>
          <w:rFonts w:ascii="Arial" w:cs="Arial" w:eastAsia="Arial" w:hAnsi="Arial"/>
          <w:sz w:val="45"/>
          <w:szCs w:val="45"/>
          <w:b w:val="1"/>
          <w:bCs w:val="1"/>
          <w:color w:val="1A4E79"/>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261100" cy="11061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4">
                      <a:extLst>
                        <a:ext uri="{28A0092B-C50C-407E-A947-70E740481C1C}"/>
                      </a:extLst>
                    </a:blip>
                    <a:srcRect/>
                    <a:stretch>
                      <a:fillRect/>
                    </a:stretch>
                  </pic:blipFill>
                  <pic:spPr bwMode="auto">
                    <a:xfrm>
                      <a:off x="0" y="0"/>
                      <a:ext cx="626110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20"/>
                <w:szCs w:val="20"/>
                <w:color w:val="auto"/>
              </w:rPr>
            </w:pPr>
            <w:r>
              <w:rPr>
                <w:rFonts w:ascii="Arial" w:cs="Arial" w:eastAsia="Arial" w:hAnsi="Arial"/>
                <w:sz w:val="16"/>
                <w:szCs w:val="16"/>
                <w:b w:val="1"/>
                <w:bCs w:val="1"/>
                <w:color w:val="1A4E79"/>
              </w:rPr>
              <w:t>Susan Saltzbart</w:t>
            </w:r>
          </w:p>
        </w:tc>
        <w:tc>
          <w:tcPr>
            <w:tcW w:w="1600" w:type="dxa"/>
            <w:vAlign w:val="bottom"/>
          </w:tcPr>
          <w:p>
            <w:pPr>
              <w:ind w:left="140"/>
              <w:spacing w:after="0"/>
              <w:rPr>
                <w:sz w:val="20"/>
                <w:szCs w:val="20"/>
                <w:color w:val="auto"/>
              </w:rPr>
            </w:pPr>
            <w:r>
              <w:rPr>
                <w:rFonts w:ascii="Arial" w:cs="Arial" w:eastAsia="Arial" w:hAnsi="Arial"/>
                <w:sz w:val="16"/>
                <w:szCs w:val="16"/>
                <w:b w:val="1"/>
                <w:bCs w:val="1"/>
                <w:color w:val="1A4E79"/>
              </w:rPr>
              <w:t>Nicholas I. Fink</w:t>
            </w:r>
          </w:p>
        </w:tc>
        <w:tc>
          <w:tcPr>
            <w:tcW w:w="1780" w:type="dxa"/>
            <w:vAlign w:val="bottom"/>
          </w:tcPr>
          <w:p>
            <w:pPr>
              <w:ind w:left="240"/>
              <w:spacing w:after="0"/>
              <w:rPr>
                <w:sz w:val="20"/>
                <w:szCs w:val="20"/>
                <w:color w:val="auto"/>
              </w:rPr>
            </w:pPr>
            <w:r>
              <w:rPr>
                <w:rFonts w:ascii="Arial" w:cs="Arial" w:eastAsia="Arial" w:hAnsi="Arial"/>
                <w:sz w:val="16"/>
                <w:szCs w:val="16"/>
                <w:b w:val="1"/>
                <w:bCs w:val="1"/>
                <w:color w:val="1A4E79"/>
              </w:rPr>
              <w:t>Amit Banati</w:t>
            </w:r>
          </w:p>
        </w:tc>
        <w:tc>
          <w:tcPr>
            <w:tcW w:w="1580" w:type="dxa"/>
            <w:vAlign w:val="bottom"/>
          </w:tcPr>
          <w:p>
            <w:pPr>
              <w:ind w:left="160"/>
              <w:spacing w:after="0"/>
              <w:rPr>
                <w:sz w:val="20"/>
                <w:szCs w:val="20"/>
                <w:color w:val="auto"/>
              </w:rPr>
            </w:pPr>
            <w:r>
              <w:rPr>
                <w:rFonts w:ascii="Arial" w:cs="Arial" w:eastAsia="Arial" w:hAnsi="Arial"/>
                <w:sz w:val="16"/>
                <w:szCs w:val="16"/>
                <w:b w:val="1"/>
                <w:bCs w:val="1"/>
                <w:color w:val="1A4E79"/>
              </w:rPr>
              <w:t>Amee Chande</w:t>
            </w:r>
          </w:p>
        </w:tc>
        <w:tc>
          <w:tcPr>
            <w:tcW w:w="1840" w:type="dxa"/>
            <w:vAlign w:val="bottom"/>
          </w:tcPr>
          <w:p>
            <w:pPr>
              <w:ind w:left="300"/>
              <w:spacing w:after="0"/>
              <w:rPr>
                <w:sz w:val="20"/>
                <w:szCs w:val="20"/>
                <w:color w:val="auto"/>
              </w:rPr>
            </w:pPr>
            <w:r>
              <w:rPr>
                <w:rFonts w:ascii="Arial" w:cs="Arial" w:eastAsia="Arial" w:hAnsi="Arial"/>
                <w:sz w:val="16"/>
                <w:szCs w:val="16"/>
                <w:b w:val="1"/>
                <w:bCs w:val="1"/>
                <w:color w:val="1A4E79"/>
              </w:rPr>
              <w:t>Irial Finan</w:t>
            </w:r>
          </w:p>
        </w:tc>
        <w:tc>
          <w:tcPr>
            <w:tcW w:w="1560" w:type="dxa"/>
            <w:vAlign w:val="bottom"/>
          </w:tcPr>
          <w:p>
            <w:pPr>
              <w:ind w:left="160"/>
              <w:spacing w:after="0"/>
              <w:rPr>
                <w:sz w:val="20"/>
                <w:szCs w:val="20"/>
                <w:color w:val="auto"/>
              </w:rPr>
            </w:pPr>
            <w:r>
              <w:rPr>
                <w:rFonts w:ascii="Arial" w:cs="Arial" w:eastAsia="Arial" w:hAnsi="Arial"/>
                <w:sz w:val="16"/>
                <w:szCs w:val="16"/>
                <w:b w:val="1"/>
                <w:bCs w:val="1"/>
                <w:color w:val="1A4E79"/>
              </w:rPr>
              <w:t>Ann Fritz Hackett</w:t>
            </w:r>
          </w:p>
        </w:tc>
      </w:tr>
      <w:tr>
        <w:trPr>
          <w:trHeight w:val="204"/>
        </w:trPr>
        <w:tc>
          <w:tcPr>
            <w:tcW w:w="1560" w:type="dxa"/>
            <w:vAlign w:val="bottom"/>
          </w:tcPr>
          <w:p>
            <w:pPr>
              <w:spacing w:after="0"/>
              <w:rPr>
                <w:sz w:val="20"/>
                <w:szCs w:val="20"/>
                <w:color w:val="auto"/>
              </w:rPr>
            </w:pPr>
            <w:r>
              <w:rPr>
                <w:rFonts w:ascii="Arial" w:cs="Arial" w:eastAsia="Arial" w:hAnsi="Arial"/>
                <w:sz w:val="16"/>
                <w:szCs w:val="16"/>
                <w:b w:val="1"/>
                <w:bCs w:val="1"/>
                <w:color w:val="1A4E79"/>
              </w:rPr>
              <w:t>Kilsby</w:t>
            </w:r>
          </w:p>
        </w:tc>
        <w:tc>
          <w:tcPr>
            <w:tcW w:w="1600" w:type="dxa"/>
            <w:vAlign w:val="bottom"/>
          </w:tcPr>
          <w:p>
            <w:pPr>
              <w:ind w:left="140"/>
              <w:spacing w:after="0"/>
              <w:rPr>
                <w:sz w:val="20"/>
                <w:szCs w:val="20"/>
                <w:color w:val="auto"/>
              </w:rPr>
            </w:pPr>
            <w:r>
              <w:rPr>
                <w:rFonts w:ascii="Arial" w:cs="Arial" w:eastAsia="Arial" w:hAnsi="Arial"/>
                <w:sz w:val="14"/>
                <w:szCs w:val="14"/>
                <w:color w:val="4D4D4F"/>
              </w:rPr>
              <w:t>Chief Executive</w:t>
            </w:r>
          </w:p>
        </w:tc>
        <w:tc>
          <w:tcPr>
            <w:tcW w:w="1780" w:type="dxa"/>
            <w:vAlign w:val="bottom"/>
          </w:tcPr>
          <w:p>
            <w:pPr>
              <w:ind w:left="240"/>
              <w:spacing w:after="0"/>
              <w:rPr>
                <w:sz w:val="20"/>
                <w:szCs w:val="20"/>
                <w:color w:val="auto"/>
              </w:rPr>
            </w:pPr>
            <w:r>
              <w:rPr>
                <w:rFonts w:ascii="Arial" w:cs="Arial" w:eastAsia="Arial" w:hAnsi="Arial"/>
                <w:sz w:val="14"/>
                <w:szCs w:val="14"/>
                <w:color w:val="4D4D4F"/>
              </w:rPr>
              <w:t>Vice Chair and Chief</w:t>
            </w:r>
          </w:p>
        </w:tc>
        <w:tc>
          <w:tcPr>
            <w:tcW w:w="1580" w:type="dxa"/>
            <w:vAlign w:val="bottom"/>
          </w:tcPr>
          <w:p>
            <w:pPr>
              <w:ind w:left="160"/>
              <w:spacing w:after="0"/>
              <w:rPr>
                <w:sz w:val="20"/>
                <w:szCs w:val="20"/>
                <w:color w:val="auto"/>
              </w:rPr>
            </w:pPr>
            <w:r>
              <w:rPr>
                <w:rFonts w:ascii="Arial" w:cs="Arial" w:eastAsia="Arial" w:hAnsi="Arial"/>
                <w:sz w:val="14"/>
                <w:szCs w:val="14"/>
                <w:color w:val="4D4D4F"/>
              </w:rPr>
              <w:t>Strategy</w:t>
            </w:r>
          </w:p>
        </w:tc>
        <w:tc>
          <w:tcPr>
            <w:tcW w:w="1840" w:type="dxa"/>
            <w:vAlign w:val="bottom"/>
          </w:tcPr>
          <w:p>
            <w:pPr>
              <w:ind w:left="300"/>
              <w:spacing w:after="0"/>
              <w:rPr>
                <w:sz w:val="20"/>
                <w:szCs w:val="20"/>
                <w:color w:val="auto"/>
              </w:rPr>
            </w:pPr>
            <w:r>
              <w:rPr>
                <w:rFonts w:ascii="Arial" w:cs="Arial" w:eastAsia="Arial" w:hAnsi="Arial"/>
                <w:sz w:val="14"/>
                <w:szCs w:val="14"/>
                <w:color w:val="4D4D4F"/>
              </w:rPr>
              <w:t>Former Executive</w:t>
            </w:r>
          </w:p>
        </w:tc>
        <w:tc>
          <w:tcPr>
            <w:tcW w:w="1560" w:type="dxa"/>
            <w:vAlign w:val="bottom"/>
          </w:tcPr>
          <w:p>
            <w:pPr>
              <w:ind w:left="160"/>
              <w:spacing w:after="0"/>
              <w:rPr>
                <w:sz w:val="20"/>
                <w:szCs w:val="20"/>
                <w:color w:val="auto"/>
              </w:rPr>
            </w:pPr>
            <w:r>
              <w:rPr>
                <w:rFonts w:ascii="Arial" w:cs="Arial" w:eastAsia="Arial" w:hAnsi="Arial"/>
                <w:sz w:val="14"/>
                <w:szCs w:val="14"/>
                <w:color w:val="4D4D4F"/>
              </w:rPr>
              <w:t>Former Strategy</w:t>
            </w:r>
          </w:p>
        </w:tc>
      </w:tr>
      <w:tr>
        <w:trPr>
          <w:trHeight w:val="174"/>
        </w:trPr>
        <w:tc>
          <w:tcPr>
            <w:tcW w:w="1560" w:type="dxa"/>
            <w:vAlign w:val="bottom"/>
          </w:tcPr>
          <w:p>
            <w:pPr>
              <w:spacing w:after="0"/>
              <w:rPr>
                <w:sz w:val="20"/>
                <w:szCs w:val="20"/>
                <w:color w:val="auto"/>
              </w:rPr>
            </w:pPr>
            <w:r>
              <w:rPr>
                <w:rFonts w:ascii="Arial" w:cs="Arial" w:eastAsia="Arial" w:hAnsi="Arial"/>
                <w:sz w:val="14"/>
                <w:szCs w:val="14"/>
                <w:color w:val="4D4D4F"/>
              </w:rPr>
              <w:t>Non-Executive</w:t>
            </w:r>
          </w:p>
        </w:tc>
        <w:tc>
          <w:tcPr>
            <w:tcW w:w="1600" w:type="dxa"/>
            <w:vAlign w:val="bottom"/>
          </w:tcPr>
          <w:p>
            <w:pPr>
              <w:ind w:left="140"/>
              <w:spacing w:after="0"/>
              <w:rPr>
                <w:sz w:val="20"/>
                <w:szCs w:val="20"/>
                <w:color w:val="auto"/>
              </w:rPr>
            </w:pPr>
            <w:r>
              <w:rPr>
                <w:rFonts w:ascii="Arial" w:cs="Arial" w:eastAsia="Arial" w:hAnsi="Arial"/>
                <w:sz w:val="14"/>
                <w:szCs w:val="14"/>
                <w:color w:val="4D4D4F"/>
              </w:rPr>
              <w:t>Officer</w:t>
            </w:r>
          </w:p>
        </w:tc>
        <w:tc>
          <w:tcPr>
            <w:tcW w:w="1780" w:type="dxa"/>
            <w:vAlign w:val="bottom"/>
          </w:tcPr>
          <w:p>
            <w:pPr>
              <w:ind w:left="240"/>
              <w:spacing w:after="0"/>
              <w:rPr>
                <w:sz w:val="20"/>
                <w:szCs w:val="20"/>
                <w:color w:val="auto"/>
              </w:rPr>
            </w:pPr>
            <w:r>
              <w:rPr>
                <w:rFonts w:ascii="Arial" w:cs="Arial" w:eastAsia="Arial" w:hAnsi="Arial"/>
                <w:sz w:val="14"/>
                <w:szCs w:val="14"/>
                <w:color w:val="4D4D4F"/>
              </w:rPr>
              <w:t>Financial Officer</w:t>
            </w:r>
          </w:p>
        </w:tc>
        <w:tc>
          <w:tcPr>
            <w:tcW w:w="1580" w:type="dxa"/>
            <w:vAlign w:val="bottom"/>
          </w:tcPr>
          <w:p>
            <w:pPr>
              <w:ind w:left="160"/>
              <w:spacing w:after="0"/>
              <w:rPr>
                <w:sz w:val="20"/>
                <w:szCs w:val="20"/>
                <w:color w:val="auto"/>
              </w:rPr>
            </w:pPr>
            <w:r>
              <w:rPr>
                <w:rFonts w:ascii="Arial" w:cs="Arial" w:eastAsia="Arial" w:hAnsi="Arial"/>
                <w:sz w:val="14"/>
                <w:szCs w:val="14"/>
                <w:color w:val="4D4D4F"/>
              </w:rPr>
              <w:t>Consultant</w:t>
            </w:r>
          </w:p>
        </w:tc>
        <w:tc>
          <w:tcPr>
            <w:tcW w:w="1840" w:type="dxa"/>
            <w:vAlign w:val="bottom"/>
          </w:tcPr>
          <w:p>
            <w:pPr>
              <w:ind w:left="300"/>
              <w:spacing w:after="0"/>
              <w:rPr>
                <w:sz w:val="20"/>
                <w:szCs w:val="20"/>
                <w:color w:val="auto"/>
              </w:rPr>
            </w:pPr>
            <w:r>
              <w:rPr>
                <w:rFonts w:ascii="Arial" w:cs="Arial" w:eastAsia="Arial" w:hAnsi="Arial"/>
                <w:sz w:val="14"/>
                <w:szCs w:val="14"/>
                <w:color w:val="4D4D4F"/>
              </w:rPr>
              <w:t>Vice President of</w:t>
            </w:r>
          </w:p>
        </w:tc>
        <w:tc>
          <w:tcPr>
            <w:tcW w:w="1560" w:type="dxa"/>
            <w:vAlign w:val="bottom"/>
          </w:tcPr>
          <w:p>
            <w:pPr>
              <w:ind w:left="160"/>
              <w:spacing w:after="0"/>
              <w:rPr>
                <w:sz w:val="20"/>
                <w:szCs w:val="20"/>
                <w:color w:val="auto"/>
              </w:rPr>
            </w:pPr>
            <w:r>
              <w:rPr>
                <w:rFonts w:ascii="Arial" w:cs="Arial" w:eastAsia="Arial" w:hAnsi="Arial"/>
                <w:sz w:val="14"/>
                <w:szCs w:val="14"/>
                <w:color w:val="4D4D4F"/>
              </w:rPr>
              <w:t>Consulting Partner</w:t>
            </w:r>
          </w:p>
        </w:tc>
      </w:tr>
      <w:tr>
        <w:trPr>
          <w:trHeight w:val="182"/>
        </w:trPr>
        <w:tc>
          <w:tcPr>
            <w:tcW w:w="1560" w:type="dxa"/>
            <w:vAlign w:val="bottom"/>
          </w:tcPr>
          <w:p>
            <w:pPr>
              <w:spacing w:after="0"/>
              <w:rPr>
                <w:sz w:val="20"/>
                <w:szCs w:val="20"/>
                <w:color w:val="auto"/>
              </w:rPr>
            </w:pPr>
            <w:r>
              <w:rPr>
                <w:rFonts w:ascii="Arial" w:cs="Arial" w:eastAsia="Arial" w:hAnsi="Arial"/>
                <w:sz w:val="14"/>
                <w:szCs w:val="14"/>
                <w:color w:val="4D4D4F"/>
              </w:rPr>
              <w:t>Chair of the Board</w:t>
            </w:r>
          </w:p>
        </w:tc>
        <w:tc>
          <w:tcPr>
            <w:tcW w:w="1600" w:type="dxa"/>
            <w:vAlign w:val="bottom"/>
          </w:tcPr>
          <w:p>
            <w:pPr>
              <w:ind w:left="140"/>
              <w:spacing w:after="0"/>
              <w:rPr>
                <w:sz w:val="20"/>
                <w:szCs w:val="20"/>
                <w:color w:val="auto"/>
              </w:rPr>
            </w:pPr>
            <w:r>
              <w:rPr>
                <w:rFonts w:ascii="Arial" w:cs="Arial" w:eastAsia="Arial" w:hAnsi="Arial"/>
                <w:sz w:val="14"/>
                <w:szCs w:val="14"/>
                <w:color w:val="4D4D4F"/>
              </w:rPr>
              <w:t>Fortune Brands</w:t>
            </w:r>
          </w:p>
        </w:tc>
        <w:tc>
          <w:tcPr>
            <w:tcW w:w="1780" w:type="dxa"/>
            <w:vAlign w:val="bottom"/>
          </w:tcPr>
          <w:p>
            <w:pPr>
              <w:ind w:left="240"/>
              <w:spacing w:after="0"/>
              <w:rPr>
                <w:sz w:val="20"/>
                <w:szCs w:val="20"/>
                <w:color w:val="auto"/>
              </w:rPr>
            </w:pPr>
            <w:r>
              <w:rPr>
                <w:rFonts w:ascii="Arial" w:cs="Arial" w:eastAsia="Arial" w:hAnsi="Arial"/>
                <w:sz w:val="14"/>
                <w:szCs w:val="14"/>
                <w:color w:val="4D4D4F"/>
              </w:rPr>
              <w:t>Kellanova</w:t>
            </w:r>
          </w:p>
        </w:tc>
        <w:tc>
          <w:tcPr>
            <w:tcW w:w="1580" w:type="dxa"/>
            <w:vAlign w:val="bottom"/>
          </w:tcPr>
          <w:p>
            <w:pPr>
              <w:spacing w:after="0"/>
              <w:rPr>
                <w:sz w:val="15"/>
                <w:szCs w:val="15"/>
                <w:color w:val="auto"/>
              </w:rPr>
            </w:pPr>
          </w:p>
        </w:tc>
        <w:tc>
          <w:tcPr>
            <w:tcW w:w="1840" w:type="dxa"/>
            <w:vAlign w:val="bottom"/>
          </w:tcPr>
          <w:p>
            <w:pPr>
              <w:ind w:left="300"/>
              <w:spacing w:after="0"/>
              <w:rPr>
                <w:sz w:val="20"/>
                <w:szCs w:val="20"/>
                <w:color w:val="auto"/>
              </w:rPr>
            </w:pPr>
            <w:r>
              <w:rPr>
                <w:rFonts w:ascii="Arial" w:cs="Arial" w:eastAsia="Arial" w:hAnsi="Arial"/>
                <w:sz w:val="14"/>
                <w:szCs w:val="14"/>
                <w:color w:val="4D4D4F"/>
              </w:rPr>
              <w:t>The Coca-Cola</w:t>
            </w:r>
          </w:p>
        </w:tc>
        <w:tc>
          <w:tcPr>
            <w:tcW w:w="1560" w:type="dxa"/>
            <w:vAlign w:val="bottom"/>
          </w:tcPr>
          <w:p>
            <w:pPr>
              <w:ind w:left="160"/>
              <w:spacing w:after="0"/>
              <w:rPr>
                <w:sz w:val="20"/>
                <w:szCs w:val="20"/>
                <w:color w:val="auto"/>
              </w:rPr>
            </w:pPr>
            <w:r>
              <w:rPr>
                <w:rFonts w:ascii="Arial" w:cs="Arial" w:eastAsia="Arial" w:hAnsi="Arial"/>
                <w:sz w:val="14"/>
                <w:szCs w:val="14"/>
                <w:color w:val="4D4D4F"/>
              </w:rPr>
              <w:t>and Co-Founder</w:t>
            </w:r>
          </w:p>
        </w:tc>
      </w:tr>
      <w:tr>
        <w:trPr>
          <w:trHeight w:val="182"/>
        </w:trPr>
        <w:tc>
          <w:tcPr>
            <w:tcW w:w="1560" w:type="dxa"/>
            <w:vAlign w:val="bottom"/>
          </w:tcPr>
          <w:p>
            <w:pPr>
              <w:spacing w:after="0"/>
              <w:rPr>
                <w:sz w:val="20"/>
                <w:szCs w:val="20"/>
                <w:color w:val="auto"/>
              </w:rPr>
            </w:pPr>
            <w:r>
              <w:rPr>
                <w:rFonts w:ascii="Arial" w:cs="Arial" w:eastAsia="Arial" w:hAnsi="Arial"/>
                <w:sz w:val="14"/>
                <w:szCs w:val="14"/>
                <w:color w:val="4D4D4F"/>
              </w:rPr>
              <w:t>Former Senior</w:t>
            </w:r>
          </w:p>
        </w:tc>
        <w:tc>
          <w:tcPr>
            <w:tcW w:w="1600" w:type="dxa"/>
            <w:vAlign w:val="bottom"/>
          </w:tcPr>
          <w:p>
            <w:pPr>
              <w:ind w:left="140"/>
              <w:spacing w:after="0"/>
              <w:rPr>
                <w:sz w:val="20"/>
                <w:szCs w:val="20"/>
                <w:color w:val="auto"/>
              </w:rPr>
            </w:pPr>
            <w:r>
              <w:rPr>
                <w:rFonts w:ascii="Arial" w:cs="Arial" w:eastAsia="Arial" w:hAnsi="Arial"/>
                <w:sz w:val="14"/>
                <w:szCs w:val="14"/>
                <w:color w:val="4D4D4F"/>
              </w:rPr>
              <w:t>Innovations, Inc.</w:t>
            </w: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40" w:type="dxa"/>
            <w:vAlign w:val="bottom"/>
          </w:tcPr>
          <w:p>
            <w:pPr>
              <w:ind w:left="300"/>
              <w:spacing w:after="0"/>
              <w:rPr>
                <w:sz w:val="20"/>
                <w:szCs w:val="20"/>
                <w:color w:val="auto"/>
              </w:rPr>
            </w:pPr>
            <w:r>
              <w:rPr>
                <w:rFonts w:ascii="Arial" w:cs="Arial" w:eastAsia="Arial" w:hAnsi="Arial"/>
                <w:sz w:val="14"/>
                <w:szCs w:val="14"/>
                <w:color w:val="4D4D4F"/>
              </w:rPr>
              <w:t>Company and</w:t>
            </w:r>
          </w:p>
        </w:tc>
        <w:tc>
          <w:tcPr>
            <w:tcW w:w="1560" w:type="dxa"/>
            <w:vAlign w:val="bottom"/>
          </w:tcPr>
          <w:p>
            <w:pPr>
              <w:ind w:left="160"/>
              <w:spacing w:after="0"/>
              <w:rPr>
                <w:sz w:val="20"/>
                <w:szCs w:val="20"/>
                <w:color w:val="auto"/>
              </w:rPr>
            </w:pPr>
            <w:r>
              <w:rPr>
                <w:rFonts w:ascii="Arial" w:cs="Arial" w:eastAsia="Arial" w:hAnsi="Arial"/>
                <w:sz w:val="14"/>
                <w:szCs w:val="14"/>
                <w:color w:val="4D4D4F"/>
              </w:rPr>
              <w:t>Personal</w:t>
            </w:r>
          </w:p>
        </w:tc>
      </w:tr>
      <w:tr>
        <w:trPr>
          <w:trHeight w:val="182"/>
        </w:trPr>
        <w:tc>
          <w:tcPr>
            <w:tcW w:w="1560" w:type="dxa"/>
            <w:vAlign w:val="bottom"/>
          </w:tcPr>
          <w:p>
            <w:pPr>
              <w:spacing w:after="0"/>
              <w:rPr>
                <w:sz w:val="20"/>
                <w:szCs w:val="20"/>
                <w:color w:val="auto"/>
              </w:rPr>
            </w:pPr>
            <w:r>
              <w:rPr>
                <w:rFonts w:ascii="Arial" w:cs="Arial" w:eastAsia="Arial" w:hAnsi="Arial"/>
                <w:sz w:val="14"/>
                <w:szCs w:val="14"/>
                <w:color w:val="4D4D4F"/>
              </w:rPr>
              <w:t>Advisor Credit Suisse</w:t>
            </w:r>
          </w:p>
        </w:tc>
        <w:tc>
          <w:tcPr>
            <w:tcW w:w="16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40" w:type="dxa"/>
            <w:vAlign w:val="bottom"/>
          </w:tcPr>
          <w:p>
            <w:pPr>
              <w:ind w:left="300"/>
              <w:spacing w:after="0"/>
              <w:rPr>
                <w:sz w:val="20"/>
                <w:szCs w:val="20"/>
                <w:color w:val="auto"/>
              </w:rPr>
            </w:pPr>
            <w:r>
              <w:rPr>
                <w:rFonts w:ascii="Arial" w:cs="Arial" w:eastAsia="Arial" w:hAnsi="Arial"/>
                <w:sz w:val="14"/>
                <w:szCs w:val="14"/>
                <w:color w:val="4D4D4F"/>
              </w:rPr>
              <w:t>President of Bottling</w:t>
            </w:r>
          </w:p>
        </w:tc>
        <w:tc>
          <w:tcPr>
            <w:tcW w:w="1560" w:type="dxa"/>
            <w:vAlign w:val="bottom"/>
          </w:tcPr>
          <w:p>
            <w:pPr>
              <w:ind w:left="160"/>
              <w:spacing w:after="0"/>
              <w:rPr>
                <w:sz w:val="20"/>
                <w:szCs w:val="20"/>
                <w:color w:val="auto"/>
              </w:rPr>
            </w:pPr>
            <w:r>
              <w:rPr>
                <w:rFonts w:ascii="Arial" w:cs="Arial" w:eastAsia="Arial" w:hAnsi="Arial"/>
                <w:sz w:val="14"/>
                <w:szCs w:val="14"/>
                <w:color w:val="4D4D4F"/>
              </w:rPr>
              <w:t>Pathways LLC</w:t>
            </w:r>
          </w:p>
        </w:tc>
      </w:tr>
      <w:tr>
        <w:trPr>
          <w:trHeight w:val="182"/>
        </w:trPr>
        <w:tc>
          <w:tcPr>
            <w:tcW w:w="1560" w:type="dxa"/>
            <w:vAlign w:val="bottom"/>
          </w:tcPr>
          <w:p>
            <w:pPr>
              <w:spacing w:after="0"/>
              <w:rPr>
                <w:sz w:val="20"/>
                <w:szCs w:val="20"/>
                <w:color w:val="auto"/>
              </w:rPr>
            </w:pPr>
            <w:r>
              <w:rPr>
                <w:rFonts w:ascii="Arial" w:cs="Arial" w:eastAsia="Arial" w:hAnsi="Arial"/>
                <w:sz w:val="14"/>
                <w:szCs w:val="14"/>
                <w:color w:val="4D4D4F"/>
              </w:rPr>
              <w:t>Group AG</w:t>
            </w:r>
          </w:p>
        </w:tc>
        <w:tc>
          <w:tcPr>
            <w:tcW w:w="16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40" w:type="dxa"/>
            <w:vAlign w:val="bottom"/>
          </w:tcPr>
          <w:p>
            <w:pPr>
              <w:ind w:left="300"/>
              <w:spacing w:after="0"/>
              <w:rPr>
                <w:sz w:val="20"/>
                <w:szCs w:val="20"/>
                <w:color w:val="auto"/>
              </w:rPr>
            </w:pPr>
            <w:r>
              <w:rPr>
                <w:rFonts w:ascii="Arial" w:cs="Arial" w:eastAsia="Arial" w:hAnsi="Arial"/>
                <w:sz w:val="14"/>
                <w:szCs w:val="14"/>
                <w:color w:val="4D4D4F"/>
              </w:rPr>
              <w:t>Investments Group</w:t>
            </w:r>
          </w:p>
        </w:tc>
        <w:tc>
          <w:tcPr>
            <w:tcW w:w="15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207645</wp:posOffset>
            </wp:positionV>
            <wp:extent cx="5191125" cy="8604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5">
                      <a:extLst>
                        <a:ext uri="{28A0092B-C50C-407E-A947-70E740481C1C}"/>
                      </a:extLst>
                    </a:blip>
                    <a:srcRect/>
                    <a:stretch>
                      <a:fillRect/>
                    </a:stretch>
                  </pic:blipFill>
                  <pic:spPr bwMode="auto">
                    <a:xfrm>
                      <a:off x="0" y="0"/>
                      <a:ext cx="5191125" cy="86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20"/>
                <w:szCs w:val="20"/>
                <w:color w:val="auto"/>
              </w:rPr>
            </w:pPr>
            <w:r>
              <w:rPr>
                <w:rFonts w:ascii="Arial" w:cs="Arial" w:eastAsia="Arial" w:hAnsi="Arial"/>
                <w:sz w:val="16"/>
                <w:szCs w:val="16"/>
                <w:b w:val="1"/>
                <w:bCs w:val="1"/>
                <w:color w:val="1A4E79"/>
              </w:rPr>
              <w:t>A.D. David</w:t>
            </w:r>
          </w:p>
        </w:tc>
        <w:tc>
          <w:tcPr>
            <w:tcW w:w="1700" w:type="dxa"/>
            <w:vAlign w:val="bottom"/>
          </w:tcPr>
          <w:p>
            <w:pPr>
              <w:ind w:left="180"/>
              <w:spacing w:after="0"/>
              <w:rPr>
                <w:sz w:val="20"/>
                <w:szCs w:val="20"/>
                <w:color w:val="auto"/>
              </w:rPr>
            </w:pPr>
            <w:r>
              <w:rPr>
                <w:rFonts w:ascii="Arial" w:cs="Arial" w:eastAsia="Arial" w:hAnsi="Arial"/>
                <w:sz w:val="16"/>
                <w:szCs w:val="16"/>
                <w:b w:val="1"/>
                <w:bCs w:val="1"/>
                <w:color w:val="1A4E79"/>
              </w:rPr>
              <w:t>John G. Morikis</w:t>
            </w:r>
          </w:p>
        </w:tc>
        <w:tc>
          <w:tcPr>
            <w:tcW w:w="1700" w:type="dxa"/>
            <w:vAlign w:val="bottom"/>
          </w:tcPr>
          <w:p>
            <w:pPr>
              <w:ind w:left="180"/>
              <w:spacing w:after="0"/>
              <w:rPr>
                <w:sz w:val="20"/>
                <w:szCs w:val="20"/>
                <w:color w:val="auto"/>
              </w:rPr>
            </w:pPr>
            <w:r>
              <w:rPr>
                <w:rFonts w:ascii="Arial" w:cs="Arial" w:eastAsia="Arial" w:hAnsi="Arial"/>
                <w:sz w:val="16"/>
                <w:szCs w:val="16"/>
                <w:b w:val="1"/>
                <w:bCs w:val="1"/>
                <w:color w:val="1A4E79"/>
              </w:rPr>
              <w:t>Jeffery Perry</w:t>
            </w:r>
          </w:p>
        </w:tc>
        <w:tc>
          <w:tcPr>
            <w:tcW w:w="1680" w:type="dxa"/>
            <w:vAlign w:val="bottom"/>
          </w:tcPr>
          <w:p>
            <w:pPr>
              <w:ind w:left="180"/>
              <w:spacing w:after="0"/>
              <w:rPr>
                <w:sz w:val="20"/>
                <w:szCs w:val="20"/>
                <w:color w:val="auto"/>
              </w:rPr>
            </w:pPr>
            <w:r>
              <w:rPr>
                <w:rFonts w:ascii="Arial" w:cs="Arial" w:eastAsia="Arial" w:hAnsi="Arial"/>
                <w:sz w:val="16"/>
                <w:szCs w:val="16"/>
                <w:b w:val="1"/>
                <w:bCs w:val="1"/>
                <w:color w:val="1A4E79"/>
              </w:rPr>
              <w:t>Stephanie</w:t>
            </w:r>
          </w:p>
        </w:tc>
        <w:tc>
          <w:tcPr>
            <w:tcW w:w="1540" w:type="dxa"/>
            <w:vAlign w:val="bottom"/>
          </w:tcPr>
          <w:p>
            <w:pPr>
              <w:ind w:left="220"/>
              <w:spacing w:after="0"/>
              <w:rPr>
                <w:sz w:val="20"/>
                <w:szCs w:val="20"/>
                <w:color w:val="auto"/>
              </w:rPr>
            </w:pPr>
            <w:r>
              <w:rPr>
                <w:rFonts w:ascii="Arial" w:cs="Arial" w:eastAsia="Arial" w:hAnsi="Arial"/>
                <w:sz w:val="16"/>
                <w:szCs w:val="16"/>
                <w:b w:val="1"/>
                <w:bCs w:val="1"/>
                <w:color w:val="1A4E79"/>
              </w:rPr>
              <w:t>Ronald V.</w:t>
            </w:r>
          </w:p>
        </w:tc>
      </w:tr>
      <w:tr>
        <w:trPr>
          <w:trHeight w:val="204"/>
        </w:trPr>
        <w:tc>
          <w:tcPr>
            <w:tcW w:w="1520" w:type="dxa"/>
            <w:vAlign w:val="bottom"/>
          </w:tcPr>
          <w:p>
            <w:pPr>
              <w:spacing w:after="0"/>
              <w:rPr>
                <w:sz w:val="20"/>
                <w:szCs w:val="20"/>
                <w:color w:val="auto"/>
              </w:rPr>
            </w:pPr>
            <w:r>
              <w:rPr>
                <w:rFonts w:ascii="Arial" w:cs="Arial" w:eastAsia="Arial" w:hAnsi="Arial"/>
                <w:sz w:val="16"/>
                <w:szCs w:val="16"/>
                <w:b w:val="1"/>
                <w:bCs w:val="1"/>
                <w:color w:val="1A4E79"/>
              </w:rPr>
              <w:t>Mackay</w:t>
            </w:r>
          </w:p>
        </w:tc>
        <w:tc>
          <w:tcPr>
            <w:tcW w:w="1700" w:type="dxa"/>
            <w:vAlign w:val="bottom"/>
          </w:tcPr>
          <w:p>
            <w:pPr>
              <w:ind w:left="180"/>
              <w:spacing w:after="0"/>
              <w:rPr>
                <w:sz w:val="20"/>
                <w:szCs w:val="20"/>
                <w:color w:val="auto"/>
              </w:rPr>
            </w:pPr>
            <w:r>
              <w:rPr>
                <w:rFonts w:ascii="Arial" w:cs="Arial" w:eastAsia="Arial" w:hAnsi="Arial"/>
                <w:sz w:val="14"/>
                <w:szCs w:val="14"/>
                <w:color w:val="4D4D4F"/>
              </w:rPr>
              <w:t>Executive Chairman</w:t>
            </w:r>
          </w:p>
        </w:tc>
        <w:tc>
          <w:tcPr>
            <w:tcW w:w="1700" w:type="dxa"/>
            <w:vAlign w:val="bottom"/>
          </w:tcPr>
          <w:p>
            <w:pPr>
              <w:ind w:left="180"/>
              <w:spacing w:after="0"/>
              <w:rPr>
                <w:sz w:val="20"/>
                <w:szCs w:val="20"/>
                <w:color w:val="auto"/>
              </w:rPr>
            </w:pPr>
            <w:r>
              <w:rPr>
                <w:rFonts w:ascii="Arial" w:cs="Arial" w:eastAsia="Arial" w:hAnsi="Arial"/>
                <w:sz w:val="14"/>
                <w:szCs w:val="14"/>
                <w:color w:val="4D4D4F"/>
              </w:rPr>
              <w:t>Founder and Chief</w:t>
            </w:r>
          </w:p>
        </w:tc>
        <w:tc>
          <w:tcPr>
            <w:tcW w:w="1680" w:type="dxa"/>
            <w:vAlign w:val="bottom"/>
          </w:tcPr>
          <w:p>
            <w:pPr>
              <w:ind w:left="180"/>
              <w:spacing w:after="0"/>
              <w:rPr>
                <w:sz w:val="20"/>
                <w:szCs w:val="20"/>
                <w:color w:val="auto"/>
              </w:rPr>
            </w:pPr>
            <w:r>
              <w:rPr>
                <w:rFonts w:ascii="Arial" w:cs="Arial" w:eastAsia="Arial" w:hAnsi="Arial"/>
                <w:sz w:val="16"/>
                <w:szCs w:val="16"/>
                <w:b w:val="1"/>
                <w:bCs w:val="1"/>
                <w:color w:val="1A4E79"/>
              </w:rPr>
              <w:t>Pugliese</w:t>
            </w:r>
          </w:p>
        </w:tc>
        <w:tc>
          <w:tcPr>
            <w:tcW w:w="1540" w:type="dxa"/>
            <w:vAlign w:val="bottom"/>
          </w:tcPr>
          <w:p>
            <w:pPr>
              <w:ind w:left="220"/>
              <w:spacing w:after="0"/>
              <w:rPr>
                <w:sz w:val="20"/>
                <w:szCs w:val="20"/>
                <w:color w:val="auto"/>
              </w:rPr>
            </w:pPr>
            <w:r>
              <w:rPr>
                <w:rFonts w:ascii="Arial" w:cs="Arial" w:eastAsia="Arial" w:hAnsi="Arial"/>
                <w:sz w:val="16"/>
                <w:szCs w:val="16"/>
                <w:b w:val="1"/>
                <w:bCs w:val="1"/>
                <w:color w:val="1A4E79"/>
              </w:rPr>
              <w:t>Waters, III</w:t>
            </w:r>
          </w:p>
        </w:tc>
      </w:tr>
      <w:tr>
        <w:trPr>
          <w:trHeight w:val="174"/>
        </w:trPr>
        <w:tc>
          <w:tcPr>
            <w:tcW w:w="1520" w:type="dxa"/>
            <w:vAlign w:val="bottom"/>
          </w:tcPr>
          <w:p>
            <w:pPr>
              <w:spacing w:after="0"/>
              <w:rPr>
                <w:sz w:val="20"/>
                <w:szCs w:val="20"/>
                <w:color w:val="auto"/>
              </w:rPr>
            </w:pPr>
            <w:r>
              <w:rPr>
                <w:rFonts w:ascii="Arial" w:cs="Arial" w:eastAsia="Arial" w:hAnsi="Arial"/>
                <w:sz w:val="14"/>
                <w:szCs w:val="14"/>
                <w:color w:val="4D4D4F"/>
              </w:rPr>
              <w:t>Former President</w:t>
            </w:r>
          </w:p>
        </w:tc>
        <w:tc>
          <w:tcPr>
            <w:tcW w:w="1700" w:type="dxa"/>
            <w:vAlign w:val="bottom"/>
          </w:tcPr>
          <w:p>
            <w:pPr>
              <w:ind w:left="180"/>
              <w:spacing w:after="0"/>
              <w:rPr>
                <w:sz w:val="20"/>
                <w:szCs w:val="20"/>
                <w:color w:val="auto"/>
              </w:rPr>
            </w:pPr>
            <w:r>
              <w:rPr>
                <w:rFonts w:ascii="Arial" w:cs="Arial" w:eastAsia="Arial" w:hAnsi="Arial"/>
                <w:sz w:val="14"/>
                <w:szCs w:val="14"/>
                <w:color w:val="4D4D4F"/>
              </w:rPr>
              <w:t>The Sherwin-</w:t>
            </w:r>
          </w:p>
        </w:tc>
        <w:tc>
          <w:tcPr>
            <w:tcW w:w="1700" w:type="dxa"/>
            <w:vAlign w:val="bottom"/>
          </w:tcPr>
          <w:p>
            <w:pPr>
              <w:ind w:left="180"/>
              <w:spacing w:after="0"/>
              <w:rPr>
                <w:sz w:val="20"/>
                <w:szCs w:val="20"/>
                <w:color w:val="auto"/>
              </w:rPr>
            </w:pPr>
            <w:r>
              <w:rPr>
                <w:rFonts w:ascii="Arial" w:cs="Arial" w:eastAsia="Arial" w:hAnsi="Arial"/>
                <w:sz w:val="14"/>
                <w:szCs w:val="14"/>
                <w:color w:val="4D4D4F"/>
              </w:rPr>
              <w:t>Executive Officer</w:t>
            </w:r>
          </w:p>
        </w:tc>
        <w:tc>
          <w:tcPr>
            <w:tcW w:w="1680" w:type="dxa"/>
            <w:vAlign w:val="bottom"/>
          </w:tcPr>
          <w:p>
            <w:pPr>
              <w:ind w:left="180"/>
              <w:spacing w:after="0"/>
              <w:rPr>
                <w:sz w:val="20"/>
                <w:szCs w:val="20"/>
                <w:color w:val="auto"/>
              </w:rPr>
            </w:pPr>
            <w:r>
              <w:rPr>
                <w:rFonts w:ascii="Arial" w:cs="Arial" w:eastAsia="Arial" w:hAnsi="Arial"/>
                <w:sz w:val="14"/>
                <w:szCs w:val="14"/>
                <w:color w:val="4D4D4F"/>
              </w:rPr>
              <w:t>Former President</w:t>
            </w:r>
          </w:p>
        </w:tc>
        <w:tc>
          <w:tcPr>
            <w:tcW w:w="1540" w:type="dxa"/>
            <w:vAlign w:val="bottom"/>
          </w:tcPr>
          <w:p>
            <w:pPr>
              <w:ind w:left="220"/>
              <w:spacing w:after="0"/>
              <w:rPr>
                <w:sz w:val="20"/>
                <w:szCs w:val="20"/>
                <w:color w:val="auto"/>
              </w:rPr>
            </w:pPr>
            <w:r>
              <w:rPr>
                <w:rFonts w:ascii="Arial" w:cs="Arial" w:eastAsia="Arial" w:hAnsi="Arial"/>
                <w:sz w:val="14"/>
                <w:szCs w:val="14"/>
                <w:color w:val="4D4D4F"/>
              </w:rPr>
              <w:t>Former President</w:t>
            </w:r>
          </w:p>
        </w:tc>
      </w:tr>
      <w:tr>
        <w:trPr>
          <w:trHeight w:val="182"/>
        </w:trPr>
        <w:tc>
          <w:tcPr>
            <w:tcW w:w="1520" w:type="dxa"/>
            <w:vAlign w:val="bottom"/>
          </w:tcPr>
          <w:p>
            <w:pPr>
              <w:spacing w:after="0"/>
              <w:rPr>
                <w:sz w:val="20"/>
                <w:szCs w:val="20"/>
                <w:color w:val="auto"/>
              </w:rPr>
            </w:pPr>
            <w:r>
              <w:rPr>
                <w:rFonts w:ascii="Arial" w:cs="Arial" w:eastAsia="Arial" w:hAnsi="Arial"/>
                <w:sz w:val="14"/>
                <w:szCs w:val="14"/>
                <w:color w:val="4D4D4F"/>
              </w:rPr>
              <w:t>and Chief Executive</w:t>
            </w:r>
          </w:p>
        </w:tc>
        <w:tc>
          <w:tcPr>
            <w:tcW w:w="1700" w:type="dxa"/>
            <w:vAlign w:val="bottom"/>
          </w:tcPr>
          <w:p>
            <w:pPr>
              <w:ind w:left="180"/>
              <w:spacing w:after="0"/>
              <w:rPr>
                <w:sz w:val="20"/>
                <w:szCs w:val="20"/>
                <w:color w:val="auto"/>
              </w:rPr>
            </w:pPr>
            <w:r>
              <w:rPr>
                <w:rFonts w:ascii="Arial" w:cs="Arial" w:eastAsia="Arial" w:hAnsi="Arial"/>
                <w:sz w:val="14"/>
                <w:szCs w:val="14"/>
                <w:color w:val="4D4D4F"/>
              </w:rPr>
              <w:t>Williams Company</w:t>
            </w:r>
          </w:p>
        </w:tc>
        <w:tc>
          <w:tcPr>
            <w:tcW w:w="1700" w:type="dxa"/>
            <w:vAlign w:val="bottom"/>
          </w:tcPr>
          <w:p>
            <w:pPr>
              <w:ind w:left="180"/>
              <w:spacing w:after="0"/>
              <w:rPr>
                <w:sz w:val="20"/>
                <w:szCs w:val="20"/>
                <w:color w:val="auto"/>
              </w:rPr>
            </w:pPr>
            <w:r>
              <w:rPr>
                <w:rFonts w:ascii="Arial" w:cs="Arial" w:eastAsia="Arial" w:hAnsi="Arial"/>
                <w:sz w:val="14"/>
                <w:szCs w:val="14"/>
                <w:color w:val="4D4D4F"/>
              </w:rPr>
              <w:t>Lead Mandates LLC</w:t>
            </w:r>
          </w:p>
        </w:tc>
        <w:tc>
          <w:tcPr>
            <w:tcW w:w="1680" w:type="dxa"/>
            <w:vAlign w:val="bottom"/>
          </w:tcPr>
          <w:p>
            <w:pPr>
              <w:ind w:left="180"/>
              <w:spacing w:after="0"/>
              <w:rPr>
                <w:sz w:val="20"/>
                <w:szCs w:val="20"/>
                <w:color w:val="auto"/>
              </w:rPr>
            </w:pPr>
            <w:r>
              <w:rPr>
                <w:rFonts w:ascii="Arial" w:cs="Arial" w:eastAsia="Arial" w:hAnsi="Arial"/>
                <w:sz w:val="14"/>
                <w:szCs w:val="14"/>
                <w:color w:val="4D4D4F"/>
              </w:rPr>
              <w:t>of Americas,</w:t>
            </w:r>
          </w:p>
        </w:tc>
        <w:tc>
          <w:tcPr>
            <w:tcW w:w="1540" w:type="dxa"/>
            <w:vAlign w:val="bottom"/>
          </w:tcPr>
          <w:p>
            <w:pPr>
              <w:ind w:left="220"/>
              <w:spacing w:after="0"/>
              <w:rPr>
                <w:sz w:val="20"/>
                <w:szCs w:val="20"/>
                <w:color w:val="auto"/>
              </w:rPr>
            </w:pPr>
            <w:r>
              <w:rPr>
                <w:rFonts w:ascii="Arial" w:cs="Arial" w:eastAsia="Arial" w:hAnsi="Arial"/>
                <w:sz w:val="14"/>
                <w:szCs w:val="14"/>
                <w:color w:val="4D4D4F"/>
              </w:rPr>
              <w:t>and Chief</w:t>
            </w:r>
          </w:p>
        </w:tc>
      </w:tr>
      <w:tr>
        <w:trPr>
          <w:trHeight w:val="182"/>
        </w:trPr>
        <w:tc>
          <w:tcPr>
            <w:tcW w:w="1520" w:type="dxa"/>
            <w:vAlign w:val="bottom"/>
          </w:tcPr>
          <w:p>
            <w:pPr>
              <w:spacing w:after="0"/>
              <w:rPr>
                <w:sz w:val="20"/>
                <w:szCs w:val="20"/>
                <w:color w:val="auto"/>
              </w:rPr>
            </w:pPr>
            <w:r>
              <w:rPr>
                <w:rFonts w:ascii="Arial" w:cs="Arial" w:eastAsia="Arial" w:hAnsi="Arial"/>
                <w:sz w:val="14"/>
                <w:szCs w:val="14"/>
                <w:color w:val="4D4D4F"/>
              </w:rPr>
              <w:t>Officer Kellogg</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ind w:left="180"/>
              <w:spacing w:after="0"/>
              <w:rPr>
                <w:sz w:val="20"/>
                <w:szCs w:val="20"/>
                <w:color w:val="auto"/>
              </w:rPr>
            </w:pPr>
            <w:r>
              <w:rPr>
                <w:rFonts w:ascii="Arial" w:cs="Arial" w:eastAsia="Arial" w:hAnsi="Arial"/>
                <w:sz w:val="14"/>
                <w:szCs w:val="14"/>
                <w:color w:val="4D4D4F"/>
              </w:rPr>
              <w:t>Under Armour, Inc.</w:t>
            </w:r>
          </w:p>
        </w:tc>
        <w:tc>
          <w:tcPr>
            <w:tcW w:w="1540" w:type="dxa"/>
            <w:vAlign w:val="bottom"/>
          </w:tcPr>
          <w:p>
            <w:pPr>
              <w:ind w:left="220"/>
              <w:spacing w:after="0"/>
              <w:rPr>
                <w:sz w:val="20"/>
                <w:szCs w:val="20"/>
                <w:color w:val="auto"/>
              </w:rPr>
            </w:pPr>
            <w:r>
              <w:rPr>
                <w:rFonts w:ascii="Arial" w:cs="Arial" w:eastAsia="Arial" w:hAnsi="Arial"/>
                <w:sz w:val="14"/>
                <w:szCs w:val="14"/>
                <w:color w:val="4D4D4F"/>
              </w:rPr>
              <w:t>Executive Officer</w:t>
            </w:r>
          </w:p>
        </w:tc>
      </w:tr>
      <w:tr>
        <w:trPr>
          <w:trHeight w:val="182"/>
        </w:trPr>
        <w:tc>
          <w:tcPr>
            <w:tcW w:w="1520" w:type="dxa"/>
            <w:vAlign w:val="bottom"/>
          </w:tcPr>
          <w:p>
            <w:pPr>
              <w:spacing w:after="0"/>
              <w:rPr>
                <w:sz w:val="20"/>
                <w:szCs w:val="20"/>
                <w:color w:val="auto"/>
              </w:rPr>
            </w:pPr>
            <w:r>
              <w:rPr>
                <w:rFonts w:ascii="Arial" w:cs="Arial" w:eastAsia="Arial" w:hAnsi="Arial"/>
                <w:sz w:val="14"/>
                <w:szCs w:val="14"/>
                <w:color w:val="4D4D4F"/>
              </w:rPr>
              <w:t>Company</w:t>
            </w:r>
          </w:p>
        </w:tc>
        <w:tc>
          <w:tcPr>
            <w:tcW w:w="1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40" w:type="dxa"/>
            <w:vAlign w:val="bottom"/>
          </w:tcPr>
          <w:p>
            <w:pPr>
              <w:ind w:left="220"/>
              <w:spacing w:after="0"/>
              <w:rPr>
                <w:sz w:val="20"/>
                <w:szCs w:val="20"/>
                <w:color w:val="auto"/>
              </w:rPr>
            </w:pPr>
            <w:r>
              <w:rPr>
                <w:rFonts w:ascii="Arial" w:cs="Arial" w:eastAsia="Arial" w:hAnsi="Arial"/>
                <w:sz w:val="14"/>
                <w:szCs w:val="14"/>
                <w:color w:val="4D4D4F"/>
              </w:rPr>
              <w:t>LoJack Corporation</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5"/>
          <w:szCs w:val="45"/>
          <w:b w:val="1"/>
          <w:bCs w:val="1"/>
          <w:color w:val="1A4E79"/>
        </w:rPr>
        <w:t>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5163820" cy="11423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6">
                      <a:extLst>
                        <a:ext uri="{28A0092B-C50C-407E-A947-70E740481C1C}"/>
                      </a:extLst>
                    </a:blip>
                    <a:srcRect/>
                    <a:stretch>
                      <a:fillRect/>
                    </a:stretch>
                  </pic:blipFill>
                  <pic:spPr bwMode="auto">
                    <a:xfrm>
                      <a:off x="0" y="0"/>
                      <a:ext cx="5163820" cy="1142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20"/>
                <w:szCs w:val="20"/>
                <w:color w:val="auto"/>
              </w:rPr>
            </w:pPr>
            <w:r>
              <w:rPr>
                <w:rFonts w:ascii="Arial" w:cs="Arial" w:eastAsia="Arial" w:hAnsi="Arial"/>
                <w:sz w:val="16"/>
                <w:szCs w:val="16"/>
                <w:b w:val="1"/>
                <w:bCs w:val="1"/>
                <w:color w:val="1A4E79"/>
              </w:rPr>
              <w:t>Nicholas I. Fink</w:t>
            </w:r>
          </w:p>
        </w:tc>
        <w:tc>
          <w:tcPr>
            <w:tcW w:w="1760" w:type="dxa"/>
            <w:vAlign w:val="bottom"/>
          </w:tcPr>
          <w:p>
            <w:pPr>
              <w:ind w:left="240"/>
              <w:spacing w:after="0"/>
              <w:rPr>
                <w:sz w:val="20"/>
                <w:szCs w:val="20"/>
                <w:color w:val="auto"/>
              </w:rPr>
            </w:pPr>
            <w:r>
              <w:rPr>
                <w:rFonts w:ascii="Arial" w:cs="Arial" w:eastAsia="Arial" w:hAnsi="Arial"/>
                <w:sz w:val="16"/>
                <w:szCs w:val="16"/>
                <w:b w:val="1"/>
                <w:bCs w:val="1"/>
                <w:color w:val="1A4E79"/>
              </w:rPr>
              <w:t>David V. Barry</w:t>
            </w:r>
          </w:p>
        </w:tc>
        <w:tc>
          <w:tcPr>
            <w:tcW w:w="1740" w:type="dxa"/>
            <w:vAlign w:val="bottom"/>
          </w:tcPr>
          <w:p>
            <w:pPr>
              <w:ind w:left="180"/>
              <w:spacing w:after="0"/>
              <w:rPr>
                <w:sz w:val="20"/>
                <w:szCs w:val="20"/>
                <w:color w:val="auto"/>
              </w:rPr>
            </w:pPr>
            <w:r>
              <w:rPr>
                <w:rFonts w:ascii="Arial" w:cs="Arial" w:eastAsia="Arial" w:hAnsi="Arial"/>
                <w:sz w:val="16"/>
                <w:szCs w:val="16"/>
                <w:b w:val="1"/>
                <w:bCs w:val="1"/>
                <w:color w:val="1A4E79"/>
              </w:rPr>
              <w:t>Hiranda S.</w:t>
            </w:r>
          </w:p>
        </w:tc>
        <w:tc>
          <w:tcPr>
            <w:tcW w:w="1660" w:type="dxa"/>
            <w:vAlign w:val="bottom"/>
          </w:tcPr>
          <w:p>
            <w:pPr>
              <w:ind w:left="140"/>
              <w:spacing w:after="0"/>
              <w:rPr>
                <w:sz w:val="20"/>
                <w:szCs w:val="20"/>
                <w:color w:val="auto"/>
              </w:rPr>
            </w:pPr>
            <w:r>
              <w:rPr>
                <w:rFonts w:ascii="Arial" w:cs="Arial" w:eastAsia="Arial" w:hAnsi="Arial"/>
                <w:sz w:val="16"/>
                <w:szCs w:val="16"/>
                <w:b w:val="1"/>
                <w:bCs w:val="1"/>
                <w:color w:val="1A4E79"/>
              </w:rPr>
              <w:t>Sheri R. Grissom</w:t>
            </w:r>
          </w:p>
        </w:tc>
        <w:tc>
          <w:tcPr>
            <w:tcW w:w="1460" w:type="dxa"/>
            <w:vAlign w:val="bottom"/>
          </w:tcPr>
          <w:p>
            <w:pPr>
              <w:ind w:left="200"/>
              <w:spacing w:after="0"/>
              <w:rPr>
                <w:sz w:val="20"/>
                <w:szCs w:val="20"/>
                <w:color w:val="auto"/>
              </w:rPr>
            </w:pPr>
            <w:r>
              <w:rPr>
                <w:rFonts w:ascii="Arial" w:cs="Arial" w:eastAsia="Arial" w:hAnsi="Arial"/>
                <w:sz w:val="16"/>
                <w:szCs w:val="16"/>
                <w:b w:val="1"/>
                <w:bCs w:val="1"/>
                <w:color w:val="1A4E79"/>
              </w:rPr>
              <w:t>John D. Lee</w:t>
            </w:r>
          </w:p>
        </w:tc>
      </w:tr>
      <w:tr>
        <w:trPr>
          <w:trHeight w:val="204"/>
        </w:trPr>
        <w:tc>
          <w:tcPr>
            <w:tcW w:w="1460" w:type="dxa"/>
            <w:vAlign w:val="bottom"/>
          </w:tcPr>
          <w:p>
            <w:pPr>
              <w:spacing w:after="0"/>
              <w:rPr>
                <w:sz w:val="20"/>
                <w:szCs w:val="20"/>
                <w:color w:val="auto"/>
              </w:rPr>
            </w:pPr>
            <w:r>
              <w:rPr>
                <w:rFonts w:ascii="Arial" w:cs="Arial" w:eastAsia="Arial" w:hAnsi="Arial"/>
                <w:sz w:val="14"/>
                <w:szCs w:val="14"/>
                <w:color w:val="4D4D4F"/>
              </w:rPr>
              <w:t>Chief Executive</w:t>
            </w:r>
          </w:p>
        </w:tc>
        <w:tc>
          <w:tcPr>
            <w:tcW w:w="1760" w:type="dxa"/>
            <w:vAlign w:val="bottom"/>
          </w:tcPr>
          <w:p>
            <w:pPr>
              <w:ind w:left="240"/>
              <w:spacing w:after="0"/>
              <w:rPr>
                <w:sz w:val="20"/>
                <w:szCs w:val="20"/>
                <w:color w:val="auto"/>
              </w:rPr>
            </w:pPr>
            <w:r>
              <w:rPr>
                <w:rFonts w:ascii="Arial" w:cs="Arial" w:eastAsia="Arial" w:hAnsi="Arial"/>
                <w:sz w:val="14"/>
                <w:szCs w:val="14"/>
                <w:color w:val="4D4D4F"/>
              </w:rPr>
              <w:t>Executive Vice</w:t>
            </w:r>
          </w:p>
        </w:tc>
        <w:tc>
          <w:tcPr>
            <w:tcW w:w="1740" w:type="dxa"/>
            <w:vAlign w:val="bottom"/>
          </w:tcPr>
          <w:p>
            <w:pPr>
              <w:ind w:left="180"/>
              <w:spacing w:after="0"/>
              <w:rPr>
                <w:sz w:val="20"/>
                <w:szCs w:val="20"/>
                <w:color w:val="auto"/>
              </w:rPr>
            </w:pPr>
            <w:r>
              <w:rPr>
                <w:rFonts w:ascii="Arial" w:cs="Arial" w:eastAsia="Arial" w:hAnsi="Arial"/>
                <w:sz w:val="16"/>
                <w:szCs w:val="16"/>
                <w:b w:val="1"/>
                <w:bCs w:val="1"/>
                <w:color w:val="1A4E79"/>
              </w:rPr>
              <w:t>Donoghue</w:t>
            </w:r>
          </w:p>
        </w:tc>
        <w:tc>
          <w:tcPr>
            <w:tcW w:w="1660" w:type="dxa"/>
            <w:vAlign w:val="bottom"/>
          </w:tcPr>
          <w:p>
            <w:pPr>
              <w:ind w:left="140"/>
              <w:spacing w:after="0"/>
              <w:rPr>
                <w:sz w:val="20"/>
                <w:szCs w:val="20"/>
                <w:color w:val="auto"/>
              </w:rPr>
            </w:pPr>
            <w:r>
              <w:rPr>
                <w:rFonts w:ascii="Arial" w:cs="Arial" w:eastAsia="Arial" w:hAnsi="Arial"/>
                <w:sz w:val="14"/>
                <w:szCs w:val="14"/>
                <w:color w:val="4D4D4F"/>
              </w:rPr>
              <w:t>Executive Vice</w:t>
            </w:r>
          </w:p>
        </w:tc>
        <w:tc>
          <w:tcPr>
            <w:tcW w:w="1460" w:type="dxa"/>
            <w:vAlign w:val="bottom"/>
          </w:tcPr>
          <w:p>
            <w:pPr>
              <w:ind w:left="200"/>
              <w:spacing w:after="0"/>
              <w:rPr>
                <w:sz w:val="20"/>
                <w:szCs w:val="20"/>
                <w:color w:val="auto"/>
              </w:rPr>
            </w:pPr>
            <w:r>
              <w:rPr>
                <w:rFonts w:ascii="Arial" w:cs="Arial" w:eastAsia="Arial" w:hAnsi="Arial"/>
                <w:sz w:val="14"/>
                <w:szCs w:val="14"/>
                <w:color w:val="4D4D4F"/>
              </w:rPr>
              <w:t>Executive Vice</w:t>
            </w:r>
          </w:p>
        </w:tc>
      </w:tr>
      <w:tr>
        <w:trPr>
          <w:trHeight w:val="174"/>
        </w:trPr>
        <w:tc>
          <w:tcPr>
            <w:tcW w:w="1460" w:type="dxa"/>
            <w:vAlign w:val="bottom"/>
          </w:tcPr>
          <w:p>
            <w:pPr>
              <w:spacing w:after="0"/>
              <w:rPr>
                <w:sz w:val="20"/>
                <w:szCs w:val="20"/>
                <w:color w:val="auto"/>
              </w:rPr>
            </w:pPr>
            <w:r>
              <w:rPr>
                <w:rFonts w:ascii="Arial" w:cs="Arial" w:eastAsia="Arial" w:hAnsi="Arial"/>
                <w:sz w:val="14"/>
                <w:szCs w:val="14"/>
                <w:color w:val="4D4D4F"/>
              </w:rPr>
              <w:t>Officer</w:t>
            </w:r>
          </w:p>
        </w:tc>
        <w:tc>
          <w:tcPr>
            <w:tcW w:w="1760" w:type="dxa"/>
            <w:vAlign w:val="bottom"/>
          </w:tcPr>
          <w:p>
            <w:pPr>
              <w:ind w:left="240"/>
              <w:spacing w:after="0"/>
              <w:rPr>
                <w:sz w:val="20"/>
                <w:szCs w:val="20"/>
                <w:color w:val="auto"/>
              </w:rPr>
            </w:pPr>
            <w:r>
              <w:rPr>
                <w:rFonts w:ascii="Arial" w:cs="Arial" w:eastAsia="Arial" w:hAnsi="Arial"/>
                <w:sz w:val="14"/>
                <w:szCs w:val="14"/>
                <w:color w:val="4D4D4F"/>
              </w:rPr>
              <w:t>President and Chief</w:t>
            </w:r>
          </w:p>
        </w:tc>
        <w:tc>
          <w:tcPr>
            <w:tcW w:w="1740" w:type="dxa"/>
            <w:vAlign w:val="bottom"/>
          </w:tcPr>
          <w:p>
            <w:pPr>
              <w:ind w:left="180"/>
              <w:spacing w:after="0"/>
              <w:rPr>
                <w:sz w:val="20"/>
                <w:szCs w:val="20"/>
                <w:color w:val="auto"/>
              </w:rPr>
            </w:pPr>
            <w:r>
              <w:rPr>
                <w:rFonts w:ascii="Arial" w:cs="Arial" w:eastAsia="Arial" w:hAnsi="Arial"/>
                <w:sz w:val="14"/>
                <w:szCs w:val="14"/>
                <w:color w:val="4D4D4F"/>
              </w:rPr>
              <w:t>Executive Vice</w:t>
            </w:r>
          </w:p>
        </w:tc>
        <w:tc>
          <w:tcPr>
            <w:tcW w:w="1660" w:type="dxa"/>
            <w:vAlign w:val="bottom"/>
          </w:tcPr>
          <w:p>
            <w:pPr>
              <w:ind w:left="140"/>
              <w:spacing w:after="0"/>
              <w:rPr>
                <w:sz w:val="20"/>
                <w:szCs w:val="20"/>
                <w:color w:val="auto"/>
              </w:rPr>
            </w:pPr>
            <w:r>
              <w:rPr>
                <w:rFonts w:ascii="Arial" w:cs="Arial" w:eastAsia="Arial" w:hAnsi="Arial"/>
                <w:sz w:val="14"/>
                <w:szCs w:val="14"/>
                <w:color w:val="4D4D4F"/>
              </w:rPr>
              <w:t>President and Chief</w:t>
            </w:r>
          </w:p>
        </w:tc>
        <w:tc>
          <w:tcPr>
            <w:tcW w:w="1460" w:type="dxa"/>
            <w:vAlign w:val="bottom"/>
          </w:tcPr>
          <w:p>
            <w:pPr>
              <w:ind w:left="200"/>
              <w:spacing w:after="0"/>
              <w:rPr>
                <w:sz w:val="20"/>
                <w:szCs w:val="20"/>
                <w:color w:val="auto"/>
              </w:rPr>
            </w:pPr>
            <w:r>
              <w:rPr>
                <w:rFonts w:ascii="Arial" w:cs="Arial" w:eastAsia="Arial" w:hAnsi="Arial"/>
                <w:sz w:val="14"/>
                <w:szCs w:val="14"/>
                <w:color w:val="4D4D4F"/>
              </w:rPr>
              <w:t>President, Chief</w:t>
            </w:r>
          </w:p>
        </w:tc>
      </w:tr>
      <w:tr>
        <w:trPr>
          <w:trHeight w:val="182"/>
        </w:trPr>
        <w:tc>
          <w:tcPr>
            <w:tcW w:w="1460" w:type="dxa"/>
            <w:vAlign w:val="bottom"/>
          </w:tcPr>
          <w:p>
            <w:pPr>
              <w:spacing w:after="0"/>
              <w:rPr>
                <w:sz w:val="15"/>
                <w:szCs w:val="15"/>
                <w:color w:val="auto"/>
              </w:rPr>
            </w:pPr>
          </w:p>
        </w:tc>
        <w:tc>
          <w:tcPr>
            <w:tcW w:w="1760" w:type="dxa"/>
            <w:vAlign w:val="bottom"/>
          </w:tcPr>
          <w:p>
            <w:pPr>
              <w:ind w:left="240"/>
              <w:spacing w:after="0"/>
              <w:rPr>
                <w:sz w:val="20"/>
                <w:szCs w:val="20"/>
                <w:color w:val="auto"/>
              </w:rPr>
            </w:pPr>
            <w:r>
              <w:rPr>
                <w:rFonts w:ascii="Arial" w:cs="Arial" w:eastAsia="Arial" w:hAnsi="Arial"/>
                <w:sz w:val="14"/>
                <w:szCs w:val="14"/>
                <w:color w:val="4D4D4F"/>
              </w:rPr>
              <w:t>Financial Officer</w:t>
            </w:r>
          </w:p>
        </w:tc>
        <w:tc>
          <w:tcPr>
            <w:tcW w:w="1740" w:type="dxa"/>
            <w:vAlign w:val="bottom"/>
          </w:tcPr>
          <w:p>
            <w:pPr>
              <w:ind w:left="180"/>
              <w:spacing w:after="0"/>
              <w:rPr>
                <w:sz w:val="20"/>
                <w:szCs w:val="20"/>
                <w:color w:val="auto"/>
              </w:rPr>
            </w:pPr>
            <w:r>
              <w:rPr>
                <w:rFonts w:ascii="Arial" w:cs="Arial" w:eastAsia="Arial" w:hAnsi="Arial"/>
                <w:sz w:val="14"/>
                <w:szCs w:val="14"/>
                <w:color w:val="4D4D4F"/>
              </w:rPr>
              <w:t>President, Chief</w:t>
            </w:r>
          </w:p>
        </w:tc>
        <w:tc>
          <w:tcPr>
            <w:tcW w:w="1660" w:type="dxa"/>
            <w:vAlign w:val="bottom"/>
          </w:tcPr>
          <w:p>
            <w:pPr>
              <w:ind w:left="140"/>
              <w:spacing w:after="0"/>
              <w:rPr>
                <w:sz w:val="20"/>
                <w:szCs w:val="20"/>
                <w:color w:val="auto"/>
              </w:rPr>
            </w:pPr>
            <w:r>
              <w:rPr>
                <w:rFonts w:ascii="Arial" w:cs="Arial" w:eastAsia="Arial" w:hAnsi="Arial"/>
                <w:sz w:val="14"/>
                <w:szCs w:val="14"/>
                <w:color w:val="4D4D4F"/>
              </w:rPr>
              <w:t>Transformation</w:t>
            </w:r>
          </w:p>
        </w:tc>
        <w:tc>
          <w:tcPr>
            <w:tcW w:w="1460" w:type="dxa"/>
            <w:vAlign w:val="bottom"/>
          </w:tcPr>
          <w:p>
            <w:pPr>
              <w:ind w:left="200"/>
              <w:spacing w:after="0"/>
              <w:rPr>
                <w:sz w:val="20"/>
                <w:szCs w:val="20"/>
                <w:color w:val="auto"/>
              </w:rPr>
            </w:pPr>
            <w:r>
              <w:rPr>
                <w:rFonts w:ascii="Arial" w:cs="Arial" w:eastAsia="Arial" w:hAnsi="Arial"/>
                <w:sz w:val="14"/>
                <w:szCs w:val="14"/>
                <w:color w:val="4D4D4F"/>
              </w:rPr>
              <w:t>Growth and Digital</w:t>
            </w:r>
          </w:p>
        </w:tc>
      </w:tr>
      <w:tr>
        <w:trPr>
          <w:trHeight w:val="182"/>
        </w:trPr>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Arial" w:cs="Arial" w:eastAsia="Arial" w:hAnsi="Arial"/>
                <w:sz w:val="14"/>
                <w:szCs w:val="14"/>
                <w:color w:val="4D4D4F"/>
              </w:rPr>
              <w:t>Legal Officer and</w:t>
            </w:r>
          </w:p>
        </w:tc>
        <w:tc>
          <w:tcPr>
            <w:tcW w:w="1660" w:type="dxa"/>
            <w:vAlign w:val="bottom"/>
          </w:tcPr>
          <w:p>
            <w:pPr>
              <w:ind w:left="140"/>
              <w:spacing w:after="0"/>
              <w:rPr>
                <w:sz w:val="20"/>
                <w:szCs w:val="20"/>
                <w:color w:val="auto"/>
              </w:rPr>
            </w:pPr>
            <w:r>
              <w:rPr>
                <w:rFonts w:ascii="Arial" w:cs="Arial" w:eastAsia="Arial" w:hAnsi="Arial"/>
                <w:sz w:val="14"/>
                <w:szCs w:val="14"/>
                <w:color w:val="4D4D4F"/>
              </w:rPr>
              <w:t>Officer</w:t>
            </w:r>
          </w:p>
        </w:tc>
        <w:tc>
          <w:tcPr>
            <w:tcW w:w="1460" w:type="dxa"/>
            <w:vAlign w:val="bottom"/>
          </w:tcPr>
          <w:p>
            <w:pPr>
              <w:ind w:left="200"/>
              <w:spacing w:after="0"/>
              <w:rPr>
                <w:sz w:val="20"/>
                <w:szCs w:val="20"/>
                <w:color w:val="auto"/>
              </w:rPr>
            </w:pPr>
            <w:r>
              <w:rPr>
                <w:rFonts w:ascii="Arial" w:cs="Arial" w:eastAsia="Arial" w:hAnsi="Arial"/>
                <w:sz w:val="14"/>
                <w:szCs w:val="14"/>
                <w:color w:val="4D4D4F"/>
              </w:rPr>
              <w:t>Officer</w:t>
            </w:r>
          </w:p>
        </w:tc>
      </w:tr>
      <w:tr>
        <w:trPr>
          <w:trHeight w:val="182"/>
        </w:trPr>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40" w:type="dxa"/>
            <w:vAlign w:val="bottom"/>
          </w:tcPr>
          <w:p>
            <w:pPr>
              <w:ind w:left="180"/>
              <w:spacing w:after="0"/>
              <w:rPr>
                <w:sz w:val="20"/>
                <w:szCs w:val="20"/>
                <w:color w:val="auto"/>
              </w:rPr>
            </w:pPr>
            <w:r>
              <w:rPr>
                <w:rFonts w:ascii="Arial" w:cs="Arial" w:eastAsia="Arial" w:hAnsi="Arial"/>
                <w:sz w:val="14"/>
                <w:szCs w:val="14"/>
                <w:color w:val="4D4D4F"/>
              </w:rPr>
              <w:t>Corporate Secretary</w:t>
            </w:r>
          </w:p>
        </w:tc>
        <w:tc>
          <w:tcPr>
            <w:tcW w:w="166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224155</wp:posOffset>
            </wp:positionV>
            <wp:extent cx="2998470" cy="832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7">
                      <a:extLst>
                        <a:ext uri="{28A0092B-C50C-407E-A947-70E740481C1C}"/>
                      </a:extLst>
                    </a:blip>
                    <a:srcRect/>
                    <a:stretch>
                      <a:fillRect/>
                    </a:stretch>
                  </pic:blipFill>
                  <pic:spPr bwMode="auto">
                    <a:xfrm>
                      <a:off x="0" y="0"/>
                      <a:ext cx="2998470" cy="832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20" w:type="dxa"/>
            <w:vAlign w:val="bottom"/>
          </w:tcPr>
          <w:p>
            <w:pPr>
              <w:spacing w:after="0"/>
              <w:rPr>
                <w:sz w:val="20"/>
                <w:szCs w:val="20"/>
                <w:color w:val="auto"/>
              </w:rPr>
            </w:pPr>
            <w:r>
              <w:rPr>
                <w:rFonts w:ascii="Arial" w:cs="Arial" w:eastAsia="Arial" w:hAnsi="Arial"/>
                <w:sz w:val="16"/>
                <w:szCs w:val="16"/>
                <w:b w:val="1"/>
                <w:bCs w:val="1"/>
                <w:color w:val="1A4E79"/>
              </w:rPr>
              <w:t>Kristin E. Papesh</w:t>
            </w:r>
          </w:p>
        </w:tc>
        <w:tc>
          <w:tcPr>
            <w:tcW w:w="1740" w:type="dxa"/>
            <w:vAlign w:val="bottom"/>
          </w:tcPr>
          <w:p>
            <w:pPr>
              <w:ind w:left="180"/>
              <w:spacing w:after="0"/>
              <w:rPr>
                <w:sz w:val="20"/>
                <w:szCs w:val="20"/>
                <w:color w:val="auto"/>
              </w:rPr>
            </w:pPr>
            <w:r>
              <w:rPr>
                <w:rFonts w:ascii="Arial" w:cs="Arial" w:eastAsia="Arial" w:hAnsi="Arial"/>
                <w:sz w:val="16"/>
                <w:szCs w:val="16"/>
                <w:b w:val="1"/>
                <w:bCs w:val="1"/>
                <w:color w:val="1A4E79"/>
              </w:rPr>
              <w:t>Cheri M. Phyfer</w:t>
            </w:r>
          </w:p>
        </w:tc>
        <w:tc>
          <w:tcPr>
            <w:tcW w:w="1540" w:type="dxa"/>
            <w:vAlign w:val="bottom"/>
          </w:tcPr>
          <w:p>
            <w:pPr>
              <w:ind w:left="140"/>
              <w:spacing w:after="0"/>
              <w:rPr>
                <w:sz w:val="20"/>
                <w:szCs w:val="20"/>
                <w:color w:val="auto"/>
              </w:rPr>
            </w:pPr>
            <w:r>
              <w:rPr>
                <w:rFonts w:ascii="Arial" w:cs="Arial" w:eastAsia="Arial" w:hAnsi="Arial"/>
                <w:sz w:val="16"/>
                <w:szCs w:val="16"/>
                <w:b w:val="1"/>
                <w:bCs w:val="1"/>
                <w:color w:val="1A4E79"/>
              </w:rPr>
              <w:t>Ron Wilson</w:t>
            </w:r>
          </w:p>
        </w:tc>
      </w:tr>
      <w:tr>
        <w:trPr>
          <w:trHeight w:val="174"/>
        </w:trPr>
        <w:tc>
          <w:tcPr>
            <w:tcW w:w="1520" w:type="dxa"/>
            <w:vAlign w:val="bottom"/>
          </w:tcPr>
          <w:p>
            <w:pPr>
              <w:spacing w:after="0"/>
              <w:rPr>
                <w:sz w:val="20"/>
                <w:szCs w:val="20"/>
                <w:color w:val="auto"/>
              </w:rPr>
            </w:pPr>
            <w:r>
              <w:rPr>
                <w:rFonts w:ascii="Arial" w:cs="Arial" w:eastAsia="Arial" w:hAnsi="Arial"/>
                <w:sz w:val="14"/>
                <w:szCs w:val="14"/>
                <w:color w:val="4D4D4F"/>
              </w:rPr>
              <w:t>Executive Vice</w:t>
            </w:r>
          </w:p>
        </w:tc>
        <w:tc>
          <w:tcPr>
            <w:tcW w:w="1740" w:type="dxa"/>
            <w:vAlign w:val="bottom"/>
          </w:tcPr>
          <w:p>
            <w:pPr>
              <w:ind w:left="180"/>
              <w:spacing w:after="0"/>
              <w:rPr>
                <w:sz w:val="20"/>
                <w:szCs w:val="20"/>
                <w:color w:val="auto"/>
              </w:rPr>
            </w:pPr>
            <w:r>
              <w:rPr>
                <w:rFonts w:ascii="Arial" w:cs="Arial" w:eastAsia="Arial" w:hAnsi="Arial"/>
                <w:sz w:val="14"/>
                <w:szCs w:val="14"/>
                <w:color w:val="4D4D4F"/>
              </w:rPr>
              <w:t>Executive Vice</w:t>
            </w:r>
          </w:p>
        </w:tc>
        <w:tc>
          <w:tcPr>
            <w:tcW w:w="1540" w:type="dxa"/>
            <w:vAlign w:val="bottom"/>
          </w:tcPr>
          <w:p>
            <w:pPr>
              <w:ind w:left="140"/>
              <w:spacing w:after="0"/>
              <w:rPr>
                <w:sz w:val="20"/>
                <w:szCs w:val="20"/>
                <w:color w:val="auto"/>
              </w:rPr>
            </w:pPr>
            <w:r>
              <w:rPr>
                <w:rFonts w:ascii="Arial" w:cs="Arial" w:eastAsia="Arial" w:hAnsi="Arial"/>
                <w:sz w:val="14"/>
                <w:szCs w:val="14"/>
                <w:color w:val="4D4D4F"/>
              </w:rPr>
              <w:t>Executive Vice</w:t>
            </w:r>
          </w:p>
        </w:tc>
      </w:tr>
      <w:tr>
        <w:trPr>
          <w:trHeight w:val="182"/>
        </w:trPr>
        <w:tc>
          <w:tcPr>
            <w:tcW w:w="1520" w:type="dxa"/>
            <w:vAlign w:val="bottom"/>
          </w:tcPr>
          <w:p>
            <w:pPr>
              <w:spacing w:after="0"/>
              <w:rPr>
                <w:sz w:val="20"/>
                <w:szCs w:val="20"/>
                <w:color w:val="auto"/>
              </w:rPr>
            </w:pPr>
            <w:r>
              <w:rPr>
                <w:rFonts w:ascii="Arial" w:cs="Arial" w:eastAsia="Arial" w:hAnsi="Arial"/>
                <w:sz w:val="14"/>
                <w:szCs w:val="14"/>
                <w:color w:val="4D4D4F"/>
              </w:rPr>
              <w:t>President and Chief</w:t>
            </w:r>
          </w:p>
        </w:tc>
        <w:tc>
          <w:tcPr>
            <w:tcW w:w="1740" w:type="dxa"/>
            <w:vAlign w:val="bottom"/>
          </w:tcPr>
          <w:p>
            <w:pPr>
              <w:ind w:left="180"/>
              <w:spacing w:after="0"/>
              <w:rPr>
                <w:sz w:val="20"/>
                <w:szCs w:val="20"/>
                <w:color w:val="auto"/>
              </w:rPr>
            </w:pPr>
            <w:r>
              <w:rPr>
                <w:rFonts w:ascii="Arial" w:cs="Arial" w:eastAsia="Arial" w:hAnsi="Arial"/>
                <w:sz w:val="14"/>
                <w:szCs w:val="14"/>
                <w:color w:val="4D4D4F"/>
              </w:rPr>
              <w:t>President and Group</w:t>
            </w:r>
          </w:p>
        </w:tc>
        <w:tc>
          <w:tcPr>
            <w:tcW w:w="1540" w:type="dxa"/>
            <w:vAlign w:val="bottom"/>
          </w:tcPr>
          <w:p>
            <w:pPr>
              <w:ind w:left="140"/>
              <w:spacing w:after="0"/>
              <w:rPr>
                <w:sz w:val="20"/>
                <w:szCs w:val="20"/>
                <w:color w:val="auto"/>
              </w:rPr>
            </w:pPr>
            <w:r>
              <w:rPr>
                <w:rFonts w:ascii="Arial" w:cs="Arial" w:eastAsia="Arial" w:hAnsi="Arial"/>
                <w:sz w:val="14"/>
                <w:szCs w:val="14"/>
                <w:color w:val="4D4D4F"/>
              </w:rPr>
              <w:t>President and Chief</w:t>
            </w:r>
          </w:p>
        </w:tc>
      </w:tr>
      <w:tr>
        <w:trPr>
          <w:trHeight w:val="182"/>
        </w:trPr>
        <w:tc>
          <w:tcPr>
            <w:tcW w:w="1520" w:type="dxa"/>
            <w:vAlign w:val="bottom"/>
          </w:tcPr>
          <w:p>
            <w:pPr>
              <w:spacing w:after="0"/>
              <w:rPr>
                <w:sz w:val="20"/>
                <w:szCs w:val="20"/>
                <w:color w:val="auto"/>
              </w:rPr>
            </w:pPr>
            <w:r>
              <w:rPr>
                <w:rFonts w:ascii="Arial" w:cs="Arial" w:eastAsia="Arial" w:hAnsi="Arial"/>
                <w:sz w:val="14"/>
                <w:szCs w:val="14"/>
                <w:color w:val="4D4D4F"/>
              </w:rPr>
              <w:t>Human Resources</w:t>
            </w:r>
          </w:p>
        </w:tc>
        <w:tc>
          <w:tcPr>
            <w:tcW w:w="1740" w:type="dxa"/>
            <w:vAlign w:val="bottom"/>
          </w:tcPr>
          <w:p>
            <w:pPr>
              <w:ind w:left="180"/>
              <w:spacing w:after="0"/>
              <w:rPr>
                <w:sz w:val="20"/>
                <w:szCs w:val="20"/>
                <w:color w:val="auto"/>
              </w:rPr>
            </w:pPr>
            <w:r>
              <w:rPr>
                <w:rFonts w:ascii="Arial" w:cs="Arial" w:eastAsia="Arial" w:hAnsi="Arial"/>
                <w:sz w:val="14"/>
                <w:szCs w:val="14"/>
                <w:color w:val="4D4D4F"/>
              </w:rPr>
              <w:t>President</w:t>
            </w:r>
          </w:p>
        </w:tc>
        <w:tc>
          <w:tcPr>
            <w:tcW w:w="1540" w:type="dxa"/>
            <w:vAlign w:val="bottom"/>
          </w:tcPr>
          <w:p>
            <w:pPr>
              <w:ind w:left="140"/>
              <w:spacing w:after="0"/>
              <w:rPr>
                <w:sz w:val="20"/>
                <w:szCs w:val="20"/>
                <w:color w:val="auto"/>
              </w:rPr>
            </w:pPr>
            <w:r>
              <w:rPr>
                <w:rFonts w:ascii="Arial" w:cs="Arial" w:eastAsia="Arial" w:hAnsi="Arial"/>
                <w:sz w:val="14"/>
                <w:szCs w:val="14"/>
                <w:color w:val="4D4D4F"/>
              </w:rPr>
              <w:t>Supply Chain Officer</w:t>
            </w:r>
          </w:p>
        </w:tc>
      </w:tr>
      <w:tr>
        <w:trPr>
          <w:trHeight w:val="182"/>
        </w:trPr>
        <w:tc>
          <w:tcPr>
            <w:tcW w:w="1520" w:type="dxa"/>
            <w:vAlign w:val="bottom"/>
          </w:tcPr>
          <w:p>
            <w:pPr>
              <w:spacing w:after="0"/>
              <w:rPr>
                <w:sz w:val="20"/>
                <w:szCs w:val="20"/>
                <w:color w:val="auto"/>
              </w:rPr>
            </w:pPr>
            <w:r>
              <w:rPr>
                <w:rFonts w:ascii="Arial" w:cs="Arial" w:eastAsia="Arial" w:hAnsi="Arial"/>
                <w:sz w:val="14"/>
                <w:szCs w:val="14"/>
                <w:color w:val="4D4D4F"/>
              </w:rPr>
              <w:t>Officer</w:t>
            </w:r>
          </w:p>
        </w:tc>
        <w:tc>
          <w:tcPr>
            <w:tcW w:w="174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sectPr>
          <w:pgSz w:w="12240" w:h="15840" w:orient="portrait"/>
          <w:cols w:equalWidth="0" w:num="1">
            <w:col w:w="9920"/>
          </w:cols>
          <w:pgMar w:left="1120" w:top="780" w:right="1200" w:bottom="495" w:gutter="0" w:footer="0" w:header="0"/>
        </w:sectPr>
      </w:pPr>
    </w:p>
    <w:bookmarkStart w:id="115" w:name="page116"/>
    <w:bookmarkEnd w:id="115"/>
    <w:p>
      <w:pPr>
        <w:ind w:left="7" w:right="5400"/>
        <w:spacing w:after="0" w:line="339" w:lineRule="auto"/>
        <w:rPr>
          <w:sz w:val="20"/>
          <w:szCs w:val="20"/>
          <w:color w:val="auto"/>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13335</wp:posOffset>
            </wp:positionH>
            <wp:positionV relativeFrom="page">
              <wp:posOffset>0</wp:posOffset>
            </wp:positionV>
            <wp:extent cx="7746365" cy="10057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8">
                      <a:extLst>
                        <a:ext uri="{28A0092B-C50C-407E-A947-70E740481C1C}"/>
                      </a:extLst>
                    </a:blip>
                    <a:srcRect/>
                    <a:stretch>
                      <a:fillRect/>
                    </a:stretch>
                  </pic:blipFill>
                  <pic:spPr bwMode="auto">
                    <a:xfrm>
                      <a:off x="0" y="0"/>
                      <a:ext cx="7746365" cy="10057765"/>
                    </a:xfrm>
                    <a:prstGeom prst="rect">
                      <a:avLst/>
                    </a:prstGeom>
                    <a:noFill/>
                  </pic:spPr>
                </pic:pic>
              </a:graphicData>
            </a:graphic>
          </wp:anchor>
        </w:drawing>
        <w:t>Fortune Brands Innovations is an industry-leading innovation company focused on creating smarter, safer and more beautiful homes and improving lives.</w:t>
      </w:r>
    </w:p>
    <w:p>
      <w:pPr>
        <w:spacing w:after="0" w:line="79" w:lineRule="exact"/>
        <w:rPr>
          <w:sz w:val="20"/>
          <w:szCs w:val="20"/>
          <w:color w:val="auto"/>
        </w:rPr>
      </w:pPr>
    </w:p>
    <w:p>
      <w:pPr>
        <w:ind w:left="7"/>
        <w:spacing w:after="0"/>
        <w:rPr>
          <w:sz w:val="20"/>
          <w:szCs w:val="20"/>
          <w:color w:val="auto"/>
        </w:rPr>
      </w:pPr>
      <w:r>
        <w:rPr>
          <w:rFonts w:ascii="Arial" w:cs="Arial" w:eastAsia="Arial" w:hAnsi="Arial"/>
          <w:sz w:val="18"/>
          <w:szCs w:val="18"/>
          <w:color w:val="FFFFFF"/>
        </w:rPr>
        <w:t>To learn more, visit FBIN.com</w:t>
      </w:r>
    </w:p>
    <w:p>
      <w:pPr>
        <w:jc w:val="right"/>
        <w:ind w:left="7227"/>
        <w:spacing w:after="0" w:line="297" w:lineRule="auto"/>
        <w:rPr>
          <w:sz w:val="20"/>
          <w:szCs w:val="20"/>
          <w:color w:val="auto"/>
        </w:rPr>
      </w:pPr>
      <w:r>
        <w:rPr>
          <w:rFonts w:ascii="Arial" w:cs="Arial" w:eastAsia="Arial" w:hAnsi="Arial"/>
          <w:sz w:val="18"/>
          <w:szCs w:val="18"/>
          <w:color w:val="FFFFFF"/>
        </w:rPr>
        <w:t>520 Lake Cook Road, Suite 300 Deerfield, IL 60015-5611</w:t>
      </w:r>
    </w:p>
    <w:p>
      <w:pPr>
        <w:sectPr>
          <w:pgSz w:w="12240" w:h="15840" w:orient="portrait"/>
          <w:cols w:equalWidth="0" w:num="1">
            <w:col w:w="10007"/>
          </w:cols>
          <w:pgMar w:left="1113" w:top="859"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7" w:hanging="187"/>
        <w:spacing w:after="0"/>
        <w:tabs>
          <w:tab w:leader="none" w:pos="187" w:val="left"/>
        </w:tabs>
        <w:numPr>
          <w:ilvl w:val="0"/>
          <w:numId w:val="70"/>
        </w:numPr>
        <w:rPr>
          <w:rFonts w:ascii="Arial" w:cs="Arial" w:eastAsia="Arial" w:hAnsi="Arial"/>
          <w:sz w:val="16"/>
          <w:szCs w:val="16"/>
          <w:b w:val="1"/>
          <w:bCs w:val="1"/>
          <w:color w:val="1A4E79"/>
        </w:rPr>
      </w:pPr>
      <w:r>
        <w:rPr>
          <w:rFonts w:ascii="Arial" w:cs="Arial" w:eastAsia="Arial" w:hAnsi="Arial"/>
          <w:sz w:val="12"/>
          <w:szCs w:val="12"/>
          <w:color w:val="4D4D4F"/>
        </w:rPr>
        <w:t>/  FORTUNE BRANDS</w:t>
      </w:r>
    </w:p>
    <w:sectPr>
      <w:pgSz w:w="12240" w:h="15840" w:orient="portrait"/>
      <w:cols w:equalWidth="0" w:num="1">
        <w:col w:w="10007"/>
      </w:cols>
      <w:pgMar w:left="1113" w:top="859" w:right="112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4"/>
      <w:numFmt w:val="bullet"/>
      <w:start w:val="1"/>
    </w:lvl>
    <w:lvl w:ilvl="1">
      <w:lvlJc w:val="left"/>
      <w:lvlText w:val="%5"/>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lowerLetter"/>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lowerLetter"/>
      <w:start w:val="1"/>
    </w:lvl>
  </w:abstractNum>
  <w:abstractNum w:abstractNumId="16">
    <w:nsid w:val="1D4ED43B"/>
    <w:multiLevelType w:val="hybridMultilevel"/>
    <w:lvl w:ilvl="0">
      <w:lvlJc w:val="left"/>
      <w:lvlText w:val="(%1)"/>
      <w:numFmt w:val="lowerLetter"/>
      <w:start w:val="1"/>
    </w:lvl>
  </w:abstractNum>
  <w:abstractNum w:abstractNumId="17">
    <w:nsid w:val="725A06FB"/>
    <w:multiLevelType w:val="hybridMultilevel"/>
    <w:lvl w:ilvl="0">
      <w:lvlJc w:val="left"/>
      <w:lvlText w:val="(%1)"/>
      <w:numFmt w:val="lowerRoman"/>
      <w:start w:val="1"/>
    </w:lvl>
  </w:abstractNum>
  <w:abstractNum w:abstractNumId="18">
    <w:nsid w:val="2CD89A32"/>
    <w:multiLevelType w:val="hybridMultilevel"/>
    <w:lvl w:ilvl="0">
      <w:lvlJc w:val="left"/>
      <w:lvlText w:val="(%1)"/>
      <w:numFmt w:val="lowerLetter"/>
      <w:start w:val="1"/>
    </w:lvl>
  </w:abstractNum>
  <w:abstractNum w:abstractNumId="19">
    <w:nsid w:val="57E4CCAF"/>
    <w:multiLevelType w:val="hybridMultilevel"/>
    <w:lvl w:ilvl="0">
      <w:lvlJc w:val="left"/>
      <w:lvlText w:val="(%1)"/>
      <w:numFmt w:val="lowerLetter"/>
      <w:start w:val="1"/>
    </w:lvl>
  </w:abstractNum>
  <w:abstractNum w:abstractNumId="20">
    <w:nsid w:val="7A6D8D3C"/>
    <w:multiLevelType w:val="hybridMultilevel"/>
    <w:lvl w:ilvl="0">
      <w:lvlJc w:val="left"/>
      <w:lvlText w:val="(%1)"/>
      <w:numFmt w:val="lowerLetter"/>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2"/>
    </w:lvl>
  </w:abstractNum>
  <w:abstractNum w:abstractNumId="23">
    <w:nsid w:val="6DE91B18"/>
    <w:multiLevelType w:val="hybridMultilevel"/>
    <w:lvl w:ilvl="0">
      <w:lvlJc w:val="left"/>
      <w:lvlText w:val="%1."/>
      <w:numFmt w:val="decimal"/>
      <w:start w:val="3"/>
    </w:lvl>
  </w:abstractNum>
  <w:abstractNum w:abstractNumId="24">
    <w:nsid w:val="38437FDB"/>
    <w:multiLevelType w:val="hybridMultilevel"/>
    <w:lvl w:ilvl="0">
      <w:lvlJc w:val="left"/>
      <w:lvlText w:val="%1."/>
      <w:numFmt w:val="decimal"/>
      <w:start w:val="4"/>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decimal"/>
      <w:start w:val="5"/>
    </w:lvl>
  </w:abstractNum>
  <w:abstractNum w:abstractNumId="27">
    <w:nsid w:val="684A481A"/>
    <w:multiLevelType w:val="hybridMultilevel"/>
    <w:lvl w:ilvl="0">
      <w:lvlJc w:val="left"/>
      <w:lvlText w:val="%1."/>
      <w:numFmt w:val="decimal"/>
      <w:start w:val="6"/>
    </w:lvl>
  </w:abstractNum>
  <w:abstractNum w:abstractNumId="28">
    <w:nsid w:val="579478FE"/>
    <w:multiLevelType w:val="hybridMultilevel"/>
    <w:lvl w:ilvl="0">
      <w:lvlJc w:val="left"/>
      <w:lvlText w:val="(%1)"/>
      <w:numFmt w:val="lowerLetter"/>
      <w:start w:val="1"/>
    </w:lvl>
  </w:abstractNum>
  <w:abstractNum w:abstractNumId="29">
    <w:nsid w:val="749ABB43"/>
    <w:multiLevelType w:val="hybridMultilevel"/>
    <w:lvl w:ilvl="0">
      <w:lvlJc w:val="left"/>
      <w:lvlText w:val="(%1)"/>
      <w:numFmt w:val="lowerLetter"/>
      <w:start w:val="1"/>
    </w:lvl>
  </w:abstractNum>
  <w:abstractNum w:abstractNumId="30">
    <w:nsid w:val="3DC240FB"/>
    <w:multiLevelType w:val="hybridMultilevel"/>
    <w:lvl w:ilvl="0">
      <w:lvlJc w:val="left"/>
      <w:lvlText w:val="%1."/>
      <w:numFmt w:val="decimal"/>
      <w:start w:val="7"/>
    </w:lvl>
  </w:abstractNum>
  <w:abstractNum w:abstractNumId="31">
    <w:nsid w:val="1BA026FA"/>
    <w:multiLevelType w:val="hybridMultilevel"/>
    <w:lvl w:ilvl="0">
      <w:lvlJc w:val="left"/>
      <w:lvlText w:val="%1."/>
      <w:numFmt w:val="decimal"/>
      <w:start w:val="8"/>
    </w:lvl>
  </w:abstractNum>
  <w:abstractNum w:abstractNumId="32">
    <w:nsid w:val="79A1DEAA"/>
    <w:multiLevelType w:val="hybridMultilevel"/>
    <w:lvl w:ilvl="0">
      <w:lvlJc w:val="left"/>
      <w:lvlText w:val="%1."/>
      <w:numFmt w:val="decimal"/>
      <w:start w:val="9"/>
    </w:lvl>
  </w:abstractNum>
  <w:abstractNum w:abstractNumId="33">
    <w:nsid w:val="75C6C33A"/>
    <w:multiLevelType w:val="hybridMultilevel"/>
    <w:lvl w:ilvl="0">
      <w:lvlJc w:val="left"/>
      <w:lvlText w:val="%1."/>
      <w:numFmt w:val="decimal"/>
      <w:start w:val="10"/>
    </w:lvl>
  </w:abstractNum>
  <w:abstractNum w:abstractNumId="34">
    <w:nsid w:val="12E685FB"/>
    <w:multiLevelType w:val="hybridMultilevel"/>
    <w:lvl w:ilvl="0">
      <w:lvlJc w:val="left"/>
      <w:lvlText w:val="%1."/>
      <w:numFmt w:val="decimal"/>
      <w:start w:val="11"/>
    </w:lvl>
  </w:abstractNum>
  <w:abstractNum w:abstractNumId="35">
    <w:nsid w:val="70C6A529"/>
    <w:multiLevelType w:val="hybridMultilevel"/>
    <w:lvl w:ilvl="0">
      <w:lvlJc w:val="left"/>
      <w:lvlText w:val="%1."/>
      <w:numFmt w:val="decimal"/>
      <w:start w:val="12"/>
    </w:lvl>
  </w:abstractNum>
  <w:abstractNum w:abstractNumId="36">
    <w:nsid w:val="520EEDD1"/>
    <w:multiLevelType w:val="hybridMultilevel"/>
    <w:lvl w:ilvl="0">
      <w:lvlJc w:val="left"/>
      <w:lvlText w:val="(%1)"/>
      <w:numFmt w:val="lowerLetter"/>
      <w:start w:val="1"/>
    </w:lvl>
  </w:abstractNum>
  <w:abstractNum w:abstractNumId="37">
    <w:nsid w:val="374A3FE6"/>
    <w:multiLevelType w:val="hybridMultilevel"/>
    <w:lvl w:ilvl="0">
      <w:lvlJc w:val="left"/>
      <w:lvlText w:val="%1."/>
      <w:numFmt w:val="decimal"/>
      <w:start w:val="13"/>
    </w:lvl>
  </w:abstractNum>
  <w:abstractNum w:abstractNumId="38">
    <w:nsid w:val="4F4EF005"/>
    <w:multiLevelType w:val="hybridMultilevel"/>
    <w:lvl w:ilvl="0">
      <w:lvlJc w:val="left"/>
      <w:lvlText w:val="(%1)"/>
      <w:numFmt w:val="lowerLetter"/>
      <w:start w:val="1"/>
    </w:lvl>
  </w:abstractNum>
  <w:abstractNum w:abstractNumId="39">
    <w:nsid w:val="23F9C13C"/>
    <w:multiLevelType w:val="hybridMultilevel"/>
    <w:lvl w:ilvl="0">
      <w:lvlJc w:val="left"/>
      <w:lvlText w:val="%1."/>
      <w:numFmt w:val="decimal"/>
      <w:start w:val="14"/>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decimal"/>
      <w:start w:val="15"/>
    </w:lvl>
  </w:abstractNum>
  <w:abstractNum w:abstractNumId="42">
    <w:nsid w:val="39386575"/>
    <w:multiLevelType w:val="hybridMultilevel"/>
    <w:lvl w:ilvl="0">
      <w:lvlJc w:val="left"/>
      <w:lvlText w:val="(%1)"/>
      <w:numFmt w:val="lowerLetter"/>
      <w:start w:val="1"/>
    </w:lvl>
  </w:abstractNum>
  <w:abstractNum w:abstractNumId="43">
    <w:nsid w:val="1CF10FD8"/>
    <w:multiLevelType w:val="hybridMultilevel"/>
    <w:lvl w:ilvl="0">
      <w:lvlJc w:val="left"/>
      <w:lvlText w:val="%1."/>
      <w:numFmt w:val="decimal"/>
      <w:start w:val="16"/>
    </w:lvl>
  </w:abstractNum>
  <w:abstractNum w:abstractNumId="44">
    <w:nsid w:val="180115BE"/>
    <w:multiLevelType w:val="hybridMultilevel"/>
    <w:lvl w:ilvl="0">
      <w:lvlJc w:val="left"/>
      <w:lvlText w:val="%1."/>
      <w:numFmt w:val="decimal"/>
      <w:start w:val="17"/>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1"/>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decimal"/>
      <w:start w:val="18"/>
    </w:lvl>
  </w:abstractNum>
  <w:abstractNum w:abstractNumId="51">
    <w:nsid w:val="10233C99"/>
    <w:multiLevelType w:val="hybridMultilevel"/>
    <w:lvl w:ilvl="0">
      <w:lvlJc w:val="left"/>
      <w:lvlText w:val="%1."/>
      <w:numFmt w:val="decimal"/>
      <w:start w:val="19"/>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decimal"/>
      <w:start w:val="21"/>
    </w:lvl>
  </w:abstractNum>
  <w:abstractNum w:abstractNumId="55">
    <w:nsid w:val="77AE35EB"/>
    <w:multiLevelType w:val="hybridMultilevel"/>
    <w:lvl w:ilvl="0">
      <w:lvlJc w:val="left"/>
      <w:lvlText w:val="%1."/>
      <w:numFmt w:val="decimal"/>
      <w:start w:val="22"/>
    </w:lvl>
  </w:abstractNum>
  <w:abstractNum w:abstractNumId="56">
    <w:nsid w:val="579BE4F1"/>
    <w:multiLevelType w:val="hybridMultilevel"/>
    <w:lvl w:ilvl="0">
      <w:lvlJc w:val="left"/>
      <w:lvlText w:val="%1."/>
      <w:numFmt w:val="decimal"/>
      <w:start w:val="23"/>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amp;"/>
      <w:numFmt w:val="bullet"/>
      <w:start w:val="1"/>
    </w:lvl>
  </w:abstractNum>
  <w:abstractNum w:abstractNumId="60">
    <w:nsid w:val="25A70BF7"/>
    <w:multiLevelType w:val="hybridMultilevel"/>
    <w:lvl w:ilvl="0">
      <w:lvlJc w:val="left"/>
      <w:lvlText w:val="%1."/>
      <w:numFmt w:val="decimal"/>
      <w:start w:val="21"/>
    </w:lvl>
  </w:abstractNum>
  <w:abstractNum w:abstractNumId="61">
    <w:nsid w:val="1DBABF00"/>
    <w:multiLevelType w:val="hybridMultilevel"/>
    <w:lvl w:ilvl="0">
      <w:lvlJc w:val="left"/>
      <w:lvlText w:val="%1."/>
      <w:numFmt w:val="decimal"/>
      <w:start w:val="23"/>
    </w:lvl>
  </w:abstractNum>
  <w:abstractNum w:abstractNumId="62">
    <w:nsid w:val="4AD084E9"/>
    <w:multiLevelType w:val="hybridMultilevel"/>
    <w:lvl w:ilvl="0">
      <w:lvlJc w:val="left"/>
      <w:lvlText w:val="%1."/>
      <w:numFmt w:val="decimal"/>
      <w:start w:val="32"/>
    </w:lvl>
  </w:abstractNum>
  <w:abstractNum w:abstractNumId="63">
    <w:nsid w:val="1F48EAA1"/>
    <w:multiLevelType w:val="hybridMultilevel"/>
    <w:lvl w:ilvl="0">
      <w:lvlJc w:val="left"/>
      <w:lvlText w:val="%1."/>
      <w:numFmt w:val="decimal"/>
      <w:start w:val="97"/>
    </w:lvl>
  </w:abstractNum>
  <w:abstractNum w:abstractNumId="64">
    <w:nsid w:val="1381823A"/>
    <w:multiLevelType w:val="hybridMultilevel"/>
    <w:lvl w:ilvl="0">
      <w:lvlJc w:val="left"/>
      <w:lvlText w:val="%1."/>
      <w:numFmt w:val="decimal"/>
      <w:start w:val="101"/>
    </w:lvl>
  </w:abstractNum>
  <w:abstractNum w:abstractNumId="65">
    <w:nsid w:val="5DB70AE5"/>
    <w:multiLevelType w:val="hybridMultilevel"/>
    <w:lvl w:ilvl="0">
      <w:lvlJc w:val="left"/>
      <w:lvlText w:val="%1."/>
      <w:numFmt w:val="decimal"/>
      <w:start w:val="104"/>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lowerLetter"/>
      <w:start w:val="1"/>
    </w:lvl>
  </w:abstractNum>
  <w:abstractNum w:abstractNumId="69">
    <w:nsid w:val="5F5E7FD0"/>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2024-03-22T15:29:41Z</dcterms:created>
  <dcterms:modified xsi:type="dcterms:W3CDTF">2024-03-22T15:29:41Z</dcterms:modified>
</cp:coreProperties>
</file>