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UNITED STATES</w:t>
      </w:r>
    </w:p>
    <w:p>
      <w:pPr>
        <w:jc w:val="center"/>
        <w:spacing w:after="0"/>
        <w:rPr>
          <w:sz w:val="20"/>
          <w:szCs w:val="20"/>
          <w:color w:val="auto"/>
        </w:rPr>
      </w:pPr>
      <w:r>
        <w:rPr>
          <w:rFonts w:ascii="Arial" w:cs="Arial" w:eastAsia="Arial" w:hAnsi="Arial"/>
          <w:sz w:val="14"/>
          <w:szCs w:val="14"/>
          <w:color w:val="auto"/>
        </w:rPr>
        <w:t>SECURITIES AND EXCHANGE COMMISSION</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Washington, D.C. 20549</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ANNUAL REPORT PURSUANT TO SECTION 13 OR 15(d) OF</w:t>
      </w:r>
    </w:p>
    <w:p>
      <w:pPr>
        <w:jc w:val="center"/>
        <w:spacing w:after="0"/>
        <w:rPr>
          <w:sz w:val="20"/>
          <w:szCs w:val="20"/>
          <w:color w:val="auto"/>
        </w:rPr>
      </w:pPr>
      <w:r>
        <w:rPr>
          <w:rFonts w:ascii="Arial" w:cs="Arial" w:eastAsia="Arial" w:hAnsi="Arial"/>
          <w:sz w:val="14"/>
          <w:szCs w:val="14"/>
          <w:color w:val="auto"/>
        </w:rPr>
        <w:t>THE SECURITIES EXCHANGE ACT OF 1934</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 the fiscal year ended December 31, 2011</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Commission file number 1-35166</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Fortune Brands Home &amp; Security, Inc.</w:t>
      </w:r>
    </w:p>
    <w:p>
      <w:pPr>
        <w:spacing w:after="0" w:line="99" w:lineRule="exact"/>
        <w:rPr>
          <w:sz w:val="24"/>
          <w:szCs w:val="24"/>
          <w:color w:val="auto"/>
        </w:rPr>
      </w:pPr>
    </w:p>
    <w:tbl>
      <w:tblPr>
        <w:tblLayout w:type="fixed"/>
        <w:tblInd w:w="460" w:type="dxa"/>
        <w:tblCellMar>
          <w:top w:w="0" w:type="dxa"/>
          <w:left w:w="0" w:type="dxa"/>
          <w:bottom w:w="0" w:type="dxa"/>
          <w:right w:w="0" w:type="dxa"/>
        </w:tblCellMar>
      </w:tblPr>
      <w:tr>
        <w:trPr>
          <w:trHeight w:val="162"/>
        </w:trPr>
        <w:tc>
          <w:tcPr>
            <w:tcW w:w="9280" w:type="dxa"/>
            <w:vAlign w:val="bottom"/>
            <w:gridSpan w:val="2"/>
          </w:tcPr>
          <w:p>
            <w:pPr>
              <w:jc w:val="center"/>
              <w:ind w:left="1167"/>
              <w:spacing w:after="0"/>
              <w:rPr>
                <w:sz w:val="20"/>
                <w:szCs w:val="20"/>
                <w:color w:val="auto"/>
              </w:rPr>
            </w:pPr>
            <w:r>
              <w:rPr>
                <w:rFonts w:ascii="Arial" w:cs="Arial" w:eastAsia="Arial" w:hAnsi="Arial"/>
                <w:sz w:val="14"/>
                <w:szCs w:val="14"/>
                <w:color w:val="auto"/>
                <w:w w:val="96"/>
              </w:rPr>
              <w:t>(Exact name of registrant as specified in its charter)</w:t>
            </w:r>
          </w:p>
        </w:tc>
      </w:tr>
      <w:tr>
        <w:trPr>
          <w:trHeight w:val="216"/>
        </w:trPr>
        <w:tc>
          <w:tcPr>
            <w:tcW w:w="6080" w:type="dxa"/>
            <w:vAlign w:val="bottom"/>
          </w:tcPr>
          <w:p>
            <w:pPr>
              <w:jc w:val="center"/>
              <w:ind w:right="247"/>
              <w:spacing w:after="0"/>
              <w:rPr>
                <w:sz w:val="20"/>
                <w:szCs w:val="20"/>
                <w:color w:val="auto"/>
              </w:rPr>
            </w:pPr>
            <w:r>
              <w:rPr>
                <w:rFonts w:ascii="Arial" w:cs="Arial" w:eastAsia="Arial" w:hAnsi="Arial"/>
                <w:sz w:val="14"/>
                <w:szCs w:val="14"/>
                <w:b w:val="1"/>
                <w:bCs w:val="1"/>
                <w:color w:val="auto"/>
                <w:w w:val="97"/>
              </w:rPr>
              <w:t>Delaware</w:t>
            </w:r>
          </w:p>
        </w:tc>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96"/>
              </w:rPr>
              <w:t>62-1411546</w:t>
            </w:r>
          </w:p>
        </w:tc>
      </w:tr>
      <w:tr>
        <w:trPr>
          <w:trHeight w:val="149"/>
        </w:trPr>
        <w:tc>
          <w:tcPr>
            <w:tcW w:w="6080" w:type="dxa"/>
            <w:vAlign w:val="bottom"/>
          </w:tcPr>
          <w:p>
            <w:pPr>
              <w:jc w:val="center"/>
              <w:ind w:right="247"/>
              <w:spacing w:after="0" w:line="149" w:lineRule="exact"/>
              <w:rPr>
                <w:sz w:val="20"/>
                <w:szCs w:val="20"/>
                <w:color w:val="auto"/>
              </w:rPr>
            </w:pPr>
            <w:r>
              <w:rPr>
                <w:rFonts w:ascii="Arial" w:cs="Arial" w:eastAsia="Arial" w:hAnsi="Arial"/>
                <w:sz w:val="14"/>
                <w:szCs w:val="14"/>
                <w:color w:val="auto"/>
                <w:w w:val="95"/>
              </w:rPr>
              <w:t>(State or other jurisdiction of</w:t>
            </w:r>
          </w:p>
        </w:tc>
        <w:tc>
          <w:tcPr>
            <w:tcW w:w="3200" w:type="dxa"/>
            <w:vAlign w:val="bottom"/>
          </w:tcPr>
          <w:p>
            <w:pPr>
              <w:jc w:val="center"/>
              <w:spacing w:after="0" w:line="149" w:lineRule="exact"/>
              <w:rPr>
                <w:sz w:val="20"/>
                <w:szCs w:val="20"/>
                <w:color w:val="auto"/>
              </w:rPr>
            </w:pPr>
            <w:r>
              <w:rPr>
                <w:rFonts w:ascii="Arial" w:cs="Arial" w:eastAsia="Arial" w:hAnsi="Arial"/>
                <w:sz w:val="14"/>
                <w:szCs w:val="14"/>
                <w:color w:val="auto"/>
                <w:w w:val="96"/>
              </w:rPr>
              <w:t>(IRS Employer</w:t>
            </w:r>
          </w:p>
        </w:tc>
      </w:tr>
      <w:tr>
        <w:trPr>
          <w:trHeight w:val="162"/>
        </w:trPr>
        <w:tc>
          <w:tcPr>
            <w:tcW w:w="6080" w:type="dxa"/>
            <w:vAlign w:val="bottom"/>
          </w:tcPr>
          <w:p>
            <w:pPr>
              <w:jc w:val="center"/>
              <w:ind w:right="247"/>
              <w:spacing w:after="0"/>
              <w:rPr>
                <w:sz w:val="20"/>
                <w:szCs w:val="20"/>
                <w:color w:val="auto"/>
              </w:rPr>
            </w:pPr>
            <w:r>
              <w:rPr>
                <w:rFonts w:ascii="Arial" w:cs="Arial" w:eastAsia="Arial" w:hAnsi="Arial"/>
                <w:sz w:val="14"/>
                <w:szCs w:val="14"/>
                <w:color w:val="auto"/>
                <w:w w:val="96"/>
              </w:rPr>
              <w:t>incorporation or organization)</w:t>
            </w:r>
          </w:p>
        </w:tc>
        <w:tc>
          <w:tcPr>
            <w:tcW w:w="3200" w:type="dxa"/>
            <w:vAlign w:val="bottom"/>
          </w:tcPr>
          <w:p>
            <w:pPr>
              <w:jc w:val="center"/>
              <w:spacing w:after="0"/>
              <w:rPr>
                <w:sz w:val="20"/>
                <w:szCs w:val="20"/>
                <w:color w:val="auto"/>
              </w:rPr>
            </w:pPr>
            <w:r>
              <w:rPr>
                <w:rFonts w:ascii="Arial" w:cs="Arial" w:eastAsia="Arial" w:hAnsi="Arial"/>
                <w:sz w:val="14"/>
                <w:szCs w:val="14"/>
                <w:color w:val="auto"/>
                <w:w w:val="97"/>
              </w:rPr>
              <w:t>Identification No.)</w:t>
            </w:r>
          </w:p>
        </w:tc>
      </w:tr>
      <w:tr>
        <w:trPr>
          <w:trHeight w:val="229"/>
        </w:trPr>
        <w:tc>
          <w:tcPr>
            <w:tcW w:w="9280" w:type="dxa"/>
            <w:vAlign w:val="bottom"/>
            <w:gridSpan w:val="2"/>
          </w:tcPr>
          <w:p>
            <w:pPr>
              <w:jc w:val="center"/>
              <w:ind w:left="1167"/>
              <w:spacing w:after="0"/>
              <w:rPr>
                <w:sz w:val="20"/>
                <w:szCs w:val="20"/>
                <w:color w:val="auto"/>
              </w:rPr>
            </w:pPr>
            <w:r>
              <w:rPr>
                <w:rFonts w:ascii="Arial" w:cs="Arial" w:eastAsia="Arial" w:hAnsi="Arial"/>
                <w:sz w:val="14"/>
                <w:szCs w:val="14"/>
                <w:b w:val="1"/>
                <w:bCs w:val="1"/>
                <w:color w:val="auto"/>
                <w:w w:val="96"/>
              </w:rPr>
              <w:t>520 Lake Cook Road, Deerfield, IL 60015-5611</w:t>
            </w:r>
          </w:p>
        </w:tc>
      </w:tr>
      <w:tr>
        <w:trPr>
          <w:trHeight w:val="162"/>
        </w:trPr>
        <w:tc>
          <w:tcPr>
            <w:tcW w:w="6080" w:type="dxa"/>
            <w:vAlign w:val="bottom"/>
          </w:tcPr>
          <w:p>
            <w:pPr>
              <w:ind w:left="3700"/>
              <w:spacing w:after="0"/>
              <w:rPr>
                <w:sz w:val="20"/>
                <w:szCs w:val="20"/>
                <w:color w:val="auto"/>
              </w:rPr>
            </w:pPr>
            <w:r>
              <w:rPr>
                <w:rFonts w:ascii="Arial" w:cs="Arial" w:eastAsia="Arial" w:hAnsi="Arial"/>
                <w:sz w:val="14"/>
                <w:szCs w:val="14"/>
                <w:color w:val="auto"/>
                <w:w w:val="98"/>
              </w:rPr>
              <w:t>(Address of principal executive offices)</w:t>
            </w:r>
          </w:p>
        </w:tc>
        <w:tc>
          <w:tcPr>
            <w:tcW w:w="3200" w:type="dxa"/>
            <w:vAlign w:val="bottom"/>
          </w:tcPr>
          <w:p>
            <w:pPr>
              <w:ind w:left="80"/>
              <w:spacing w:after="0"/>
              <w:rPr>
                <w:sz w:val="20"/>
                <w:szCs w:val="20"/>
                <w:color w:val="auto"/>
              </w:rPr>
            </w:pPr>
            <w:r>
              <w:rPr>
                <w:rFonts w:ascii="Arial" w:cs="Arial" w:eastAsia="Arial" w:hAnsi="Arial"/>
                <w:sz w:val="14"/>
                <w:szCs w:val="14"/>
                <w:color w:val="auto"/>
              </w:rPr>
              <w:t>(Zip Code)</w:t>
            </w:r>
          </w:p>
        </w:tc>
      </w:tr>
      <w:tr>
        <w:trPr>
          <w:trHeight w:val="230"/>
        </w:trPr>
        <w:tc>
          <w:tcPr>
            <w:tcW w:w="9280" w:type="dxa"/>
            <w:vAlign w:val="bottom"/>
            <w:gridSpan w:val="2"/>
          </w:tcPr>
          <w:p>
            <w:pPr>
              <w:jc w:val="center"/>
              <w:ind w:left="1167"/>
              <w:spacing w:after="0"/>
              <w:rPr>
                <w:sz w:val="20"/>
                <w:szCs w:val="20"/>
                <w:color w:val="auto"/>
              </w:rPr>
            </w:pPr>
            <w:r>
              <w:rPr>
                <w:rFonts w:ascii="Arial" w:cs="Arial" w:eastAsia="Arial" w:hAnsi="Arial"/>
                <w:sz w:val="14"/>
                <w:szCs w:val="14"/>
                <w:b w:val="1"/>
                <w:bCs w:val="1"/>
                <w:color w:val="auto"/>
                <w:w w:val="96"/>
              </w:rPr>
              <w:t>Registrant’s telephone number, including area code: (847) 484-4400</w:t>
            </w:r>
          </w:p>
        </w:tc>
      </w:tr>
      <w:tr>
        <w:trPr>
          <w:trHeight w:val="230"/>
        </w:trPr>
        <w:tc>
          <w:tcPr>
            <w:tcW w:w="9280" w:type="dxa"/>
            <w:vAlign w:val="bottom"/>
            <w:gridSpan w:val="2"/>
          </w:tcPr>
          <w:p>
            <w:pPr>
              <w:jc w:val="center"/>
              <w:ind w:left="1147"/>
              <w:spacing w:after="0"/>
              <w:rPr>
                <w:sz w:val="20"/>
                <w:szCs w:val="20"/>
                <w:color w:val="auto"/>
              </w:rPr>
            </w:pPr>
            <w:r>
              <w:rPr>
                <w:rFonts w:ascii="Arial" w:cs="Arial" w:eastAsia="Arial" w:hAnsi="Arial"/>
                <w:sz w:val="14"/>
                <w:szCs w:val="14"/>
                <w:b w:val="1"/>
                <w:bCs w:val="1"/>
                <w:color w:val="auto"/>
                <w:w w:val="96"/>
              </w:rPr>
              <w:t>Securities registered pursuant to Section 12(b) of the Act:</w:t>
            </w:r>
          </w:p>
        </w:tc>
      </w:tr>
      <w:tr>
        <w:trPr>
          <w:trHeight w:val="274"/>
        </w:trPr>
        <w:tc>
          <w:tcPr>
            <w:tcW w:w="6080" w:type="dxa"/>
            <w:vAlign w:val="bottom"/>
          </w:tcPr>
          <w:p>
            <w:pPr>
              <w:spacing w:after="0"/>
              <w:rPr>
                <w:sz w:val="23"/>
                <w:szCs w:val="23"/>
                <w:color w:val="auto"/>
              </w:rPr>
            </w:pPr>
          </w:p>
        </w:tc>
        <w:tc>
          <w:tcPr>
            <w:tcW w:w="3200" w:type="dxa"/>
            <w:vAlign w:val="bottom"/>
          </w:tcPr>
          <w:p>
            <w:pPr>
              <w:ind w:left="760"/>
              <w:spacing w:after="0"/>
              <w:rPr>
                <w:sz w:val="20"/>
                <w:szCs w:val="20"/>
                <w:color w:val="auto"/>
              </w:rPr>
            </w:pPr>
            <w:r>
              <w:rPr>
                <w:rFonts w:ascii="Arial" w:cs="Arial" w:eastAsia="Arial" w:hAnsi="Arial"/>
                <w:sz w:val="18"/>
                <w:szCs w:val="18"/>
                <w:color w:val="auto"/>
              </w:rPr>
              <w:t>Name of each exchange</w:t>
            </w:r>
          </w:p>
        </w:tc>
      </w:tr>
      <w:tr>
        <w:trPr>
          <w:trHeight w:val="224"/>
        </w:trPr>
        <w:tc>
          <w:tcPr>
            <w:tcW w:w="6080" w:type="dxa"/>
            <w:vAlign w:val="bottom"/>
          </w:tcPr>
          <w:p>
            <w:pPr>
              <w:spacing w:after="0"/>
              <w:rPr>
                <w:sz w:val="20"/>
                <w:szCs w:val="20"/>
                <w:color w:val="auto"/>
              </w:rPr>
            </w:pPr>
            <w:r>
              <w:rPr>
                <w:rFonts w:ascii="Arial" w:cs="Arial" w:eastAsia="Arial" w:hAnsi="Arial"/>
                <w:sz w:val="18"/>
                <w:szCs w:val="18"/>
                <w:color w:val="auto"/>
              </w:rPr>
              <w:t>Title of each class</w:t>
            </w:r>
          </w:p>
        </w:tc>
        <w:tc>
          <w:tcPr>
            <w:tcW w:w="3200" w:type="dxa"/>
            <w:vAlign w:val="bottom"/>
          </w:tcPr>
          <w:p>
            <w:pPr>
              <w:ind w:left="760"/>
              <w:spacing w:after="0"/>
              <w:rPr>
                <w:sz w:val="20"/>
                <w:szCs w:val="20"/>
                <w:color w:val="auto"/>
              </w:rPr>
            </w:pPr>
            <w:r>
              <w:rPr>
                <w:rFonts w:ascii="Arial" w:cs="Arial" w:eastAsia="Arial" w:hAnsi="Arial"/>
                <w:sz w:val="18"/>
                <w:szCs w:val="18"/>
                <w:color w:val="auto"/>
              </w:rPr>
              <w:t>on which registered</w:t>
            </w:r>
          </w:p>
        </w:tc>
      </w:tr>
      <w:tr>
        <w:trPr>
          <w:trHeight w:val="302"/>
        </w:trPr>
        <w:tc>
          <w:tcPr>
            <w:tcW w:w="6080" w:type="dxa"/>
            <w:vAlign w:val="bottom"/>
          </w:tcPr>
          <w:p>
            <w:pPr>
              <w:spacing w:after="0"/>
              <w:rPr>
                <w:sz w:val="20"/>
                <w:szCs w:val="20"/>
                <w:color w:val="auto"/>
              </w:rPr>
            </w:pPr>
            <w:r>
              <w:rPr>
                <w:rFonts w:ascii="Arial" w:cs="Arial" w:eastAsia="Arial" w:hAnsi="Arial"/>
                <w:sz w:val="18"/>
                <w:szCs w:val="18"/>
                <w:color w:val="auto"/>
              </w:rPr>
              <w:t>Common Stock, par value $0.01 per share</w:t>
            </w:r>
          </w:p>
        </w:tc>
        <w:tc>
          <w:tcPr>
            <w:tcW w:w="3200" w:type="dxa"/>
            <w:vAlign w:val="bottom"/>
          </w:tcPr>
          <w:p>
            <w:pPr>
              <w:ind w:left="760"/>
              <w:spacing w:after="0"/>
              <w:rPr>
                <w:sz w:val="20"/>
                <w:szCs w:val="20"/>
                <w:color w:val="auto"/>
              </w:rPr>
            </w:pPr>
            <w:r>
              <w:rPr>
                <w:rFonts w:ascii="Arial" w:cs="Arial" w:eastAsia="Arial" w:hAnsi="Arial"/>
                <w:sz w:val="18"/>
                <w:szCs w:val="18"/>
                <w:color w:val="auto"/>
                <w:w w:val="95"/>
              </w:rPr>
              <w:t>New York Stock Exchange, Inc.</w:t>
            </w:r>
          </w:p>
        </w:tc>
      </w:tr>
      <w:tr>
        <w:trPr>
          <w:trHeight w:val="211"/>
        </w:trPr>
        <w:tc>
          <w:tcPr>
            <w:tcW w:w="6080" w:type="dxa"/>
            <w:vAlign w:val="bottom"/>
          </w:tcPr>
          <w:p>
            <w:pPr>
              <w:spacing w:after="0"/>
              <w:rPr>
                <w:sz w:val="20"/>
                <w:szCs w:val="20"/>
                <w:color w:val="auto"/>
              </w:rPr>
            </w:pPr>
            <w:r>
              <w:rPr>
                <w:rFonts w:ascii="Arial" w:cs="Arial" w:eastAsia="Arial" w:hAnsi="Arial"/>
                <w:sz w:val="18"/>
                <w:szCs w:val="18"/>
                <w:color w:val="auto"/>
              </w:rPr>
              <w:t>Preferred Stock Purchase Rights</w:t>
            </w:r>
          </w:p>
        </w:tc>
        <w:tc>
          <w:tcPr>
            <w:tcW w:w="3200" w:type="dxa"/>
            <w:vAlign w:val="bottom"/>
          </w:tcPr>
          <w:p>
            <w:pPr>
              <w:ind w:left="760"/>
              <w:spacing w:after="0"/>
              <w:rPr>
                <w:sz w:val="20"/>
                <w:szCs w:val="20"/>
                <w:color w:val="auto"/>
              </w:rPr>
            </w:pPr>
            <w:r>
              <w:rPr>
                <w:rFonts w:ascii="Arial" w:cs="Arial" w:eastAsia="Arial" w:hAnsi="Arial"/>
                <w:sz w:val="18"/>
                <w:szCs w:val="18"/>
                <w:color w:val="auto"/>
                <w:w w:val="95"/>
              </w:rPr>
              <w:t>New York Stock Exchange, Inc.</w:t>
            </w:r>
          </w:p>
        </w:tc>
      </w:tr>
    </w:tbl>
    <w:p>
      <w:pPr>
        <w:spacing w:after="0" w:line="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ectPr>
          <w:pgSz w:w="11900" w:h="16838" w:orient="portrait"/>
          <w:cols w:equalWidth="0" w:num="1">
            <w:col w:w="11420"/>
          </w:cols>
          <w:pgMar w:left="240" w:top="230" w:right="239" w:bottom="1440" w:gutter="0" w:footer="0" w:header="0"/>
        </w:sectPr>
      </w:pPr>
    </w:p>
    <w:p>
      <w:pPr>
        <w:spacing w:after="0" w:line="8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4">
            <w:col w:w="9400" w:space="200"/>
            <w:col w:w="160" w:space="400"/>
            <w:col w:w="220" w:space="200"/>
            <w:col w:w="840"/>
          </w:cols>
          <w:pgMar w:left="240" w:top="230" w:right="239" w:bottom="1440" w:gutter="0" w:footer="0" w:header="0"/>
          <w:type w:val="continuous"/>
        </w:sectPr>
      </w:pPr>
    </w:p>
    <w:p>
      <w:pPr>
        <w:spacing w:after="0" w:line="4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 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81" w:lineRule="exact"/>
        <w:rPr>
          <w:sz w:val="24"/>
          <w:szCs w:val="24"/>
          <w:color w:val="auto"/>
        </w:rPr>
      </w:pPr>
    </w:p>
    <w:p>
      <w:pPr>
        <w:sectPr>
          <w:pgSz w:w="11900" w:h="16838" w:orient="portrait"/>
          <w:cols w:equalWidth="0" w:num="4">
            <w:col w:w="9520" w:space="200"/>
            <w:col w:w="140" w:space="400"/>
            <w:col w:w="220" w:space="200"/>
            <w:col w:w="740"/>
          </w:cols>
          <w:pgMar w:left="240" w:top="230" w:right="239" w:bottom="1440" w:gutter="0" w:footer="0" w:header="0"/>
          <w:type w:val="continuous"/>
        </w:sectPr>
      </w:pPr>
    </w:p>
    <w:p>
      <w:pPr>
        <w:jc w:val="both"/>
        <w:ind w:right="180"/>
        <w:spacing w:after="0" w:line="23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7" w:lineRule="exact"/>
        <w:tabs>
          <w:tab w:leader="none" w:pos="460" w:val="left"/>
          <w:tab w:leader="none" w:pos="1020" w:val="left"/>
          <w:tab w:leader="none" w:pos="1440" w:val="left"/>
        </w:tabs>
        <w:rPr>
          <w:sz w:val="20"/>
          <w:szCs w:val="20"/>
          <w:color w:val="auto"/>
        </w:rPr>
      </w:pPr>
      <w:r>
        <w:rPr>
          <w:rFonts w:ascii="Arial" w:cs="Arial" w:eastAsia="Arial" w:hAnsi="Arial"/>
          <w:sz w:val="18"/>
          <w:szCs w:val="18"/>
          <w:color w:val="auto"/>
        </w:rPr>
        <w:t>Yes</w:t>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94" w:lineRule="exact"/>
        <w:rPr>
          <w:sz w:val="24"/>
          <w:szCs w:val="24"/>
          <w:color w:val="auto"/>
        </w:rPr>
      </w:pPr>
    </w:p>
    <w:p>
      <w:pPr>
        <w:spacing w:after="0" w:line="21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ind w:right="180"/>
        <w:spacing w:after="0" w:line="233"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Annual Report on Form 10-K or any amendment to this Annual Report on</w:t>
      </w:r>
    </w:p>
    <w:p>
      <w:pPr>
        <w:spacing w:after="0" w:line="1" w:lineRule="exact"/>
        <w:rPr>
          <w:sz w:val="24"/>
          <w:szCs w:val="24"/>
          <w:color w:val="auto"/>
        </w:rPr>
      </w:pPr>
    </w:p>
    <w:p>
      <w:pPr>
        <w:spacing w:after="0" w:line="207" w:lineRule="exact"/>
        <w:tabs>
          <w:tab w:leader="none" w:pos="1260" w:val="left"/>
        </w:tabs>
        <w:rPr>
          <w:sz w:val="20"/>
          <w:szCs w:val="20"/>
          <w:color w:val="auto"/>
        </w:rPr>
      </w:pPr>
      <w:r>
        <w:rPr>
          <w:rFonts w:ascii="Arial" w:cs="Arial" w:eastAsia="Arial" w:hAnsi="Arial"/>
          <w:sz w:val="18"/>
          <w:szCs w:val="18"/>
          <w:color w:val="auto"/>
        </w:rPr>
        <w:t>Form 10-K.</w:t>
      </w:r>
      <w:r>
        <w:rPr>
          <w:sz w:val="20"/>
          <w:szCs w:val="20"/>
          <w:color w:val="auto"/>
        </w:rPr>
        <w:tab/>
      </w:r>
      <w:r>
        <w:rPr>
          <w:rFonts w:ascii="MS PGothic" w:cs="MS PGothic" w:eastAsia="MS PGothic" w:hAnsi="MS PGothic"/>
          <w:sz w:val="16"/>
          <w:szCs w:val="16"/>
          <w:color w:val="auto"/>
        </w:rPr>
        <w:t>☒</w:t>
      </w:r>
    </w:p>
    <w:p>
      <w:pPr>
        <w:spacing w:after="0" w:line="94" w:lineRule="exact"/>
        <w:rPr>
          <w:sz w:val="24"/>
          <w:szCs w:val="24"/>
          <w:color w:val="auto"/>
        </w:rPr>
      </w:pPr>
    </w:p>
    <w:p>
      <w:pPr>
        <w:ind w:right="500"/>
        <w:spacing w:after="0" w:line="207" w:lineRule="exact"/>
        <w:rPr>
          <w:sz w:val="20"/>
          <w:szCs w:val="20"/>
          <w:color w:val="auto"/>
        </w:rPr>
      </w:pPr>
      <w:r>
        <w:rPr>
          <w:rFonts w:ascii="Arial" w:cs="Arial" w:eastAsia="Arial" w:hAnsi="Arial"/>
          <w:sz w:val="18"/>
          <w:szCs w:val="18"/>
          <w:color w:val="auto"/>
        </w:rPr>
        <w:t xml:space="preserve">Indicate by check mark whether the registrant is a large accelerated filer, an accelerated filer, a non-accelerated filer or a smaller reporting company. See the definitions of “large accelerated filer,” “accelerated filer” and “small reporting company” in Rule 12b-2 of the Exchange Act. 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jc w:val="center"/>
        <w:ind w:right="-19"/>
        <w:spacing w:after="0" w:line="235" w:lineRule="auto"/>
        <w:rPr>
          <w:sz w:val="20"/>
          <w:szCs w:val="20"/>
          <w:color w:val="auto"/>
        </w:rPr>
      </w:pPr>
      <w:r>
        <w:rPr>
          <w:rFonts w:ascii="Arial" w:cs="Arial" w:eastAsia="Arial" w:hAnsi="Arial"/>
          <w:sz w:val="18"/>
          <w:szCs w:val="18"/>
          <w:color w:val="auto"/>
        </w:rPr>
        <w:t>(Do not check if a smaller</w:t>
      </w:r>
    </w:p>
    <w:p>
      <w:pPr>
        <w:jc w:val="center"/>
        <w:ind w:right="-19"/>
        <w:spacing w:after="0"/>
        <w:rPr>
          <w:sz w:val="20"/>
          <w:szCs w:val="20"/>
          <w:color w:val="auto"/>
        </w:rPr>
      </w:pPr>
      <w:r>
        <w:rPr>
          <w:rFonts w:ascii="Arial" w:cs="Arial" w:eastAsia="Arial" w:hAnsi="Arial"/>
          <w:sz w:val="18"/>
          <w:szCs w:val="18"/>
          <w:color w:val="auto"/>
        </w:rPr>
        <w:t>reporting company)</w:t>
      </w:r>
    </w:p>
    <w:p>
      <w:pPr>
        <w:spacing w:after="0" w:line="7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207" w:lineRule="exact"/>
        <w:tabs>
          <w:tab w:leader="none" w:pos="460" w:val="left"/>
          <w:tab w:leader="none" w:pos="1020" w:val="left"/>
          <w:tab w:leader="none" w:pos="1440" w:val="left"/>
        </w:tabs>
        <w:rPr>
          <w:sz w:val="20"/>
          <w:szCs w:val="20"/>
          <w:color w:val="auto"/>
        </w:rPr>
      </w:pPr>
      <w:r>
        <w:rPr>
          <w:rFonts w:ascii="Arial" w:cs="Arial" w:eastAsia="Arial" w:hAnsi="Arial"/>
          <w:sz w:val="18"/>
          <w:szCs w:val="18"/>
          <w:color w:val="auto"/>
        </w:rPr>
        <w:t>Yes</w:t>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90" w:lineRule="exact"/>
        <w:rPr>
          <w:sz w:val="24"/>
          <w:szCs w:val="24"/>
          <w:color w:val="auto"/>
        </w:rPr>
      </w:pPr>
    </w:p>
    <w:p>
      <w:pPr>
        <w:ind w:right="200"/>
        <w:spacing w:after="0" w:line="239" w:lineRule="auto"/>
        <w:rPr>
          <w:sz w:val="20"/>
          <w:szCs w:val="20"/>
          <w:color w:val="auto"/>
        </w:rPr>
      </w:pPr>
      <w:r>
        <w:rPr>
          <w:rFonts w:ascii="Arial" w:cs="Arial" w:eastAsia="Arial" w:hAnsi="Arial"/>
          <w:sz w:val="18"/>
          <w:szCs w:val="18"/>
          <w:color w:val="auto"/>
        </w:rPr>
        <w:t>As of June 30, 2011, the registrant’s common stock was not publicly traded. The number of shares outstanding of the registrant’s common stock, par value $0.01 per share, at February 3, 2012, was 157,865,288.</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DOCUMENTS INCORPORATED BY REFERENCE</w:t>
      </w:r>
    </w:p>
    <w:p>
      <w:pPr>
        <w:spacing w:after="0" w:line="77" w:lineRule="exact"/>
        <w:rPr>
          <w:sz w:val="20"/>
          <w:szCs w:val="20"/>
          <w:color w:val="auto"/>
        </w:rPr>
      </w:pPr>
    </w:p>
    <w:p>
      <w:pPr>
        <w:ind w:right="160"/>
        <w:spacing w:after="0" w:line="299" w:lineRule="auto"/>
        <w:rPr>
          <w:sz w:val="20"/>
          <w:szCs w:val="20"/>
          <w:color w:val="auto"/>
        </w:rPr>
      </w:pPr>
      <w:r>
        <w:rPr>
          <w:rFonts w:ascii="Arial" w:cs="Arial" w:eastAsia="Arial" w:hAnsi="Arial"/>
          <w:sz w:val="16"/>
          <w:szCs w:val="16"/>
          <w:color w:val="auto"/>
        </w:rPr>
        <w:t>Certain information contained in the Registrant’s Proxy Statement for its Annual Meeting of Stockholders to be held on April 23, 2012 (to be filed not later than 120 days after the end of registrant’s fiscal year) (the “2012 Proxy Statement”) is incorporated by reference into Part III hereof.</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80" w:type="dxa"/>
            <w:vAlign w:val="bottom"/>
            <w:gridSpan w:val="9"/>
          </w:tcPr>
          <w:p>
            <w:pPr>
              <w:ind w:left="20"/>
              <w:spacing w:after="0"/>
              <w:rPr>
                <w:sz w:val="20"/>
                <w:szCs w:val="20"/>
                <w:color w:val="auto"/>
              </w:rPr>
            </w:pPr>
            <w:r>
              <w:rPr>
                <w:rFonts w:ascii="Arial" w:cs="Arial" w:eastAsia="Arial" w:hAnsi="Arial"/>
                <w:sz w:val="18"/>
                <w:szCs w:val="18"/>
                <w:b w:val="1"/>
                <w:bCs w:val="1"/>
                <w:color w:val="auto"/>
              </w:rPr>
              <w:t>Form 10-K Table of Contents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3"/>
        </w:trPr>
        <w:tc>
          <w:tcPr>
            <w:tcW w:w="1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240" w:type="dxa"/>
            <w:vAlign w:val="bottom"/>
            <w:gridSpan w:val="2"/>
          </w:tcPr>
          <w:p>
            <w:pPr>
              <w:spacing w:after="0" w:line="172" w:lineRule="exact"/>
              <w:rPr>
                <w:sz w:val="20"/>
                <w:szCs w:val="20"/>
                <w:color w:val="auto"/>
              </w:rPr>
            </w:pPr>
            <w:r>
              <w:rPr>
                <w:rFonts w:ascii="Arial" w:cs="Arial" w:eastAsia="Arial" w:hAnsi="Arial"/>
                <w:sz w:val="18"/>
                <w:szCs w:val="18"/>
                <w:color w:val="auto"/>
              </w:rPr>
              <w:t>Item 1.</w:t>
            </w:r>
          </w:p>
        </w:tc>
        <w:tc>
          <w:tcPr>
            <w:tcW w:w="8940" w:type="dxa"/>
            <w:vAlign w:val="bottom"/>
            <w:gridSpan w:val="27"/>
          </w:tcPr>
          <w:p>
            <w:pPr>
              <w:spacing w:after="0" w:line="172"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1140" w:type="dxa"/>
            <w:vAlign w:val="bottom"/>
          </w:tcPr>
          <w:p>
            <w:pPr>
              <w:jc w:val="right"/>
              <w:spacing w:after="0" w:line="17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gridSpan w:val="2"/>
          </w:tcPr>
          <w:p>
            <w:pPr>
              <w:spacing w:after="0" w:line="182" w:lineRule="exact"/>
              <w:rPr>
                <w:sz w:val="20"/>
                <w:szCs w:val="20"/>
                <w:color w:val="auto"/>
              </w:rPr>
            </w:pPr>
            <w:r>
              <w:rPr>
                <w:rFonts w:ascii="Arial" w:cs="Arial" w:eastAsia="Arial" w:hAnsi="Arial"/>
                <w:sz w:val="18"/>
                <w:szCs w:val="18"/>
                <w:color w:val="auto"/>
              </w:rPr>
              <w:t>Item 1A.</w:t>
            </w:r>
          </w:p>
        </w:tc>
        <w:tc>
          <w:tcPr>
            <w:tcW w:w="980" w:type="dxa"/>
            <w:vAlign w:val="bottom"/>
            <w:tcBorders>
              <w:bottom w:val="single" w:sz="8" w:color="0000EE"/>
            </w:tcBorders>
            <w:gridSpan w:val="4"/>
          </w:tcPr>
          <w:p>
            <w:pPr>
              <w:spacing w:after="0" w:line="182" w:lineRule="exact"/>
              <w:rPr>
                <w:rFonts w:ascii="Arial" w:cs="Arial" w:eastAsia="Arial" w:hAnsi="Arial"/>
                <w:sz w:val="18"/>
                <w:szCs w:val="18"/>
                <w:color w:val="0000EE"/>
                <w:w w:val="95"/>
              </w:rPr>
            </w:pPr>
            <w:hyperlink w:anchor="page10">
              <w:r>
                <w:rPr>
                  <w:rFonts w:ascii="Arial" w:cs="Arial" w:eastAsia="Arial" w:hAnsi="Arial"/>
                  <w:sz w:val="18"/>
                  <w:szCs w:val="18"/>
                  <w:color w:val="0000EE"/>
                  <w:w w:val="95"/>
                </w:rPr>
                <w:t>Risk Factors</w:t>
              </w:r>
            </w:hyperlink>
          </w:p>
        </w:tc>
        <w:tc>
          <w:tcPr>
            <w:tcW w:w="7960" w:type="dxa"/>
            <w:vAlign w:val="bottom"/>
            <w:gridSpan w:val="23"/>
          </w:tcPr>
          <w:p>
            <w:pPr>
              <w:spacing w:after="0"/>
              <w:rPr>
                <w:sz w:val="15"/>
                <w:szCs w:val="15"/>
                <w:color w:val="auto"/>
              </w:rPr>
            </w:pP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1240" w:type="dxa"/>
            <w:vAlign w:val="bottom"/>
            <w:gridSpan w:val="2"/>
          </w:tcPr>
          <w:p>
            <w:pPr>
              <w:spacing w:after="0" w:line="182" w:lineRule="exact"/>
              <w:rPr>
                <w:sz w:val="20"/>
                <w:szCs w:val="20"/>
                <w:color w:val="auto"/>
              </w:rPr>
            </w:pPr>
            <w:r>
              <w:rPr>
                <w:rFonts w:ascii="Arial" w:cs="Arial" w:eastAsia="Arial" w:hAnsi="Arial"/>
                <w:sz w:val="18"/>
                <w:szCs w:val="18"/>
                <w:color w:val="auto"/>
              </w:rPr>
              <w:t>Item 1B.</w:t>
            </w:r>
          </w:p>
        </w:tc>
        <w:tc>
          <w:tcPr>
            <w:tcW w:w="8940" w:type="dxa"/>
            <w:vAlign w:val="bottom"/>
            <w:gridSpan w:val="27"/>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Unresolved Staff Comments</w:t>
              </w:r>
            </w:hyperlink>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124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80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5"/>
              </w:rPr>
            </w:pPr>
            <w:hyperlink w:anchor="page21">
              <w:r>
                <w:rPr>
                  <w:rFonts w:ascii="Arial" w:cs="Arial" w:eastAsia="Arial" w:hAnsi="Arial"/>
                  <w:sz w:val="18"/>
                  <w:szCs w:val="18"/>
                  <w:color w:val="0000EE"/>
                  <w:w w:val="95"/>
                </w:rPr>
                <w:t>Properties</w:t>
              </w:r>
            </w:hyperlink>
          </w:p>
        </w:tc>
        <w:tc>
          <w:tcPr>
            <w:tcW w:w="1380" w:type="dxa"/>
            <w:vAlign w:val="bottom"/>
            <w:tcBorders>
              <w:top w:val="single" w:sz="8" w:color="0000EE"/>
            </w:tcBorders>
            <w:gridSpan w:val="9"/>
          </w:tcPr>
          <w:p>
            <w:pPr>
              <w:spacing w:after="0"/>
              <w:rPr>
                <w:sz w:val="15"/>
                <w:szCs w:val="15"/>
                <w:color w:val="auto"/>
              </w:rPr>
            </w:pPr>
          </w:p>
        </w:tc>
        <w:tc>
          <w:tcPr>
            <w:tcW w:w="6760" w:type="dxa"/>
            <w:vAlign w:val="bottom"/>
            <w:gridSpan w:val="15"/>
          </w:tcPr>
          <w:p>
            <w:pPr>
              <w:spacing w:after="0"/>
              <w:rPr>
                <w:sz w:val="15"/>
                <w:szCs w:val="15"/>
                <w:color w:val="auto"/>
              </w:rPr>
            </w:pP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124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1460" w:type="dxa"/>
            <w:vAlign w:val="bottom"/>
            <w:tcBorders>
              <w:bottom w:val="single" w:sz="8" w:color="0000EE"/>
            </w:tcBorders>
            <w:gridSpan w:val="6"/>
          </w:tcPr>
          <w:p>
            <w:pPr>
              <w:spacing w:after="0" w:line="182" w:lineRule="exact"/>
              <w:rPr>
                <w:rFonts w:ascii="Arial" w:cs="Arial" w:eastAsia="Arial" w:hAnsi="Arial"/>
                <w:sz w:val="18"/>
                <w:szCs w:val="18"/>
                <w:color w:val="0000EE"/>
                <w:w w:val="96"/>
              </w:rPr>
            </w:pPr>
            <w:hyperlink w:anchor="page21">
              <w:r>
                <w:rPr>
                  <w:rFonts w:ascii="Arial" w:cs="Arial" w:eastAsia="Arial" w:hAnsi="Arial"/>
                  <w:sz w:val="18"/>
                  <w:szCs w:val="18"/>
                  <w:color w:val="0000EE"/>
                  <w:w w:val="96"/>
                </w:rPr>
                <w:t>Legal Proceedings</w:t>
              </w:r>
            </w:hyperlink>
          </w:p>
        </w:tc>
        <w:tc>
          <w:tcPr>
            <w:tcW w:w="7480" w:type="dxa"/>
            <w:vAlign w:val="bottom"/>
            <w:gridSpan w:val="21"/>
          </w:tcPr>
          <w:p>
            <w:pPr>
              <w:spacing w:after="0"/>
              <w:rPr>
                <w:sz w:val="15"/>
                <w:szCs w:val="15"/>
                <w:color w:val="auto"/>
              </w:rPr>
            </w:pP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124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1880" w:type="dxa"/>
            <w:vAlign w:val="bottom"/>
            <w:tcBorders>
              <w:bottom w:val="single" w:sz="8" w:color="0000EE"/>
            </w:tcBorders>
            <w:gridSpan w:val="9"/>
          </w:tcPr>
          <w:p>
            <w:pPr>
              <w:spacing w:after="0" w:line="182" w:lineRule="exact"/>
              <w:rPr>
                <w:sz w:val="20"/>
                <w:szCs w:val="20"/>
                <w:color w:val="auto"/>
              </w:rPr>
            </w:pPr>
            <w:r>
              <w:rPr>
                <w:rFonts w:ascii="Arial" w:cs="Arial" w:eastAsia="Arial" w:hAnsi="Arial"/>
                <w:sz w:val="18"/>
                <w:szCs w:val="18"/>
                <w:color w:val="0000EE"/>
                <w:w w:val="96"/>
              </w:rPr>
              <w:t>Mine Safety Disclosures</w:t>
            </w:r>
          </w:p>
        </w:tc>
        <w:tc>
          <w:tcPr>
            <w:tcW w:w="7060" w:type="dxa"/>
            <w:vAlign w:val="bottom"/>
            <w:gridSpan w:val="18"/>
          </w:tcPr>
          <w:p>
            <w:pPr>
              <w:spacing w:after="0"/>
              <w:rPr>
                <w:sz w:val="15"/>
                <w:szCs w:val="15"/>
                <w:color w:val="auto"/>
              </w:rPr>
            </w:pP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1240" w:type="dxa"/>
            <w:vAlign w:val="bottom"/>
            <w:gridSpan w:val="2"/>
          </w:tcPr>
          <w:p>
            <w:pPr>
              <w:spacing w:after="0" w:line="182" w:lineRule="exact"/>
              <w:rPr>
                <w:sz w:val="20"/>
                <w:szCs w:val="20"/>
                <w:color w:val="auto"/>
              </w:rPr>
            </w:pPr>
            <w:r>
              <w:rPr>
                <w:rFonts w:ascii="Arial" w:cs="Arial" w:eastAsia="Arial" w:hAnsi="Arial"/>
                <w:sz w:val="18"/>
                <w:szCs w:val="18"/>
                <w:color w:val="auto"/>
              </w:rPr>
              <w:t>Item 4A.</w:t>
            </w:r>
          </w:p>
        </w:tc>
        <w:tc>
          <w:tcPr>
            <w:tcW w:w="8940" w:type="dxa"/>
            <w:vAlign w:val="bottom"/>
            <w:gridSpan w:val="27"/>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Executive Officers of the Registrant</w:t>
              </w:r>
            </w:hyperlink>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48"/>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2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240" w:type="dxa"/>
            <w:vAlign w:val="bottom"/>
            <w:gridSpan w:val="2"/>
          </w:tcPr>
          <w:p>
            <w:pPr>
              <w:spacing w:after="0" w:line="172" w:lineRule="exact"/>
              <w:rPr>
                <w:sz w:val="20"/>
                <w:szCs w:val="20"/>
                <w:color w:val="auto"/>
              </w:rPr>
            </w:pPr>
            <w:r>
              <w:rPr>
                <w:rFonts w:ascii="Arial" w:cs="Arial" w:eastAsia="Arial" w:hAnsi="Arial"/>
                <w:sz w:val="18"/>
                <w:szCs w:val="18"/>
                <w:color w:val="auto"/>
              </w:rPr>
              <w:t>Item 5.</w:t>
            </w:r>
          </w:p>
        </w:tc>
        <w:tc>
          <w:tcPr>
            <w:tcW w:w="8940" w:type="dxa"/>
            <w:vAlign w:val="bottom"/>
            <w:tcBorders>
              <w:bottom w:val="single" w:sz="8" w:color="0000EE"/>
            </w:tcBorders>
            <w:gridSpan w:val="27"/>
          </w:tcPr>
          <w:p>
            <w:pPr>
              <w:spacing w:after="0" w:line="172" w:lineRule="exact"/>
              <w:rPr>
                <w:rFonts w:ascii="Arial" w:cs="Arial" w:eastAsia="Arial" w:hAnsi="Arial"/>
                <w:sz w:val="18"/>
                <w:szCs w:val="18"/>
                <w:color w:val="0000EE"/>
                <w:w w:val="97"/>
              </w:rPr>
            </w:pPr>
            <w:hyperlink w:anchor="page24">
              <w:r>
                <w:rPr>
                  <w:rFonts w:ascii="Arial" w:cs="Arial" w:eastAsia="Arial" w:hAnsi="Arial"/>
                  <w:sz w:val="18"/>
                  <w:szCs w:val="18"/>
                  <w:color w:val="0000EE"/>
                  <w:w w:val="97"/>
                </w:rPr>
                <w:t>Market for the Registrant’s Common Equity, Related Stockholder Matters and Issuer Purchases of Equity Securities</w:t>
              </w:r>
            </w:hyperlink>
          </w:p>
        </w:tc>
        <w:tc>
          <w:tcPr>
            <w:tcW w:w="1140" w:type="dxa"/>
            <w:vAlign w:val="bottom"/>
          </w:tcPr>
          <w:p>
            <w:pPr>
              <w:jc w:val="right"/>
              <w:spacing w:after="0" w:line="17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1240" w:type="dxa"/>
            <w:vAlign w:val="bottom"/>
            <w:gridSpan w:val="2"/>
          </w:tcPr>
          <w:p>
            <w:pPr>
              <w:spacing w:after="0" w:line="182" w:lineRule="exact"/>
              <w:rPr>
                <w:sz w:val="20"/>
                <w:szCs w:val="20"/>
                <w:color w:val="auto"/>
              </w:rPr>
            </w:pPr>
            <w:r>
              <w:rPr>
                <w:rFonts w:ascii="Arial" w:cs="Arial" w:eastAsia="Arial" w:hAnsi="Arial"/>
                <w:sz w:val="18"/>
                <w:szCs w:val="18"/>
                <w:color w:val="auto"/>
              </w:rPr>
              <w:t>Item 6.</w:t>
            </w:r>
          </w:p>
        </w:tc>
        <w:tc>
          <w:tcPr>
            <w:tcW w:w="1860" w:type="dxa"/>
            <w:vAlign w:val="bottom"/>
            <w:tcBorders>
              <w:bottom w:val="single" w:sz="8" w:color="0000EE"/>
            </w:tcBorders>
            <w:gridSpan w:val="8"/>
          </w:tcPr>
          <w:p>
            <w:pPr>
              <w:spacing w:after="0" w:line="182" w:lineRule="exact"/>
              <w:rPr>
                <w:rFonts w:ascii="Arial" w:cs="Arial" w:eastAsia="Arial" w:hAnsi="Arial"/>
                <w:sz w:val="18"/>
                <w:szCs w:val="18"/>
                <w:color w:val="0000EE"/>
                <w:w w:val="96"/>
              </w:rPr>
            </w:pPr>
            <w:hyperlink w:anchor="page26">
              <w:r>
                <w:rPr>
                  <w:rFonts w:ascii="Arial" w:cs="Arial" w:eastAsia="Arial" w:hAnsi="Arial"/>
                  <w:sz w:val="18"/>
                  <w:szCs w:val="18"/>
                  <w:color w:val="0000EE"/>
                  <w:w w:val="96"/>
                </w:rPr>
                <w:t>Selected Financial Data</w:t>
              </w:r>
            </w:hyperlink>
          </w:p>
        </w:tc>
        <w:tc>
          <w:tcPr>
            <w:tcW w:w="7080" w:type="dxa"/>
            <w:vAlign w:val="bottom"/>
            <w:gridSpan w:val="19"/>
          </w:tcPr>
          <w:p>
            <w:pPr>
              <w:spacing w:after="0"/>
              <w:rPr>
                <w:sz w:val="15"/>
                <w:szCs w:val="15"/>
                <w:color w:val="auto"/>
              </w:rPr>
            </w:pP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1240" w:type="dxa"/>
            <w:vAlign w:val="bottom"/>
            <w:gridSpan w:val="2"/>
          </w:tcPr>
          <w:p>
            <w:pPr>
              <w:spacing w:after="0" w:line="182" w:lineRule="exact"/>
              <w:rPr>
                <w:sz w:val="20"/>
                <w:szCs w:val="20"/>
                <w:color w:val="auto"/>
              </w:rPr>
            </w:pPr>
            <w:r>
              <w:rPr>
                <w:rFonts w:ascii="Arial" w:cs="Arial" w:eastAsia="Arial" w:hAnsi="Arial"/>
                <w:sz w:val="18"/>
                <w:szCs w:val="18"/>
                <w:color w:val="auto"/>
              </w:rPr>
              <w:t>Item 7.</w:t>
            </w:r>
          </w:p>
        </w:tc>
        <w:tc>
          <w:tcPr>
            <w:tcW w:w="8940" w:type="dxa"/>
            <w:vAlign w:val="bottom"/>
            <w:gridSpan w:val="27"/>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90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Results of Operations</w:t>
              </w:r>
            </w:hyperlink>
          </w:p>
        </w:tc>
        <w:tc>
          <w:tcPr>
            <w:tcW w:w="2040" w:type="dxa"/>
            <w:vAlign w:val="bottom"/>
            <w:gridSpan w:val="3"/>
          </w:tcPr>
          <w:p>
            <w:pPr>
              <w:spacing w:after="0"/>
              <w:rPr>
                <w:sz w:val="15"/>
                <w:szCs w:val="15"/>
                <w:color w:val="auto"/>
              </w:rPr>
            </w:pP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720" w:type="dxa"/>
            <w:vAlign w:val="bottom"/>
            <w:gridSpan w:val="26"/>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2011 Compared to 2010</w:t>
              </w:r>
            </w:hyperlink>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720" w:type="dxa"/>
            <w:vAlign w:val="bottom"/>
            <w:gridSpan w:val="26"/>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2010 Compared to 2009</w:t>
              </w:r>
            </w:hyperlink>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80" w:type="dxa"/>
            <w:vAlign w:val="bottom"/>
            <w:tcBorders>
              <w:bottom w:val="single" w:sz="8" w:color="0000EE"/>
            </w:tcBorders>
            <w:gridSpan w:val="15"/>
          </w:tcPr>
          <w:p>
            <w:pPr>
              <w:spacing w:after="0" w:line="182" w:lineRule="exact"/>
              <w:rPr>
                <w:rFonts w:ascii="Arial" w:cs="Arial" w:eastAsia="Arial" w:hAnsi="Arial"/>
                <w:sz w:val="18"/>
                <w:szCs w:val="18"/>
                <w:color w:val="0000EE"/>
                <w:w w:val="97"/>
              </w:rPr>
            </w:pPr>
            <w:hyperlink w:anchor="page37">
              <w:r>
                <w:rPr>
                  <w:rFonts w:ascii="Arial" w:cs="Arial" w:eastAsia="Arial" w:hAnsi="Arial"/>
                  <w:sz w:val="18"/>
                  <w:szCs w:val="18"/>
                  <w:color w:val="0000EE"/>
                  <w:w w:val="97"/>
                </w:rPr>
                <w:t>Results of Operations by Segment</w:t>
              </w:r>
            </w:hyperlink>
          </w:p>
        </w:tc>
        <w:tc>
          <w:tcPr>
            <w:tcW w:w="6260" w:type="dxa"/>
            <w:vAlign w:val="bottom"/>
            <w:gridSpan w:val="12"/>
          </w:tcPr>
          <w:p>
            <w:pPr>
              <w:spacing w:after="0"/>
              <w:rPr>
                <w:sz w:val="15"/>
                <w:szCs w:val="15"/>
                <w:color w:val="auto"/>
              </w:rPr>
            </w:pP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940" w:type="dxa"/>
            <w:vAlign w:val="bottom"/>
            <w:gridSpan w:val="27"/>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Liquidity and Capital Resources</w:t>
              </w:r>
            </w:hyperlink>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940" w:type="dxa"/>
            <w:vAlign w:val="bottom"/>
            <w:gridSpan w:val="27"/>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Critical Accounting Policies and Estimates</w:t>
              </w:r>
            </w:hyperlink>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gridSpan w:val="2"/>
          </w:tcPr>
          <w:p>
            <w:pPr>
              <w:spacing w:after="0" w:line="182" w:lineRule="exact"/>
              <w:rPr>
                <w:sz w:val="20"/>
                <w:szCs w:val="20"/>
                <w:color w:val="auto"/>
              </w:rPr>
            </w:pPr>
            <w:r>
              <w:rPr>
                <w:rFonts w:ascii="Arial" w:cs="Arial" w:eastAsia="Arial" w:hAnsi="Arial"/>
                <w:sz w:val="18"/>
                <w:szCs w:val="18"/>
                <w:color w:val="auto"/>
              </w:rPr>
              <w:t>Item 7A.</w:t>
            </w:r>
          </w:p>
        </w:tc>
        <w:tc>
          <w:tcPr>
            <w:tcW w:w="4600" w:type="dxa"/>
            <w:vAlign w:val="bottom"/>
            <w:tcBorders>
              <w:bottom w:val="single" w:sz="8" w:color="0000EE"/>
            </w:tcBorders>
            <w:gridSpan w:val="22"/>
          </w:tcPr>
          <w:p>
            <w:pPr>
              <w:spacing w:after="0" w:line="182" w:lineRule="exact"/>
              <w:rPr>
                <w:rFonts w:ascii="Arial" w:cs="Arial" w:eastAsia="Arial" w:hAnsi="Arial"/>
                <w:sz w:val="18"/>
                <w:szCs w:val="18"/>
                <w:color w:val="0000EE"/>
                <w:w w:val="97"/>
              </w:rPr>
            </w:pPr>
            <w:hyperlink w:anchor="page49">
              <w:r>
                <w:rPr>
                  <w:rFonts w:ascii="Arial" w:cs="Arial" w:eastAsia="Arial" w:hAnsi="Arial"/>
                  <w:sz w:val="18"/>
                  <w:szCs w:val="18"/>
                  <w:color w:val="0000EE"/>
                  <w:w w:val="97"/>
                </w:rPr>
                <w:t>Quantitative and Qualitative Disclosures About Market Risk</w:t>
              </w:r>
            </w:hyperlink>
          </w:p>
        </w:tc>
        <w:tc>
          <w:tcPr>
            <w:tcW w:w="4340" w:type="dxa"/>
            <w:vAlign w:val="bottom"/>
            <w:gridSpan w:val="5"/>
          </w:tcPr>
          <w:p>
            <w:pPr>
              <w:spacing w:after="0"/>
              <w:rPr>
                <w:sz w:val="15"/>
                <w:szCs w:val="15"/>
                <w:color w:val="auto"/>
              </w:rPr>
            </w:pP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83"/>
        </w:trPr>
        <w:tc>
          <w:tcPr>
            <w:tcW w:w="1240" w:type="dxa"/>
            <w:vAlign w:val="bottom"/>
            <w:gridSpan w:val="2"/>
          </w:tcPr>
          <w:p>
            <w:pPr>
              <w:spacing w:after="0" w:line="182" w:lineRule="exact"/>
              <w:rPr>
                <w:sz w:val="20"/>
                <w:szCs w:val="20"/>
                <w:color w:val="auto"/>
              </w:rPr>
            </w:pPr>
            <w:r>
              <w:rPr>
                <w:rFonts w:ascii="Arial" w:cs="Arial" w:eastAsia="Arial" w:hAnsi="Arial"/>
                <w:sz w:val="18"/>
                <w:szCs w:val="18"/>
                <w:color w:val="auto"/>
              </w:rPr>
              <w:t>Item 8.</w:t>
            </w:r>
          </w:p>
        </w:tc>
        <w:tc>
          <w:tcPr>
            <w:tcW w:w="8940" w:type="dxa"/>
            <w:vAlign w:val="bottom"/>
            <w:gridSpan w:val="27"/>
          </w:tcPr>
          <w:p>
            <w:pPr>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Financial Statements and Supplementary Data</w:t>
              </w:r>
            </w:hyperlink>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20" w:type="dxa"/>
            <w:vAlign w:val="bottom"/>
            <w:tcBorders>
              <w:top w:val="single" w:sz="8" w:color="0000EE"/>
              <w:bottom w:val="single" w:sz="8" w:color="0000EE"/>
            </w:tcBorders>
            <w:gridSpan w:val="19"/>
          </w:tcPr>
          <w:p>
            <w:pPr>
              <w:spacing w:after="0" w:line="182" w:lineRule="exact"/>
              <w:rPr>
                <w:rFonts w:ascii="Arial" w:cs="Arial" w:eastAsia="Arial" w:hAnsi="Arial"/>
                <w:sz w:val="18"/>
                <w:szCs w:val="18"/>
                <w:color w:val="0000EE"/>
                <w:w w:val="97"/>
              </w:rPr>
            </w:pPr>
            <w:hyperlink w:anchor="page54">
              <w:r>
                <w:rPr>
                  <w:rFonts w:ascii="Arial" w:cs="Arial" w:eastAsia="Arial" w:hAnsi="Arial"/>
                  <w:sz w:val="18"/>
                  <w:szCs w:val="18"/>
                  <w:color w:val="0000EE"/>
                  <w:w w:val="97"/>
                </w:rPr>
                <w:t>Notes to Consolidated Financial Statements</w:t>
              </w:r>
            </w:hyperlink>
          </w:p>
        </w:tc>
        <w:tc>
          <w:tcPr>
            <w:tcW w:w="200" w:type="dxa"/>
            <w:vAlign w:val="bottom"/>
            <w:tcBorders>
              <w:top w:val="single" w:sz="8" w:color="0000EE"/>
            </w:tcBorders>
          </w:tcPr>
          <w:p>
            <w:pPr>
              <w:spacing w:after="0"/>
              <w:rPr>
                <w:sz w:val="15"/>
                <w:szCs w:val="15"/>
                <w:color w:val="auto"/>
              </w:rPr>
            </w:pPr>
          </w:p>
        </w:tc>
        <w:tc>
          <w:tcPr>
            <w:tcW w:w="5320" w:type="dxa"/>
            <w:vAlign w:val="bottom"/>
            <w:gridSpan w:val="7"/>
          </w:tcPr>
          <w:p>
            <w:pPr>
              <w:spacing w:after="0"/>
              <w:rPr>
                <w:sz w:val="15"/>
                <w:szCs w:val="15"/>
                <w:color w:val="auto"/>
              </w:rPr>
            </w:pP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83"/>
        </w:trPr>
        <w:tc>
          <w:tcPr>
            <w:tcW w:w="1240" w:type="dxa"/>
            <w:vAlign w:val="bottom"/>
            <w:gridSpan w:val="2"/>
          </w:tcPr>
          <w:p>
            <w:pPr>
              <w:spacing w:after="0" w:line="182" w:lineRule="exact"/>
              <w:rPr>
                <w:sz w:val="20"/>
                <w:szCs w:val="20"/>
                <w:color w:val="auto"/>
              </w:rPr>
            </w:pPr>
            <w:r>
              <w:rPr>
                <w:rFonts w:ascii="Arial" w:cs="Arial" w:eastAsia="Arial" w:hAnsi="Arial"/>
                <w:sz w:val="18"/>
                <w:szCs w:val="18"/>
                <w:color w:val="auto"/>
              </w:rPr>
              <w:t>Item 9.</w:t>
            </w:r>
          </w:p>
        </w:tc>
        <w:tc>
          <w:tcPr>
            <w:tcW w:w="7000" w:type="dxa"/>
            <w:vAlign w:val="bottom"/>
            <w:tcBorders>
              <w:bottom w:val="single" w:sz="8" w:color="0000EE"/>
            </w:tcBorders>
            <w:gridSpan w:val="25"/>
          </w:tcPr>
          <w:p>
            <w:pPr>
              <w:spacing w:after="0" w:line="182" w:lineRule="exact"/>
              <w:rPr>
                <w:rFonts w:ascii="Arial" w:cs="Arial" w:eastAsia="Arial" w:hAnsi="Arial"/>
                <w:sz w:val="18"/>
                <w:szCs w:val="18"/>
                <w:color w:val="0000EE"/>
                <w:w w:val="97"/>
              </w:rPr>
            </w:pPr>
            <w:hyperlink w:anchor="page90">
              <w:r>
                <w:rPr>
                  <w:rFonts w:ascii="Arial" w:cs="Arial" w:eastAsia="Arial" w:hAnsi="Arial"/>
                  <w:sz w:val="18"/>
                  <w:szCs w:val="18"/>
                  <w:color w:val="0000EE"/>
                  <w:w w:val="97"/>
                </w:rPr>
                <w:t>Changes in and Disagreements With Accountants on Accounting and Financial Disclosure</w:t>
              </w:r>
            </w:hyperlink>
          </w:p>
        </w:tc>
        <w:tc>
          <w:tcPr>
            <w:tcW w:w="1940" w:type="dxa"/>
            <w:vAlign w:val="bottom"/>
            <w:gridSpan w:val="2"/>
          </w:tcPr>
          <w:p>
            <w:pPr>
              <w:spacing w:after="0"/>
              <w:rPr>
                <w:sz w:val="15"/>
                <w:szCs w:val="15"/>
                <w:color w:val="auto"/>
              </w:rPr>
            </w:pP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83"/>
        </w:trPr>
        <w:tc>
          <w:tcPr>
            <w:tcW w:w="1240" w:type="dxa"/>
            <w:vAlign w:val="bottom"/>
            <w:gridSpan w:val="2"/>
          </w:tcPr>
          <w:p>
            <w:pPr>
              <w:spacing w:after="0" w:line="182" w:lineRule="exact"/>
              <w:rPr>
                <w:sz w:val="20"/>
                <w:szCs w:val="20"/>
                <w:color w:val="auto"/>
              </w:rPr>
            </w:pPr>
            <w:r>
              <w:rPr>
                <w:rFonts w:ascii="Arial" w:cs="Arial" w:eastAsia="Arial" w:hAnsi="Arial"/>
                <w:sz w:val="18"/>
                <w:szCs w:val="18"/>
                <w:color w:val="auto"/>
              </w:rPr>
              <w:t>Item 9A.</w:t>
            </w:r>
          </w:p>
        </w:tc>
        <w:tc>
          <w:tcPr>
            <w:tcW w:w="1940" w:type="dxa"/>
            <w:vAlign w:val="bottom"/>
            <w:tcBorders>
              <w:bottom w:val="single" w:sz="8" w:color="0000EE"/>
            </w:tcBorders>
            <w:gridSpan w:val="10"/>
          </w:tcPr>
          <w:p>
            <w:pPr>
              <w:spacing w:after="0" w:line="182" w:lineRule="exact"/>
              <w:rPr>
                <w:rFonts w:ascii="Arial" w:cs="Arial" w:eastAsia="Arial" w:hAnsi="Arial"/>
                <w:sz w:val="18"/>
                <w:szCs w:val="18"/>
                <w:color w:val="0000EE"/>
                <w:w w:val="96"/>
              </w:rPr>
            </w:pPr>
            <w:hyperlink w:anchor="page90">
              <w:r>
                <w:rPr>
                  <w:rFonts w:ascii="Arial" w:cs="Arial" w:eastAsia="Arial" w:hAnsi="Arial"/>
                  <w:sz w:val="18"/>
                  <w:szCs w:val="18"/>
                  <w:color w:val="0000EE"/>
                  <w:w w:val="96"/>
                </w:rPr>
                <w:t>Controls and Procedures</w:t>
              </w:r>
            </w:hyperlink>
          </w:p>
        </w:tc>
        <w:tc>
          <w:tcPr>
            <w:tcW w:w="7000" w:type="dxa"/>
            <w:vAlign w:val="bottom"/>
            <w:gridSpan w:val="17"/>
          </w:tcPr>
          <w:p>
            <w:pPr>
              <w:spacing w:after="0"/>
              <w:rPr>
                <w:sz w:val="15"/>
                <w:szCs w:val="15"/>
                <w:color w:val="auto"/>
              </w:rPr>
            </w:pP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83"/>
        </w:trPr>
        <w:tc>
          <w:tcPr>
            <w:tcW w:w="1240" w:type="dxa"/>
            <w:vAlign w:val="bottom"/>
            <w:gridSpan w:val="2"/>
          </w:tcPr>
          <w:p>
            <w:pPr>
              <w:spacing w:after="0" w:line="182" w:lineRule="exact"/>
              <w:rPr>
                <w:sz w:val="20"/>
                <w:szCs w:val="20"/>
                <w:color w:val="auto"/>
              </w:rPr>
            </w:pPr>
            <w:r>
              <w:rPr>
                <w:rFonts w:ascii="Arial" w:cs="Arial" w:eastAsia="Arial" w:hAnsi="Arial"/>
                <w:sz w:val="18"/>
                <w:szCs w:val="18"/>
                <w:color w:val="auto"/>
              </w:rPr>
              <w:t>Item 9B.</w:t>
            </w:r>
          </w:p>
        </w:tc>
        <w:tc>
          <w:tcPr>
            <w:tcW w:w="8940" w:type="dxa"/>
            <w:vAlign w:val="bottom"/>
            <w:gridSpan w:val="27"/>
          </w:tcPr>
          <w:p>
            <w:pPr>
              <w:spacing w:after="0" w:line="182" w:lineRule="exact"/>
              <w:rPr>
                <w:rFonts w:ascii="Arial" w:cs="Arial" w:eastAsia="Arial" w:hAnsi="Arial"/>
                <w:sz w:val="18"/>
                <w:szCs w:val="18"/>
                <w:color w:val="0000EE"/>
              </w:rPr>
            </w:pPr>
            <w:hyperlink w:anchor="page90">
              <w:r>
                <w:rPr>
                  <w:rFonts w:ascii="Arial" w:cs="Arial" w:eastAsia="Arial" w:hAnsi="Arial"/>
                  <w:sz w:val="18"/>
                  <w:szCs w:val="18"/>
                  <w:color w:val="0000EE"/>
                </w:rPr>
                <w:t>Other Information</w:t>
              </w:r>
            </w:hyperlink>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348"/>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2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240" w:type="dxa"/>
            <w:vAlign w:val="bottom"/>
            <w:gridSpan w:val="2"/>
          </w:tcPr>
          <w:p>
            <w:pPr>
              <w:spacing w:after="0" w:line="172" w:lineRule="exact"/>
              <w:rPr>
                <w:sz w:val="20"/>
                <w:szCs w:val="20"/>
                <w:color w:val="auto"/>
              </w:rPr>
            </w:pPr>
            <w:r>
              <w:rPr>
                <w:rFonts w:ascii="Arial" w:cs="Arial" w:eastAsia="Arial" w:hAnsi="Arial"/>
                <w:sz w:val="18"/>
                <w:szCs w:val="18"/>
                <w:color w:val="auto"/>
              </w:rPr>
              <w:t>Item 10.</w:t>
            </w:r>
          </w:p>
        </w:tc>
        <w:tc>
          <w:tcPr>
            <w:tcW w:w="8940" w:type="dxa"/>
            <w:vAlign w:val="bottom"/>
            <w:gridSpan w:val="27"/>
          </w:tcPr>
          <w:p>
            <w:pPr>
              <w:spacing w:after="0" w:line="172" w:lineRule="exact"/>
              <w:rPr>
                <w:rFonts w:ascii="Arial" w:cs="Arial" w:eastAsia="Arial" w:hAnsi="Arial"/>
                <w:sz w:val="18"/>
                <w:szCs w:val="18"/>
                <w:color w:val="0000EE"/>
              </w:rPr>
            </w:pPr>
            <w:hyperlink w:anchor="page91">
              <w:r>
                <w:rPr>
                  <w:rFonts w:ascii="Arial" w:cs="Arial" w:eastAsia="Arial" w:hAnsi="Arial"/>
                  <w:sz w:val="18"/>
                  <w:szCs w:val="18"/>
                  <w:color w:val="0000EE"/>
                </w:rPr>
                <w:t>Directors, Executive Officers and Corporate Governance</w:t>
              </w:r>
            </w:hyperlink>
          </w:p>
        </w:tc>
        <w:tc>
          <w:tcPr>
            <w:tcW w:w="1140" w:type="dxa"/>
            <w:vAlign w:val="bottom"/>
          </w:tcPr>
          <w:p>
            <w:pPr>
              <w:jc w:val="right"/>
              <w:spacing w:after="0" w:line="17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83"/>
        </w:trPr>
        <w:tc>
          <w:tcPr>
            <w:tcW w:w="1240" w:type="dxa"/>
            <w:vAlign w:val="bottom"/>
            <w:gridSpan w:val="2"/>
          </w:tcPr>
          <w:p>
            <w:pPr>
              <w:spacing w:after="0" w:line="182" w:lineRule="exact"/>
              <w:rPr>
                <w:sz w:val="20"/>
                <w:szCs w:val="20"/>
                <w:color w:val="auto"/>
              </w:rPr>
            </w:pPr>
            <w:r>
              <w:rPr>
                <w:rFonts w:ascii="Arial" w:cs="Arial" w:eastAsia="Arial" w:hAnsi="Arial"/>
                <w:sz w:val="18"/>
                <w:szCs w:val="18"/>
                <w:color w:val="auto"/>
              </w:rPr>
              <w:t>Item 11.</w:t>
            </w:r>
          </w:p>
        </w:tc>
        <w:tc>
          <w:tcPr>
            <w:tcW w:w="194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6"/>
              </w:rPr>
            </w:pPr>
            <w:hyperlink w:anchor="page91">
              <w:r>
                <w:rPr>
                  <w:rFonts w:ascii="Arial" w:cs="Arial" w:eastAsia="Arial" w:hAnsi="Arial"/>
                  <w:sz w:val="18"/>
                  <w:szCs w:val="18"/>
                  <w:color w:val="0000EE"/>
                  <w:w w:val="96"/>
                </w:rPr>
                <w:t>Executive Compensation</w:t>
              </w:r>
            </w:hyperlink>
          </w:p>
        </w:tc>
        <w:tc>
          <w:tcPr>
            <w:tcW w:w="2440" w:type="dxa"/>
            <w:vAlign w:val="bottom"/>
            <w:tcBorders>
              <w:top w:val="single" w:sz="8" w:color="0000EE"/>
            </w:tcBorders>
            <w:gridSpan w:val="11"/>
          </w:tcPr>
          <w:p>
            <w:pPr>
              <w:spacing w:after="0"/>
              <w:rPr>
                <w:sz w:val="15"/>
                <w:szCs w:val="15"/>
                <w:color w:val="auto"/>
              </w:rPr>
            </w:pPr>
          </w:p>
        </w:tc>
        <w:tc>
          <w:tcPr>
            <w:tcW w:w="4560" w:type="dxa"/>
            <w:vAlign w:val="bottom"/>
            <w:gridSpan w:val="6"/>
          </w:tcPr>
          <w:p>
            <w:pPr>
              <w:spacing w:after="0"/>
              <w:rPr>
                <w:sz w:val="15"/>
                <w:szCs w:val="15"/>
                <w:color w:val="auto"/>
              </w:rPr>
            </w:pP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83"/>
        </w:trPr>
        <w:tc>
          <w:tcPr>
            <w:tcW w:w="1240" w:type="dxa"/>
            <w:vAlign w:val="bottom"/>
            <w:gridSpan w:val="2"/>
          </w:tcPr>
          <w:p>
            <w:pPr>
              <w:spacing w:after="0" w:line="182" w:lineRule="exact"/>
              <w:rPr>
                <w:sz w:val="20"/>
                <w:szCs w:val="20"/>
                <w:color w:val="auto"/>
              </w:rPr>
            </w:pPr>
            <w:r>
              <w:rPr>
                <w:rFonts w:ascii="Arial" w:cs="Arial" w:eastAsia="Arial" w:hAnsi="Arial"/>
                <w:sz w:val="18"/>
                <w:szCs w:val="18"/>
                <w:color w:val="auto"/>
              </w:rPr>
              <w:t>Item 12.</w:t>
            </w:r>
          </w:p>
        </w:tc>
        <w:tc>
          <w:tcPr>
            <w:tcW w:w="7820" w:type="dxa"/>
            <w:vAlign w:val="bottom"/>
            <w:tcBorders>
              <w:bottom w:val="single" w:sz="8" w:color="0000EE"/>
            </w:tcBorders>
            <w:gridSpan w:val="26"/>
          </w:tcPr>
          <w:p>
            <w:pPr>
              <w:spacing w:after="0" w:line="182" w:lineRule="exact"/>
              <w:rPr>
                <w:rFonts w:ascii="Arial" w:cs="Arial" w:eastAsia="Arial" w:hAnsi="Arial"/>
                <w:sz w:val="18"/>
                <w:szCs w:val="18"/>
                <w:color w:val="0000EE"/>
                <w:w w:val="97"/>
              </w:rPr>
            </w:pPr>
            <w:hyperlink w:anchor="page91">
              <w:r>
                <w:rPr>
                  <w:rFonts w:ascii="Arial" w:cs="Arial" w:eastAsia="Arial" w:hAnsi="Arial"/>
                  <w:sz w:val="18"/>
                  <w:szCs w:val="18"/>
                  <w:color w:val="0000EE"/>
                  <w:w w:val="97"/>
                </w:rPr>
                <w:t>Security Ownership of Certain Beneficial Owners and Management and Related Stockholder Matters</w:t>
              </w:r>
            </w:hyperlink>
          </w:p>
        </w:tc>
        <w:tc>
          <w:tcPr>
            <w:tcW w:w="1120" w:type="dxa"/>
            <w:vAlign w:val="bottom"/>
          </w:tcPr>
          <w:p>
            <w:pPr>
              <w:spacing w:after="0"/>
              <w:rPr>
                <w:sz w:val="15"/>
                <w:szCs w:val="15"/>
                <w:color w:val="auto"/>
              </w:rPr>
            </w:pP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83"/>
        </w:trPr>
        <w:tc>
          <w:tcPr>
            <w:tcW w:w="1240" w:type="dxa"/>
            <w:vAlign w:val="bottom"/>
            <w:gridSpan w:val="2"/>
          </w:tcPr>
          <w:p>
            <w:pPr>
              <w:spacing w:after="0" w:line="182" w:lineRule="exact"/>
              <w:rPr>
                <w:sz w:val="20"/>
                <w:szCs w:val="20"/>
                <w:color w:val="auto"/>
              </w:rPr>
            </w:pPr>
            <w:r>
              <w:rPr>
                <w:rFonts w:ascii="Arial" w:cs="Arial" w:eastAsia="Arial" w:hAnsi="Arial"/>
                <w:sz w:val="18"/>
                <w:szCs w:val="18"/>
                <w:color w:val="auto"/>
              </w:rPr>
              <w:t>Item 13.</w:t>
            </w:r>
          </w:p>
        </w:tc>
        <w:tc>
          <w:tcPr>
            <w:tcW w:w="8940" w:type="dxa"/>
            <w:vAlign w:val="bottom"/>
            <w:gridSpan w:val="27"/>
          </w:tcPr>
          <w:p>
            <w:pPr>
              <w:spacing w:after="0" w:line="182" w:lineRule="exact"/>
              <w:rPr>
                <w:rFonts w:ascii="Arial" w:cs="Arial" w:eastAsia="Arial" w:hAnsi="Arial"/>
                <w:sz w:val="18"/>
                <w:szCs w:val="18"/>
                <w:color w:val="0000EE"/>
              </w:rPr>
            </w:pPr>
            <w:hyperlink w:anchor="page92">
              <w:r>
                <w:rPr>
                  <w:rFonts w:ascii="Arial" w:cs="Arial" w:eastAsia="Arial" w:hAnsi="Arial"/>
                  <w:sz w:val="18"/>
                  <w:szCs w:val="18"/>
                  <w:color w:val="0000EE"/>
                </w:rPr>
                <w:t>Certain Relationships and Related Transactions, and Director Independence</w:t>
              </w:r>
            </w:hyperlink>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83"/>
        </w:trPr>
        <w:tc>
          <w:tcPr>
            <w:tcW w:w="1240" w:type="dxa"/>
            <w:vAlign w:val="bottom"/>
            <w:gridSpan w:val="2"/>
          </w:tcPr>
          <w:p>
            <w:pPr>
              <w:spacing w:after="0" w:line="182" w:lineRule="exact"/>
              <w:rPr>
                <w:sz w:val="20"/>
                <w:szCs w:val="20"/>
                <w:color w:val="auto"/>
              </w:rPr>
            </w:pPr>
            <w:r>
              <w:rPr>
                <w:rFonts w:ascii="Arial" w:cs="Arial" w:eastAsia="Arial" w:hAnsi="Arial"/>
                <w:sz w:val="18"/>
                <w:szCs w:val="18"/>
                <w:color w:val="auto"/>
              </w:rPr>
              <w:t>Item 14.</w:t>
            </w:r>
          </w:p>
        </w:tc>
        <w:tc>
          <w:tcPr>
            <w:tcW w:w="592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w:anchor="page92">
              <w:r>
                <w:rPr>
                  <w:rFonts w:ascii="Arial" w:cs="Arial" w:eastAsia="Arial" w:hAnsi="Arial"/>
                  <w:sz w:val="18"/>
                  <w:szCs w:val="18"/>
                  <w:color w:val="0000EE"/>
                </w:rPr>
                <w:t>Principal Accountant Fees and Services</w:t>
              </w:r>
            </w:hyperlink>
          </w:p>
        </w:tc>
        <w:tc>
          <w:tcPr>
            <w:tcW w:w="3020" w:type="dxa"/>
            <w:vAlign w:val="bottom"/>
            <w:gridSpan w:val="4"/>
          </w:tcPr>
          <w:p>
            <w:pPr>
              <w:spacing w:after="0"/>
              <w:rPr>
                <w:sz w:val="15"/>
                <w:szCs w:val="15"/>
                <w:color w:val="auto"/>
              </w:rPr>
            </w:pP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48"/>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2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240" w:type="dxa"/>
            <w:vAlign w:val="bottom"/>
            <w:gridSpan w:val="2"/>
          </w:tcPr>
          <w:p>
            <w:pPr>
              <w:spacing w:after="0" w:line="172" w:lineRule="exact"/>
              <w:rPr>
                <w:sz w:val="20"/>
                <w:szCs w:val="20"/>
                <w:color w:val="auto"/>
              </w:rPr>
            </w:pPr>
            <w:r>
              <w:rPr>
                <w:rFonts w:ascii="Arial" w:cs="Arial" w:eastAsia="Arial" w:hAnsi="Arial"/>
                <w:sz w:val="18"/>
                <w:szCs w:val="18"/>
                <w:color w:val="auto"/>
              </w:rPr>
              <w:t>Item 15.</w:t>
            </w:r>
          </w:p>
        </w:tc>
        <w:tc>
          <w:tcPr>
            <w:tcW w:w="8940" w:type="dxa"/>
            <w:vAlign w:val="bottom"/>
            <w:gridSpan w:val="27"/>
          </w:tcPr>
          <w:p>
            <w:pPr>
              <w:spacing w:after="0" w:line="172" w:lineRule="exact"/>
              <w:rPr>
                <w:rFonts w:ascii="Arial" w:cs="Arial" w:eastAsia="Arial" w:hAnsi="Arial"/>
                <w:sz w:val="18"/>
                <w:szCs w:val="18"/>
                <w:color w:val="0000EE"/>
              </w:rPr>
            </w:pPr>
            <w:hyperlink w:anchor="page93">
              <w:r>
                <w:rPr>
                  <w:rFonts w:ascii="Arial" w:cs="Arial" w:eastAsia="Arial" w:hAnsi="Arial"/>
                  <w:sz w:val="18"/>
                  <w:szCs w:val="18"/>
                  <w:color w:val="0000EE"/>
                </w:rPr>
                <w:t>Exhibits and Financial Statement Schedules</w:t>
              </w:r>
            </w:hyperlink>
          </w:p>
        </w:tc>
        <w:tc>
          <w:tcPr>
            <w:tcW w:w="1140" w:type="dxa"/>
            <w:vAlign w:val="bottom"/>
          </w:tcPr>
          <w:p>
            <w:pPr>
              <w:jc w:val="right"/>
              <w:spacing w:after="0" w:line="17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83"/>
        </w:trPr>
        <w:tc>
          <w:tcPr>
            <w:tcW w:w="1240" w:type="dxa"/>
            <w:vAlign w:val="bottom"/>
            <w:gridSpan w:val="2"/>
          </w:tcPr>
          <w:p>
            <w:pPr>
              <w:spacing w:after="0" w:line="182" w:lineRule="exact"/>
              <w:rPr>
                <w:rFonts w:ascii="Arial" w:cs="Arial" w:eastAsia="Arial" w:hAnsi="Arial"/>
                <w:sz w:val="18"/>
                <w:szCs w:val="18"/>
                <w:color w:val="0000EE"/>
              </w:rPr>
            </w:pPr>
            <w:hyperlink w:anchor="page96">
              <w:r>
                <w:rPr>
                  <w:rFonts w:ascii="Arial" w:cs="Arial" w:eastAsia="Arial" w:hAnsi="Arial"/>
                  <w:sz w:val="18"/>
                  <w:szCs w:val="18"/>
                  <w:color w:val="0000EE"/>
                </w:rPr>
                <w:t>Signatures</w:t>
              </w:r>
            </w:hyperlink>
          </w:p>
        </w:tc>
        <w:tc>
          <w:tcPr>
            <w:tcW w:w="22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980" w:type="dxa"/>
            <w:vAlign w:val="bottom"/>
            <w:gridSpan w:val="15"/>
          </w:tcPr>
          <w:p>
            <w:pPr>
              <w:spacing w:after="0" w:line="20" w:lineRule="exact"/>
              <w:rPr>
                <w:sz w:val="1"/>
                <w:szCs w:val="1"/>
                <w:color w:val="auto"/>
              </w:rPr>
            </w:pPr>
          </w:p>
        </w:tc>
        <w:tc>
          <w:tcPr>
            <w:tcW w:w="6360" w:type="dxa"/>
            <w:vAlign w:val="bottom"/>
            <w:gridSpan w:val="1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180" w:type="dxa"/>
            <w:vAlign w:val="bottom"/>
            <w:gridSpan w:val="29"/>
          </w:tcPr>
          <w:p>
            <w:pPr>
              <w:spacing w:after="0" w:line="182" w:lineRule="exact"/>
              <w:rPr>
                <w:rFonts w:ascii="Arial" w:cs="Arial" w:eastAsia="Arial" w:hAnsi="Arial"/>
                <w:sz w:val="18"/>
                <w:szCs w:val="18"/>
                <w:color w:val="0000EE"/>
              </w:rPr>
            </w:pPr>
            <w:hyperlink w:anchor="page97">
              <w:r>
                <w:rPr>
                  <w:rFonts w:ascii="Arial" w:cs="Arial" w:eastAsia="Arial" w:hAnsi="Arial"/>
                  <w:sz w:val="18"/>
                  <w:szCs w:val="18"/>
                  <w:color w:val="0000EE"/>
                </w:rPr>
                <w:t>Schedule II — Valuation and Qualifying Accounts</w:t>
              </w:r>
            </w:hyperlink>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0"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Unless the context otherwise requires, references in this Annual Report on Form 10-K to (i) “Home &amp; Security,” the “Company,” “we,” “our” or “us” refer to Fortune Brands Home &amp; Security, Inc. and its consolidated subsidiaries, after giving effect to the spin-off of Home &amp; Security from Fortune Brands, Inc. and (ii) “Former Parent” refer to Fortune Brands, Inc.</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w:t>
      </w:r>
    </w:p>
    <w:p>
      <w:pPr>
        <w:spacing w:after="0" w:line="18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On September 27, 2011, the board of directors of our Former Parent approved the spin-off of Home &amp; Security into an independent, publicly-traded company (the “Separation”). The Separation was accomplished by increasing the total number of issued and outstanding shares of Home &amp; Security common stock such that 155,052,629 shares of Home &amp; Security common stock were available for distribution to the holders of common stock of our Former Parent. The Separation was accomplished pursuant to a Separation and Distribution Agreement, dated September 27, 2011, between our Former Parent and the Company. On October 3, 2011, the Separation was completed, with the stockholders of our Former Parent receiving one share of Home &amp; Security common stock for each share of Former Parent common stock held as of 6:00 p.m. New York City Time on September 20, 2011. In addition, we paid a dividend of $548.9 million to our Former Parent prior to the Separation on October 3, 2011 and made a payment of $6.0 million to our Former Parent on January 3, 2012. Following the Separation, our Former Parent changed its name to Beam Inc. and retained no ownership interest in Home &amp; Security. Home &amp; Security and Beam Inc. now have separate public ownership, boards of directors and management.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8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a leading home and security products company that competes in attractive long-term growth markets in our categories. With a foundation of market-leading brands and lean and flexible supply chains as well as strong product innovation and customer service, we are focused on outperforming our markets in both growth and returns, and driving increased shareholder value. We sell our products through a wide array of sales channels, including kitchen and bath dealers, wholesalers oriented toward builders or professional remodelers, industrial and locksmith distributors, and “do-it-yourself” remodeling-oriented home centers and other retail outlets.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60"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b w:val="1"/>
          <w:bCs w:val="1"/>
          <w:i w:val="1"/>
          <w:iCs w:val="1"/>
          <w:color w:val="auto"/>
        </w:rPr>
        <w:t xml:space="preserve">Build on leading business and brand positions in attractive growth and return categories. </w:t>
      </w:r>
      <w:r>
        <w:rPr>
          <w:rFonts w:ascii="Arial" w:cs="Arial" w:eastAsia="Arial" w:hAnsi="Arial"/>
          <w:sz w:val="18"/>
          <w:szCs w:val="18"/>
          <w:color w:val="auto"/>
        </w:rPr>
        <w:t>We believe that we have leading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positions and brands in many of our product categories. We are continuing to invest in targeted advertising and other strategic initiatives aimed at enhancing brand awareness and educating consumers regarding the breadth, features and benefits of certain product lines. We also strive to leverage our brands to expand into adjacent product categories.</w:t>
      </w:r>
    </w:p>
    <w:p>
      <w:pPr>
        <w:spacing w:after="0" w:line="131" w:lineRule="exact"/>
        <w:rPr>
          <w:sz w:val="20"/>
          <w:szCs w:val="20"/>
          <w:color w:val="auto"/>
        </w:rPr>
      </w:pPr>
    </w:p>
    <w:p>
      <w:pPr>
        <w:jc w:val="both"/>
        <w:ind w:right="40"/>
        <w:spacing w:after="0" w:line="241" w:lineRule="auto"/>
        <w:rPr>
          <w:sz w:val="20"/>
          <w:szCs w:val="20"/>
          <w:color w:val="auto"/>
        </w:rPr>
      </w:pPr>
      <w:r>
        <w:rPr>
          <w:rFonts w:ascii="Arial" w:cs="Arial" w:eastAsia="Arial" w:hAnsi="Arial"/>
          <w:sz w:val="18"/>
          <w:szCs w:val="18"/>
          <w:b w:val="1"/>
          <w:bCs w:val="1"/>
          <w:i w:val="1"/>
          <w:iCs w:val="1"/>
          <w:color w:val="auto"/>
        </w:rPr>
        <w:t xml:space="preserve">Continue to develop innovative products for customers, designers, installers and consumers. </w:t>
      </w:r>
      <w:r>
        <w:rPr>
          <w:rFonts w:ascii="Arial" w:cs="Arial" w:eastAsia="Arial" w:hAnsi="Arial"/>
          <w:sz w:val="18"/>
          <w:szCs w:val="18"/>
          <w:color w:val="auto"/>
        </w:rPr>
        <w:t>Sustained investments in consumer-driven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innovation and customer service, along with our lower cost structures, have contributed to our success in winning significant new business in the marketplace and creating consumer demand. MasterBrand Cabinets launched innovative new door designs, color palettes and features in a range of styles that allows consumers to create a custom kitchen look at an affordable price. We have emerged as an industry leader in promoting energy efficiency and “green” products. Moen has introduced an extensive line of</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eco-friendly faucets and showerheads that carry the EPA’s WaterSense designation. Moen’s track record of continued innovation includes offerings such as a market-leading Spot Resist finish. Therma-Tru and Simonton are leveraging advanced materials to deliver products that combine aesthetic beauty and energy efficiency. In 2011, Therma-Tru introduced a new line of smooth fiberglass doors. Master Lock has long been an innovative leader in security products, such as the easy-to-use Speed Dial™ combination padlock, and continues to grow by entering adjacent security categories such as door hardware, commercial safety and electronic security products.</w:t>
      </w:r>
    </w:p>
    <w:p>
      <w:pPr>
        <w:spacing w:after="0" w:line="137" w:lineRule="exact"/>
        <w:rPr>
          <w:sz w:val="20"/>
          <w:szCs w:val="20"/>
          <w:color w:val="auto"/>
        </w:rPr>
      </w:pPr>
    </w:p>
    <w:p>
      <w:pPr>
        <w:spacing w:after="0" w:line="241" w:lineRule="auto"/>
        <w:rPr>
          <w:sz w:val="20"/>
          <w:szCs w:val="20"/>
          <w:color w:val="auto"/>
        </w:rPr>
      </w:pPr>
      <w:r>
        <w:rPr>
          <w:rFonts w:ascii="Arial" w:cs="Arial" w:eastAsia="Arial" w:hAnsi="Arial"/>
          <w:sz w:val="18"/>
          <w:szCs w:val="18"/>
          <w:b w:val="1"/>
          <w:bCs w:val="1"/>
          <w:i w:val="1"/>
          <w:iCs w:val="1"/>
          <w:color w:val="auto"/>
        </w:rPr>
        <w:t xml:space="preserve">Expand in international markets. </w:t>
      </w:r>
      <w:r>
        <w:rPr>
          <w:rFonts w:ascii="Arial" w:cs="Arial" w:eastAsia="Arial" w:hAnsi="Arial"/>
          <w:sz w:val="18"/>
          <w:szCs w:val="18"/>
          <w:color w:val="auto"/>
        </w:rPr>
        <w:t>We have opportunities to expand sales by further penetrating international markets, which represented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17% of net sales in 2011. For example, Moen is expanding in China, India and South America. Kitchen Craft is a strong and growing cabinetry brand in Canada. Master Lock is expanding its presence in Europe and China, while Therma-Tru is making inroads in Canada as consumers transition from traditional entry door materials to more advanced and energy-efficient fiberglass doors. In 2011, the percentage of sales derived from markets outside the U.S. was more than 25% for Moen and Master Lock.</w:t>
      </w:r>
    </w:p>
    <w:p>
      <w:pPr>
        <w:spacing w:after="0" w:line="136"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b w:val="1"/>
          <w:bCs w:val="1"/>
          <w:i w:val="1"/>
          <w:iCs w:val="1"/>
          <w:color w:val="auto"/>
        </w:rPr>
        <w:t xml:space="preserve">Leverage our global supply chains. </w:t>
      </w:r>
      <w:r>
        <w:rPr>
          <w:rFonts w:ascii="Arial" w:cs="Arial" w:eastAsia="Arial" w:hAnsi="Arial"/>
          <w:sz w:val="18"/>
          <w:szCs w:val="18"/>
          <w:color w:val="auto"/>
        </w:rPr>
        <w:t>We are using lean manufacturing, design-to-manufacture and distributive assembly techniques to make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supply chains more flexible and improve supply chain quality, cost, response times and asset efficiency. We view our supply chains as a strategic asset not only to support strong operating leverage when volumes recover, but also to enable the profitable growth of new products, adjacent market expansion and international growth.</w:t>
      </w:r>
    </w:p>
    <w:p>
      <w:pPr>
        <w:spacing w:after="0" w:line="131"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b w:val="1"/>
          <w:bCs w:val="1"/>
          <w:i w:val="1"/>
          <w:iCs w:val="1"/>
          <w:color w:val="auto"/>
        </w:rPr>
        <w:t xml:space="preserve">Enhance returns and deploy our cash flow to high-return opportunities. </w:t>
      </w:r>
      <w:r>
        <w:rPr>
          <w:rFonts w:ascii="Arial" w:cs="Arial" w:eastAsia="Arial" w:hAnsi="Arial"/>
          <w:sz w:val="18"/>
          <w:szCs w:val="18"/>
          <w:color w:val="auto"/>
        </w:rPr>
        <w:t>We believe our most attractive opportunities are to invest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profitable organic growth initiatives. In addition, we may invest in add-on acquisitions that leverage our existing brands and infrastructure, and we may undertake share repurchases. Both add-on acquisitions and share repurchase opportunities may be particularly attractive in the next few years given the uncertain and uneven pace of recovery in our end markets. We expect that our Board of Directors will periodically evaluate establishing a dividend and/or share repurchase program.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competitive strengths include the following:</w:t>
      </w:r>
    </w:p>
    <w:p>
      <w:pPr>
        <w:spacing w:after="0" w:line="138" w:lineRule="exact"/>
        <w:rPr>
          <w:sz w:val="20"/>
          <w:szCs w:val="20"/>
          <w:color w:val="auto"/>
        </w:rPr>
      </w:pPr>
    </w:p>
    <w:p>
      <w:pPr>
        <w:ind w:right="560"/>
        <w:spacing w:after="0" w:line="248" w:lineRule="auto"/>
        <w:rPr>
          <w:sz w:val="20"/>
          <w:szCs w:val="20"/>
          <w:color w:val="auto"/>
        </w:rPr>
      </w:pPr>
      <w:r>
        <w:rPr>
          <w:rFonts w:ascii="Arial" w:cs="Arial" w:eastAsia="Arial" w:hAnsi="Arial"/>
          <w:sz w:val="18"/>
          <w:szCs w:val="18"/>
          <w:b w:val="1"/>
          <w:bCs w:val="1"/>
          <w:i w:val="1"/>
          <w:iCs w:val="1"/>
          <w:color w:val="auto"/>
        </w:rPr>
        <w:t xml:space="preserve">Leading brands. </w:t>
      </w:r>
      <w:r>
        <w:rPr>
          <w:rFonts w:ascii="Arial" w:cs="Arial" w:eastAsia="Arial" w:hAnsi="Arial"/>
          <w:sz w:val="18"/>
          <w:szCs w:val="18"/>
          <w:color w:val="auto"/>
        </w:rPr>
        <w:t>We have leading brands in many of our product categories. We believe that established brands are meaningful to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consumers and trade customers in their respective categories and that we have the opportunity to, among other things, expand many of our brands into adjacent product categories and international markets.</w:t>
      </w:r>
    </w:p>
    <w:p>
      <w:pPr>
        <w:spacing w:after="0" w:line="128"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b w:val="1"/>
          <w:bCs w:val="1"/>
          <w:i w:val="1"/>
          <w:iCs w:val="1"/>
          <w:color w:val="auto"/>
        </w:rPr>
        <w:t xml:space="preserve">Strategic focus on attractive consumer-facing categories. </w:t>
      </w:r>
      <w:r>
        <w:rPr>
          <w:rFonts w:ascii="Arial" w:cs="Arial" w:eastAsia="Arial" w:hAnsi="Arial"/>
          <w:sz w:val="18"/>
          <w:szCs w:val="18"/>
          <w:color w:val="auto"/>
        </w:rPr>
        <w:t>We believe we operate in categories that, while very competitive, are among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attractive categories in the home products and security products industries. Some of the key characteristics that make these categories attractive in our view include the following:</w:t>
      </w:r>
    </w:p>
    <w:p>
      <w:pPr>
        <w:spacing w:after="0" w:line="67"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product quality, innovation, fashion, finish, durability and functionality, which are key determinants of product selection in addition to price;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established brands, which are meaningful to both consumers and trade customers;</w:t>
      </w:r>
    </w:p>
    <w:p>
      <w:pPr>
        <w:spacing w:after="0" w:line="76" w:lineRule="exact"/>
        <w:rPr>
          <w:rFonts w:ascii="Arial" w:cs="Arial" w:eastAsia="Arial" w:hAnsi="Arial"/>
          <w:sz w:val="18"/>
          <w:szCs w:val="18"/>
          <w:color w:val="auto"/>
        </w:rPr>
      </w:pPr>
    </w:p>
    <w:p>
      <w:pPr>
        <w:ind w:left="460" w:right="240" w:hanging="452"/>
        <w:spacing w:after="0" w:line="239"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opportunity to add value to a complex consumer purchasing decision with excellent service propositions, reliability of products, ease of installation and superior delivery lead times;</w:t>
      </w:r>
    </w:p>
    <w:p>
      <w:pPr>
        <w:spacing w:after="0" w:line="73" w:lineRule="exact"/>
        <w:rPr>
          <w:rFonts w:ascii="Arial" w:cs="Arial" w:eastAsia="Arial" w:hAnsi="Arial"/>
          <w:sz w:val="18"/>
          <w:szCs w:val="18"/>
          <w:color w:val="auto"/>
        </w:rPr>
      </w:pPr>
    </w:p>
    <w:p>
      <w:pPr>
        <w:ind w:left="460" w:right="280" w:hanging="452"/>
        <w:spacing w:after="0" w:line="239"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value our products add to a home, particularly with kitchen and bath remodeling and additions, the curb appeal offered by stylish entry door systems and the energy efficiency benefits of advanced materials windows and doors;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favorable long-term trends that benefit the outlook for our markets over time;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relatively stable demand for security products;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with respect to security, the opportunity to expand into adjacent categories.</w:t>
      </w:r>
    </w:p>
    <w:p>
      <w:pPr>
        <w:spacing w:after="0" w:line="13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b w:val="1"/>
          <w:bCs w:val="1"/>
          <w:i w:val="1"/>
          <w:iCs w:val="1"/>
          <w:color w:val="auto"/>
        </w:rPr>
        <w:t xml:space="preserve">Supply chain flexibility and lean cost structure. </w:t>
      </w:r>
      <w:r>
        <w:rPr>
          <w:rFonts w:ascii="Arial" w:cs="Arial" w:eastAsia="Arial" w:hAnsi="Arial"/>
          <w:sz w:val="18"/>
          <w:szCs w:val="18"/>
          <w:color w:val="auto"/>
        </w:rPr>
        <w:t>During the housing downturn, which began in 2006, we reduced the number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manufacturing facilities and employees by approximately 40%, and we restructured our supply chains, while maintaining substantial supply chain flexibility and brand investment. As a result, we believe we have positioned the Company well to absorb additional volume and drive strong growth in sales, profits and cash flows as the U.S. housing market recovers from recessionary levels and demand improves. We believe our investments in lean manufacturing and productivity initiatives have resulted in supply chain flexibility and the ability to cost-effectively match demand levels that may be uneven. In addition, our supply chains and lower cost structures are creating favorable operating leverage as volumes return without sacrificing customer service levels or lead times. We believe that margin improvement will be driven predominantly by volume expansion that can be readily accommodated by additional production shifts and equipment as necessary.</w:t>
      </w:r>
    </w:p>
    <w:p>
      <w:pPr>
        <w:spacing w:after="0" w:line="141"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auto"/>
        </w:rPr>
        <w:t xml:space="preserve">Commitment to innovation. </w:t>
      </w:r>
      <w:r>
        <w:rPr>
          <w:rFonts w:ascii="Arial" w:cs="Arial" w:eastAsia="Arial" w:hAnsi="Arial"/>
          <w:sz w:val="18"/>
          <w:szCs w:val="18"/>
          <w:color w:val="auto"/>
        </w:rPr>
        <w:t>Sustained investments in innovation and customer service, along with our lower cost structures, have contributed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our success in winning new business. MasterBrand Cabinets launched innovative new door designs, color palettes and features in a range of styles that allows consumers to create a custom kitchen look at an affordable price. We have also emerged as an industry leader in promoting energy efficiency and “green” products. Moen has introduced an extensive line of eco-friendly faucets and showerheads that carry the EPA’s WaterSense designation. Moen’s track record of continued innovation also includes offerings such as a market-leading Spot Resist finish. Therma-Tru and Simonton are leveraging advanced materials to deliver products that combine aesthetic beauty and energy efficiency. Master Lock has long been an innovative leader in security products and continues to grow by entering adjacent security categories such as door hardware, commercial safety and electronic security products.</w:t>
      </w:r>
    </w:p>
    <w:p>
      <w:pPr>
        <w:spacing w:after="0" w:line="141"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i w:val="1"/>
          <w:iCs w:val="1"/>
          <w:color w:val="auto"/>
        </w:rPr>
        <w:t xml:space="preserve">Diverse sales end-use mix. </w:t>
      </w:r>
      <w:r>
        <w:rPr>
          <w:rFonts w:ascii="Arial" w:cs="Arial" w:eastAsia="Arial" w:hAnsi="Arial"/>
          <w:sz w:val="18"/>
          <w:szCs w:val="18"/>
          <w:color w:val="auto"/>
        </w:rPr>
        <w:t>We sell products in a variety of categories in the U.S. home products market. In addition, our exposure to changing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levels of U.S. residential new home construction activity is counteracted by more stable repair-and-remodel activity, which comprises a substantial majority of the overall U.S. home products market. We also benefit from a stable market for security and storage products and international sales growth opportunities.</w:t>
      </w:r>
    </w:p>
    <w:p>
      <w:pPr>
        <w:spacing w:after="0" w:line="131"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b w:val="1"/>
          <w:bCs w:val="1"/>
          <w:i w:val="1"/>
          <w:iCs w:val="1"/>
          <w:color w:val="auto"/>
        </w:rPr>
        <w:t xml:space="preserve">Diverse sales channels. </w:t>
      </w:r>
      <w:r>
        <w:rPr>
          <w:rFonts w:ascii="Arial" w:cs="Arial" w:eastAsia="Arial" w:hAnsi="Arial"/>
          <w:sz w:val="18"/>
          <w:szCs w:val="18"/>
          <w:color w:val="auto"/>
        </w:rPr>
        <w:t>We sell to a wide array of sales channels, including kitchen and bath dealers, wholesalers oriented to builders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 remodelers and “do-it-yourself” remodeling-oriented home centers. We also sell security products to locksmiths, industrial distributors and mass merchants. We are able to leverage existing sales channels to expand into adjacent product categories. In 2011, sales to our top ten customers represented less than half of total sales.</w:t>
      </w:r>
    </w:p>
    <w:p>
      <w:pPr>
        <w:spacing w:after="0" w:line="131" w:lineRule="exact"/>
        <w:rPr>
          <w:sz w:val="20"/>
          <w:szCs w:val="20"/>
          <w:color w:val="auto"/>
        </w:rPr>
      </w:pPr>
    </w:p>
    <w:p>
      <w:pPr>
        <w:ind w:right="400"/>
        <w:spacing w:after="0" w:line="244" w:lineRule="auto"/>
        <w:rPr>
          <w:sz w:val="20"/>
          <w:szCs w:val="20"/>
          <w:color w:val="auto"/>
        </w:rPr>
      </w:pPr>
      <w:r>
        <w:rPr>
          <w:rFonts w:ascii="Arial" w:cs="Arial" w:eastAsia="Arial" w:hAnsi="Arial"/>
          <w:sz w:val="18"/>
          <w:szCs w:val="18"/>
          <w:b w:val="1"/>
          <w:bCs w:val="1"/>
          <w:i w:val="1"/>
          <w:iCs w:val="1"/>
          <w:color w:val="auto"/>
        </w:rPr>
        <w:t xml:space="preserve">Decentralized business model. </w:t>
      </w:r>
      <w:r>
        <w:rPr>
          <w:rFonts w:ascii="Arial" w:cs="Arial" w:eastAsia="Arial" w:hAnsi="Arial"/>
          <w:sz w:val="18"/>
          <w:szCs w:val="18"/>
          <w:color w:val="auto"/>
        </w:rPr>
        <w:t>Our business segments are focused on distinct product categories and are responsible for their own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This structure enables each of our segments to independently best position itself within each category in which it competes and reinforces strong accountability for operational and financial performance. Each of our segments focuses on its unique set of consumers, customers, competitors and suppliers, while also sharing best practices.</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80"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have four business segments: Kitchen &amp; Bath Cabinetry, Plumbing &amp; Accessories, Advanced Material Windows &amp; Door Systems, and Security &amp; Storage. The following table contains key information regarding each of these segments, including what we believe are our leadership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316"/>
              <w:spacing w:after="0"/>
              <w:rPr>
                <w:sz w:val="20"/>
                <w:szCs w:val="20"/>
                <w:color w:val="auto"/>
              </w:rPr>
            </w:pPr>
            <w:r>
              <w:rPr>
                <w:rFonts w:ascii="Arial" w:cs="Arial" w:eastAsia="Arial" w:hAnsi="Arial"/>
                <w:sz w:val="14"/>
                <w:szCs w:val="14"/>
                <w:color w:val="auto"/>
              </w:rPr>
              <w:t>2011</w:t>
            </w:r>
          </w:p>
        </w:tc>
        <w:tc>
          <w:tcPr>
            <w:tcW w:w="1380" w:type="dxa"/>
            <w:vAlign w:val="bottom"/>
          </w:tcPr>
          <w:p>
            <w:pPr>
              <w:jc w:val="center"/>
              <w:ind w:right="60"/>
              <w:spacing w:after="0"/>
              <w:rPr>
                <w:sz w:val="20"/>
                <w:szCs w:val="20"/>
                <w:color w:val="auto"/>
              </w:rPr>
            </w:pPr>
            <w:r>
              <w:rPr>
                <w:rFonts w:ascii="Arial" w:cs="Arial" w:eastAsia="Arial" w:hAnsi="Arial"/>
                <w:sz w:val="14"/>
                <w:szCs w:val="14"/>
                <w:color w:val="auto"/>
                <w:w w:val="96"/>
              </w:rPr>
              <w:t>Percentage of</w:t>
            </w:r>
          </w:p>
        </w:tc>
        <w:tc>
          <w:tcPr>
            <w:tcW w:w="3180" w:type="dxa"/>
            <w:vAlign w:val="bottom"/>
          </w:tcPr>
          <w:p>
            <w:pPr>
              <w:spacing w:after="0"/>
              <w:rPr>
                <w:sz w:val="14"/>
                <w:szCs w:val="14"/>
                <w:color w:val="auto"/>
              </w:rPr>
            </w:pPr>
          </w:p>
        </w:tc>
        <w:tc>
          <w:tcPr>
            <w:tcW w:w="2680" w:type="dxa"/>
            <w:vAlign w:val="bottom"/>
          </w:tcPr>
          <w:p>
            <w:pPr>
              <w:spacing w:after="0"/>
              <w:rPr>
                <w:sz w:val="14"/>
                <w:szCs w:val="14"/>
                <w:color w:val="auto"/>
              </w:rPr>
            </w:pPr>
          </w:p>
        </w:tc>
      </w:tr>
      <w:tr>
        <w:trPr>
          <w:trHeight w:val="149"/>
        </w:trPr>
        <w:tc>
          <w:tcPr>
            <w:tcW w:w="3040" w:type="dxa"/>
            <w:vAlign w:val="bottom"/>
          </w:tcPr>
          <w:p>
            <w:pPr>
              <w:spacing w:after="0"/>
              <w:rPr>
                <w:sz w:val="12"/>
                <w:szCs w:val="12"/>
                <w:color w:val="auto"/>
              </w:rPr>
            </w:pPr>
          </w:p>
        </w:tc>
        <w:tc>
          <w:tcPr>
            <w:tcW w:w="11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Revenue</w:t>
            </w:r>
          </w:p>
        </w:tc>
        <w:tc>
          <w:tcPr>
            <w:tcW w:w="1380" w:type="dxa"/>
            <w:vAlign w:val="bottom"/>
          </w:tcPr>
          <w:p>
            <w:pPr>
              <w:jc w:val="center"/>
              <w:ind w:right="80"/>
              <w:spacing w:after="0" w:line="149" w:lineRule="exact"/>
              <w:rPr>
                <w:sz w:val="20"/>
                <w:szCs w:val="20"/>
                <w:color w:val="auto"/>
              </w:rPr>
            </w:pPr>
            <w:r>
              <w:rPr>
                <w:rFonts w:ascii="Arial" w:cs="Arial" w:eastAsia="Arial" w:hAnsi="Arial"/>
                <w:sz w:val="14"/>
                <w:szCs w:val="14"/>
                <w:color w:val="auto"/>
                <w:w w:val="93"/>
              </w:rPr>
              <w:t>Total 2011</w:t>
            </w:r>
          </w:p>
        </w:tc>
        <w:tc>
          <w:tcPr>
            <w:tcW w:w="3180" w:type="dxa"/>
            <w:vAlign w:val="bottom"/>
          </w:tcPr>
          <w:p>
            <w:pPr>
              <w:spacing w:after="0"/>
              <w:rPr>
                <w:sz w:val="12"/>
                <w:szCs w:val="12"/>
                <w:color w:val="auto"/>
              </w:rPr>
            </w:pPr>
          </w:p>
        </w:tc>
        <w:tc>
          <w:tcPr>
            <w:tcW w:w="2680" w:type="dxa"/>
            <w:vAlign w:val="bottom"/>
          </w:tcPr>
          <w:p>
            <w:pPr>
              <w:spacing w:after="0"/>
              <w:rPr>
                <w:sz w:val="12"/>
                <w:szCs w:val="12"/>
                <w:color w:val="auto"/>
              </w:rPr>
            </w:pPr>
          </w:p>
        </w:tc>
      </w:tr>
      <w:tr>
        <w:trPr>
          <w:trHeight w:val="149"/>
        </w:trPr>
        <w:tc>
          <w:tcPr>
            <w:tcW w:w="30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Segment</w:t>
            </w:r>
          </w:p>
        </w:tc>
        <w:tc>
          <w:tcPr>
            <w:tcW w:w="1140" w:type="dxa"/>
            <w:vAlign w:val="bottom"/>
            <w:tcBorders>
              <w:bottom w:val="single" w:sz="8" w:color="auto"/>
            </w:tcBorders>
            <w:gridSpan w:val="2"/>
          </w:tcPr>
          <w:p>
            <w:pPr>
              <w:ind w:left="240"/>
              <w:spacing w:after="0" w:line="149" w:lineRule="exact"/>
              <w:rPr>
                <w:sz w:val="20"/>
                <w:szCs w:val="20"/>
                <w:color w:val="auto"/>
              </w:rPr>
            </w:pPr>
            <w:r>
              <w:rPr>
                <w:rFonts w:ascii="Arial" w:cs="Arial" w:eastAsia="Arial" w:hAnsi="Arial"/>
                <w:sz w:val="14"/>
                <w:szCs w:val="14"/>
                <w:color w:val="auto"/>
              </w:rPr>
              <w:t>(in millions)</w:t>
            </w:r>
          </w:p>
        </w:tc>
        <w:tc>
          <w:tcPr>
            <w:tcW w:w="1380" w:type="dxa"/>
            <w:vAlign w:val="bottom"/>
            <w:tcBorders>
              <w:bottom w:val="single" w:sz="8" w:color="auto"/>
            </w:tcBorders>
          </w:tcPr>
          <w:p>
            <w:pPr>
              <w:jc w:val="center"/>
              <w:ind w:right="80"/>
              <w:spacing w:after="0" w:line="149" w:lineRule="exact"/>
              <w:rPr>
                <w:sz w:val="20"/>
                <w:szCs w:val="20"/>
                <w:color w:val="auto"/>
              </w:rPr>
            </w:pPr>
            <w:r>
              <w:rPr>
                <w:rFonts w:ascii="Arial" w:cs="Arial" w:eastAsia="Arial" w:hAnsi="Arial"/>
                <w:sz w:val="14"/>
                <w:szCs w:val="14"/>
                <w:color w:val="auto"/>
                <w:w w:val="96"/>
              </w:rPr>
              <w:t>Revenue</w:t>
            </w:r>
          </w:p>
        </w:tc>
        <w:tc>
          <w:tcPr>
            <w:tcW w:w="3180" w:type="dxa"/>
            <w:vAlign w:val="bottom"/>
            <w:tcBorders>
              <w:bottom w:val="single" w:sz="8" w:color="auto"/>
            </w:tcBorders>
          </w:tcPr>
          <w:p>
            <w:pPr>
              <w:ind w:left="1020"/>
              <w:spacing w:after="0" w:line="149" w:lineRule="exact"/>
              <w:rPr>
                <w:sz w:val="20"/>
                <w:szCs w:val="20"/>
                <w:color w:val="auto"/>
              </w:rPr>
            </w:pPr>
            <w:r>
              <w:rPr>
                <w:rFonts w:ascii="Arial" w:cs="Arial" w:eastAsia="Arial" w:hAnsi="Arial"/>
                <w:sz w:val="14"/>
                <w:szCs w:val="14"/>
                <w:color w:val="auto"/>
              </w:rPr>
              <w:t>Leadership Position</w:t>
            </w:r>
          </w:p>
        </w:tc>
        <w:tc>
          <w:tcPr>
            <w:tcW w:w="2680" w:type="dxa"/>
            <w:vAlign w:val="bottom"/>
            <w:tcBorders>
              <w:bottom w:val="single" w:sz="8" w:color="auto"/>
            </w:tcBorders>
          </w:tcPr>
          <w:p>
            <w:pPr>
              <w:ind w:left="1080"/>
              <w:spacing w:after="0" w:line="149" w:lineRule="exact"/>
              <w:rPr>
                <w:sz w:val="20"/>
                <w:szCs w:val="20"/>
                <w:color w:val="auto"/>
              </w:rPr>
            </w:pPr>
            <w:r>
              <w:rPr>
                <w:rFonts w:ascii="Arial" w:cs="Arial" w:eastAsia="Arial" w:hAnsi="Arial"/>
                <w:sz w:val="14"/>
                <w:szCs w:val="14"/>
                <w:color w:val="auto"/>
              </w:rPr>
              <w:t>Key Brands</w:t>
            </w:r>
          </w:p>
        </w:tc>
      </w:tr>
      <w:tr>
        <w:trPr>
          <w:trHeight w:val="199"/>
        </w:trPr>
        <w:tc>
          <w:tcPr>
            <w:tcW w:w="30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Kitchen &amp; Bath Cabinetry</w:t>
            </w:r>
          </w:p>
        </w:tc>
        <w:tc>
          <w:tcPr>
            <w:tcW w:w="380" w:type="dxa"/>
            <w:vAlign w:val="bottom"/>
            <w:shd w:val="clear" w:color="auto" w:fill="CCEEFF"/>
          </w:tcPr>
          <w:p>
            <w:pPr>
              <w:ind w:left="240"/>
              <w:spacing w:after="0" w:line="200"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6"/>
              <w:spacing w:after="0" w:line="200" w:lineRule="exact"/>
              <w:rPr>
                <w:sz w:val="20"/>
                <w:szCs w:val="20"/>
                <w:color w:val="auto"/>
              </w:rPr>
            </w:pPr>
            <w:r>
              <w:rPr>
                <w:rFonts w:ascii="Arial" w:cs="Arial" w:eastAsia="Arial" w:hAnsi="Arial"/>
                <w:sz w:val="18"/>
                <w:szCs w:val="18"/>
                <w:color w:val="auto"/>
              </w:rPr>
              <w:t>1,256</w:t>
            </w:r>
          </w:p>
        </w:tc>
        <w:tc>
          <w:tcPr>
            <w:tcW w:w="1380" w:type="dxa"/>
            <w:vAlign w:val="bottom"/>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38%</w:t>
            </w:r>
          </w:p>
        </w:tc>
        <w:tc>
          <w:tcPr>
            <w:tcW w:w="318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#1 Kitchen &amp; Bath Cabinetry</w:t>
            </w:r>
          </w:p>
        </w:tc>
        <w:tc>
          <w:tcPr>
            <w:tcW w:w="268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Aristokraft, Omega, Kitchen</w:t>
            </w:r>
          </w:p>
        </w:tc>
      </w:tr>
      <w:tr>
        <w:trPr>
          <w:trHeight w:val="203"/>
        </w:trPr>
        <w:tc>
          <w:tcPr>
            <w:tcW w:w="3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1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manufacturer in North America</w:t>
            </w:r>
          </w:p>
        </w:tc>
        <w:tc>
          <w:tcPr>
            <w:tcW w:w="2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Craft, Schrock, Diamond,</w:t>
            </w:r>
          </w:p>
        </w:tc>
      </w:tr>
      <w:tr>
        <w:trPr>
          <w:trHeight w:val="203"/>
        </w:trPr>
        <w:tc>
          <w:tcPr>
            <w:tcW w:w="3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2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HomeCrest, Decorá, Kemper,</w:t>
            </w:r>
          </w:p>
        </w:tc>
      </w:tr>
      <w:tr>
        <w:trPr>
          <w:trHeight w:val="203"/>
        </w:trPr>
        <w:tc>
          <w:tcPr>
            <w:tcW w:w="3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2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Thomasville</w:t>
            </w:r>
            <w:r>
              <w:rPr>
                <w:rFonts w:ascii="Arial" w:cs="Arial" w:eastAsia="Arial" w:hAnsi="Arial"/>
                <w:sz w:val="11"/>
                <w:szCs w:val="11"/>
                <w:color w:val="auto"/>
              </w:rPr>
              <w:t>(a)</w:t>
            </w:r>
            <w:r>
              <w:rPr>
                <w:rFonts w:ascii="Arial" w:cs="Arial" w:eastAsia="Arial" w:hAnsi="Arial"/>
                <w:sz w:val="18"/>
                <w:szCs w:val="18"/>
                <w:color w:val="auto"/>
              </w:rPr>
              <w:t xml:space="preserve"> and Martha</w:t>
            </w:r>
          </w:p>
        </w:tc>
      </w:tr>
      <w:tr>
        <w:trPr>
          <w:trHeight w:val="199"/>
        </w:trPr>
        <w:tc>
          <w:tcPr>
            <w:tcW w:w="3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268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Stewart Living</w:t>
            </w:r>
            <w:r>
              <w:rPr>
                <w:rFonts w:ascii="Arial" w:cs="Arial" w:eastAsia="Arial" w:hAnsi="Arial"/>
                <w:sz w:val="11"/>
                <w:szCs w:val="11"/>
                <w:color w:val="auto"/>
              </w:rPr>
              <w:t>(a)</w:t>
            </w:r>
          </w:p>
        </w:tc>
      </w:tr>
      <w:tr>
        <w:trPr>
          <w:trHeight w:val="273"/>
        </w:trPr>
        <w:tc>
          <w:tcPr>
            <w:tcW w:w="3040" w:type="dxa"/>
            <w:vAlign w:val="bottom"/>
          </w:tcPr>
          <w:p>
            <w:pPr>
              <w:spacing w:after="0"/>
              <w:rPr>
                <w:sz w:val="20"/>
                <w:szCs w:val="20"/>
                <w:color w:val="auto"/>
              </w:rPr>
            </w:pPr>
            <w:r>
              <w:rPr>
                <w:rFonts w:ascii="Arial" w:cs="Arial" w:eastAsia="Arial" w:hAnsi="Arial"/>
                <w:sz w:val="18"/>
                <w:szCs w:val="18"/>
                <w:color w:val="auto"/>
              </w:rPr>
              <w:t>Plumbing &amp; Accessories</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6"/>
              <w:spacing w:after="0"/>
              <w:rPr>
                <w:sz w:val="20"/>
                <w:szCs w:val="20"/>
                <w:color w:val="auto"/>
              </w:rPr>
            </w:pPr>
            <w:r>
              <w:rPr>
                <w:rFonts w:ascii="Arial" w:cs="Arial" w:eastAsia="Arial" w:hAnsi="Arial"/>
                <w:sz w:val="18"/>
                <w:szCs w:val="18"/>
                <w:color w:val="auto"/>
              </w:rPr>
              <w:t>963</w:t>
            </w:r>
          </w:p>
        </w:tc>
        <w:tc>
          <w:tcPr>
            <w:tcW w:w="1380" w:type="dxa"/>
            <w:vAlign w:val="bottom"/>
          </w:tcPr>
          <w:p>
            <w:pPr>
              <w:jc w:val="right"/>
              <w:ind w:right="100"/>
              <w:spacing w:after="0"/>
              <w:rPr>
                <w:sz w:val="20"/>
                <w:szCs w:val="20"/>
                <w:color w:val="auto"/>
              </w:rPr>
            </w:pPr>
            <w:r>
              <w:rPr>
                <w:rFonts w:ascii="Arial" w:cs="Arial" w:eastAsia="Arial" w:hAnsi="Arial"/>
                <w:sz w:val="18"/>
                <w:szCs w:val="18"/>
                <w:color w:val="auto"/>
              </w:rPr>
              <w:t>29%</w:t>
            </w:r>
          </w:p>
        </w:tc>
        <w:tc>
          <w:tcPr>
            <w:tcW w:w="3180" w:type="dxa"/>
            <w:vAlign w:val="bottom"/>
          </w:tcPr>
          <w:p>
            <w:pPr>
              <w:ind w:left="180"/>
              <w:spacing w:after="0"/>
              <w:rPr>
                <w:sz w:val="20"/>
                <w:szCs w:val="20"/>
                <w:color w:val="auto"/>
              </w:rPr>
            </w:pPr>
            <w:r>
              <w:rPr>
                <w:rFonts w:ascii="Arial" w:cs="Arial" w:eastAsia="Arial" w:hAnsi="Arial"/>
                <w:sz w:val="18"/>
                <w:szCs w:val="18"/>
                <w:color w:val="auto"/>
              </w:rPr>
              <w:t>#1 faucet brand in North America</w:t>
            </w:r>
          </w:p>
        </w:tc>
        <w:tc>
          <w:tcPr>
            <w:tcW w:w="2680" w:type="dxa"/>
            <w:vAlign w:val="bottom"/>
          </w:tcPr>
          <w:p>
            <w:pPr>
              <w:ind w:left="180"/>
              <w:spacing w:after="0"/>
              <w:rPr>
                <w:sz w:val="20"/>
                <w:szCs w:val="20"/>
                <w:color w:val="auto"/>
              </w:rPr>
            </w:pPr>
            <w:r>
              <w:rPr>
                <w:rFonts w:ascii="Arial" w:cs="Arial" w:eastAsia="Arial" w:hAnsi="Arial"/>
                <w:sz w:val="18"/>
                <w:szCs w:val="18"/>
                <w:color w:val="auto"/>
                <w:w w:val="99"/>
              </w:rPr>
              <w:t>Moen, Cleveland Faucet Group</w:t>
            </w:r>
          </w:p>
        </w:tc>
      </w:tr>
      <w:tr>
        <w:trPr>
          <w:trHeight w:val="211"/>
        </w:trPr>
        <w:tc>
          <w:tcPr>
            <w:tcW w:w="3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180" w:type="dxa"/>
            <w:vAlign w:val="bottom"/>
          </w:tcPr>
          <w:p>
            <w:pPr>
              <w:ind w:left="180"/>
              <w:spacing w:after="0"/>
              <w:rPr>
                <w:sz w:val="20"/>
                <w:szCs w:val="20"/>
                <w:color w:val="auto"/>
              </w:rPr>
            </w:pPr>
            <w:r>
              <w:rPr>
                <w:rFonts w:ascii="Arial" w:cs="Arial" w:eastAsia="Arial" w:hAnsi="Arial"/>
                <w:sz w:val="18"/>
                <w:szCs w:val="18"/>
                <w:color w:val="auto"/>
              </w:rPr>
              <w:t>and a leader in China</w:t>
            </w:r>
          </w:p>
        </w:tc>
        <w:tc>
          <w:tcPr>
            <w:tcW w:w="2680" w:type="dxa"/>
            <w:vAlign w:val="bottom"/>
          </w:tcPr>
          <w:p>
            <w:pPr>
              <w:ind w:left="180"/>
              <w:spacing w:after="0"/>
              <w:rPr>
                <w:sz w:val="20"/>
                <w:szCs w:val="20"/>
                <w:color w:val="auto"/>
              </w:rPr>
            </w:pPr>
            <w:r>
              <w:rPr>
                <w:rFonts w:ascii="Arial" w:cs="Arial" w:eastAsia="Arial" w:hAnsi="Arial"/>
                <w:sz w:val="18"/>
                <w:szCs w:val="18"/>
                <w:color w:val="auto"/>
              </w:rPr>
              <w:t>(CFG)</w:t>
            </w:r>
          </w:p>
        </w:tc>
      </w:tr>
      <w:tr>
        <w:trPr>
          <w:trHeight w:val="56"/>
        </w:trPr>
        <w:tc>
          <w:tcPr>
            <w:tcW w:w="30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2680" w:type="dxa"/>
            <w:vAlign w:val="bottom"/>
          </w:tcPr>
          <w:p>
            <w:pPr>
              <w:spacing w:after="0"/>
              <w:rPr>
                <w:sz w:val="4"/>
                <w:szCs w:val="4"/>
                <w:color w:val="auto"/>
              </w:rPr>
            </w:pPr>
          </w:p>
        </w:tc>
      </w:tr>
      <w:tr>
        <w:trPr>
          <w:trHeight w:val="206"/>
        </w:trPr>
        <w:tc>
          <w:tcPr>
            <w:tcW w:w="30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Advanced Material Windows &amp; Door</w:t>
            </w:r>
          </w:p>
        </w:tc>
        <w:tc>
          <w:tcPr>
            <w:tcW w:w="380" w:type="dxa"/>
            <w:vAlign w:val="bottom"/>
            <w:shd w:val="clear" w:color="auto" w:fill="CCEEFF"/>
          </w:tcPr>
          <w:p>
            <w:pPr>
              <w:ind w:left="240"/>
              <w:spacing w:after="0" w:line="20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6"/>
              <w:spacing w:after="0" w:line="206" w:lineRule="exact"/>
              <w:rPr>
                <w:sz w:val="20"/>
                <w:szCs w:val="20"/>
                <w:color w:val="auto"/>
              </w:rPr>
            </w:pPr>
            <w:r>
              <w:rPr>
                <w:rFonts w:ascii="Arial" w:cs="Arial" w:eastAsia="Arial" w:hAnsi="Arial"/>
                <w:sz w:val="18"/>
                <w:szCs w:val="18"/>
                <w:color w:val="auto"/>
              </w:rPr>
              <w:t>553</w:t>
            </w:r>
          </w:p>
        </w:tc>
        <w:tc>
          <w:tcPr>
            <w:tcW w:w="1380" w:type="dxa"/>
            <w:vAlign w:val="bottom"/>
            <w:shd w:val="clear" w:color="auto" w:fill="CCEEFF"/>
          </w:tcPr>
          <w:p>
            <w:pPr>
              <w:jc w:val="right"/>
              <w:ind w:right="100"/>
              <w:spacing w:after="0" w:line="206" w:lineRule="exact"/>
              <w:rPr>
                <w:sz w:val="20"/>
                <w:szCs w:val="20"/>
                <w:color w:val="auto"/>
              </w:rPr>
            </w:pPr>
            <w:r>
              <w:rPr>
                <w:rFonts w:ascii="Arial" w:cs="Arial" w:eastAsia="Arial" w:hAnsi="Arial"/>
                <w:sz w:val="18"/>
                <w:szCs w:val="18"/>
                <w:color w:val="auto"/>
              </w:rPr>
              <w:t>16%</w:t>
            </w:r>
          </w:p>
        </w:tc>
        <w:tc>
          <w:tcPr>
            <w:tcW w:w="3180" w:type="dxa"/>
            <w:vAlign w:val="bottom"/>
            <w:shd w:val="clear" w:color="auto" w:fill="CCEEFF"/>
          </w:tcPr>
          <w:p>
            <w:pPr>
              <w:ind w:left="180"/>
              <w:spacing w:after="0" w:line="206" w:lineRule="exact"/>
              <w:rPr>
                <w:sz w:val="20"/>
                <w:szCs w:val="20"/>
                <w:color w:val="auto"/>
              </w:rPr>
            </w:pPr>
            <w:r>
              <w:rPr>
                <w:rFonts w:ascii="Arial" w:cs="Arial" w:eastAsia="Arial" w:hAnsi="Arial"/>
                <w:sz w:val="18"/>
                <w:szCs w:val="18"/>
                <w:color w:val="auto"/>
              </w:rPr>
              <w:t>#1 fiberglass residential entry door</w:t>
            </w:r>
          </w:p>
        </w:tc>
        <w:tc>
          <w:tcPr>
            <w:tcW w:w="2680" w:type="dxa"/>
            <w:vAlign w:val="bottom"/>
            <w:shd w:val="clear" w:color="auto" w:fill="CCEEFF"/>
          </w:tcPr>
          <w:p>
            <w:pPr>
              <w:ind w:left="180"/>
              <w:spacing w:after="0" w:line="206" w:lineRule="exact"/>
              <w:rPr>
                <w:sz w:val="20"/>
                <w:szCs w:val="20"/>
                <w:color w:val="auto"/>
              </w:rPr>
            </w:pPr>
            <w:r>
              <w:rPr>
                <w:rFonts w:ascii="Arial" w:cs="Arial" w:eastAsia="Arial" w:hAnsi="Arial"/>
                <w:sz w:val="18"/>
                <w:szCs w:val="18"/>
                <w:color w:val="auto"/>
              </w:rPr>
              <w:t>Therma-Tru, Simonton, Fypon</w:t>
            </w:r>
          </w:p>
        </w:tc>
      </w:tr>
      <w:tr>
        <w:trPr>
          <w:trHeight w:val="203"/>
        </w:trPr>
        <w:tc>
          <w:tcPr>
            <w:tcW w:w="30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Systems</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1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brand in the U.S. and a leader in</w:t>
            </w:r>
          </w:p>
        </w:tc>
        <w:tc>
          <w:tcPr>
            <w:tcW w:w="2680" w:type="dxa"/>
            <w:vAlign w:val="bottom"/>
            <w:shd w:val="clear" w:color="auto" w:fill="CCEEFF"/>
          </w:tcPr>
          <w:p>
            <w:pPr>
              <w:spacing w:after="0"/>
              <w:rPr>
                <w:sz w:val="17"/>
                <w:szCs w:val="17"/>
                <w:color w:val="auto"/>
              </w:rPr>
            </w:pPr>
          </w:p>
        </w:tc>
      </w:tr>
      <w:tr>
        <w:trPr>
          <w:trHeight w:val="199"/>
        </w:trPr>
        <w:tc>
          <w:tcPr>
            <w:tcW w:w="3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18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vinyl windows</w:t>
            </w:r>
          </w:p>
        </w:tc>
        <w:tc>
          <w:tcPr>
            <w:tcW w:w="2680" w:type="dxa"/>
            <w:vAlign w:val="bottom"/>
            <w:shd w:val="clear" w:color="auto" w:fill="CCEEFF"/>
          </w:tcPr>
          <w:p>
            <w:pPr>
              <w:spacing w:after="0"/>
              <w:rPr>
                <w:sz w:val="17"/>
                <w:szCs w:val="17"/>
                <w:color w:val="auto"/>
              </w:rPr>
            </w:pPr>
          </w:p>
        </w:tc>
      </w:tr>
      <w:tr>
        <w:trPr>
          <w:trHeight w:val="273"/>
        </w:trPr>
        <w:tc>
          <w:tcPr>
            <w:tcW w:w="3040" w:type="dxa"/>
            <w:vAlign w:val="bottom"/>
          </w:tcPr>
          <w:p>
            <w:pPr>
              <w:spacing w:after="0"/>
              <w:rPr>
                <w:sz w:val="20"/>
                <w:szCs w:val="20"/>
                <w:color w:val="auto"/>
              </w:rPr>
            </w:pPr>
            <w:r>
              <w:rPr>
                <w:rFonts w:ascii="Arial" w:cs="Arial" w:eastAsia="Arial" w:hAnsi="Arial"/>
                <w:sz w:val="18"/>
                <w:szCs w:val="18"/>
                <w:color w:val="auto"/>
              </w:rPr>
              <w:t>Security &amp; Storage</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6"/>
              <w:spacing w:after="0"/>
              <w:rPr>
                <w:sz w:val="20"/>
                <w:szCs w:val="20"/>
                <w:color w:val="auto"/>
              </w:rPr>
            </w:pPr>
            <w:r>
              <w:rPr>
                <w:rFonts w:ascii="Arial" w:cs="Arial" w:eastAsia="Arial" w:hAnsi="Arial"/>
                <w:sz w:val="18"/>
                <w:szCs w:val="18"/>
                <w:color w:val="auto"/>
              </w:rPr>
              <w:t>557</w:t>
            </w:r>
          </w:p>
        </w:tc>
        <w:tc>
          <w:tcPr>
            <w:tcW w:w="1380" w:type="dxa"/>
            <w:vAlign w:val="bottom"/>
          </w:tcPr>
          <w:p>
            <w:pPr>
              <w:jc w:val="right"/>
              <w:ind w:right="100"/>
              <w:spacing w:after="0"/>
              <w:rPr>
                <w:sz w:val="20"/>
                <w:szCs w:val="20"/>
                <w:color w:val="auto"/>
              </w:rPr>
            </w:pPr>
            <w:r>
              <w:rPr>
                <w:rFonts w:ascii="Arial" w:cs="Arial" w:eastAsia="Arial" w:hAnsi="Arial"/>
                <w:sz w:val="18"/>
                <w:szCs w:val="18"/>
                <w:color w:val="auto"/>
              </w:rPr>
              <w:t>17%</w:t>
            </w:r>
          </w:p>
        </w:tc>
        <w:tc>
          <w:tcPr>
            <w:tcW w:w="3180" w:type="dxa"/>
            <w:vAlign w:val="bottom"/>
          </w:tcPr>
          <w:p>
            <w:pPr>
              <w:ind w:left="180"/>
              <w:spacing w:after="0"/>
              <w:rPr>
                <w:sz w:val="20"/>
                <w:szCs w:val="20"/>
                <w:color w:val="auto"/>
              </w:rPr>
            </w:pPr>
            <w:r>
              <w:rPr>
                <w:rFonts w:ascii="Arial" w:cs="Arial" w:eastAsia="Arial" w:hAnsi="Arial"/>
                <w:sz w:val="18"/>
                <w:szCs w:val="18"/>
                <w:color w:val="auto"/>
              </w:rPr>
              <w:t>#1 in padlocks in North America and</w:t>
            </w:r>
          </w:p>
        </w:tc>
        <w:tc>
          <w:tcPr>
            <w:tcW w:w="2680" w:type="dxa"/>
            <w:vAlign w:val="bottom"/>
          </w:tcPr>
          <w:p>
            <w:pPr>
              <w:ind w:left="180"/>
              <w:spacing w:after="0"/>
              <w:rPr>
                <w:sz w:val="20"/>
                <w:szCs w:val="20"/>
                <w:color w:val="auto"/>
              </w:rPr>
            </w:pPr>
            <w:r>
              <w:rPr>
                <w:rFonts w:ascii="Arial" w:cs="Arial" w:eastAsia="Arial" w:hAnsi="Arial"/>
                <w:sz w:val="18"/>
                <w:szCs w:val="18"/>
                <w:color w:val="auto"/>
              </w:rPr>
              <w:t>Master Lock, American Lock,</w:t>
            </w:r>
          </w:p>
        </w:tc>
      </w:tr>
      <w:tr>
        <w:trPr>
          <w:trHeight w:val="203"/>
        </w:trPr>
        <w:tc>
          <w:tcPr>
            <w:tcW w:w="3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180" w:type="dxa"/>
            <w:vAlign w:val="bottom"/>
          </w:tcPr>
          <w:p>
            <w:pPr>
              <w:ind w:left="180"/>
              <w:spacing w:after="0" w:line="202" w:lineRule="exact"/>
              <w:rPr>
                <w:sz w:val="20"/>
                <w:szCs w:val="20"/>
                <w:color w:val="auto"/>
              </w:rPr>
            </w:pPr>
            <w:r>
              <w:rPr>
                <w:rFonts w:ascii="Arial" w:cs="Arial" w:eastAsia="Arial" w:hAnsi="Arial"/>
                <w:sz w:val="18"/>
                <w:szCs w:val="18"/>
                <w:color w:val="auto"/>
              </w:rPr>
              <w:t>a leader in broader access control</w:t>
            </w:r>
          </w:p>
        </w:tc>
        <w:tc>
          <w:tcPr>
            <w:tcW w:w="2680" w:type="dxa"/>
            <w:vAlign w:val="bottom"/>
          </w:tcPr>
          <w:p>
            <w:pPr>
              <w:ind w:left="180"/>
              <w:spacing w:after="0" w:line="202" w:lineRule="exact"/>
              <w:rPr>
                <w:sz w:val="20"/>
                <w:szCs w:val="20"/>
                <w:color w:val="auto"/>
              </w:rPr>
            </w:pPr>
            <w:r>
              <w:rPr>
                <w:rFonts w:ascii="Arial" w:cs="Arial" w:eastAsia="Arial" w:hAnsi="Arial"/>
                <w:sz w:val="18"/>
                <w:szCs w:val="18"/>
                <w:color w:val="auto"/>
              </w:rPr>
              <w:t>Waterloo</w:t>
            </w:r>
          </w:p>
        </w:tc>
      </w:tr>
      <w:tr>
        <w:trPr>
          <w:trHeight w:val="203"/>
        </w:trPr>
        <w:tc>
          <w:tcPr>
            <w:tcW w:w="3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180" w:type="dxa"/>
            <w:vAlign w:val="bottom"/>
          </w:tcPr>
          <w:p>
            <w:pPr>
              <w:ind w:left="180"/>
              <w:spacing w:after="0" w:line="202" w:lineRule="exact"/>
              <w:rPr>
                <w:sz w:val="20"/>
                <w:szCs w:val="20"/>
                <w:color w:val="auto"/>
              </w:rPr>
            </w:pPr>
            <w:r>
              <w:rPr>
                <w:rFonts w:ascii="Arial" w:cs="Arial" w:eastAsia="Arial" w:hAnsi="Arial"/>
                <w:sz w:val="18"/>
                <w:szCs w:val="18"/>
                <w:color w:val="auto"/>
              </w:rPr>
              <w:t>markets in North America and</w:t>
            </w:r>
          </w:p>
        </w:tc>
        <w:tc>
          <w:tcPr>
            <w:tcW w:w="2680" w:type="dxa"/>
            <w:vAlign w:val="bottom"/>
          </w:tcPr>
          <w:p>
            <w:pPr>
              <w:spacing w:after="0"/>
              <w:rPr>
                <w:sz w:val="17"/>
                <w:szCs w:val="17"/>
                <w:color w:val="auto"/>
              </w:rPr>
            </w:pPr>
          </w:p>
        </w:tc>
      </w:tr>
      <w:tr>
        <w:trPr>
          <w:trHeight w:val="199"/>
        </w:trPr>
        <w:tc>
          <w:tcPr>
            <w:tcW w:w="3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tcPr>
          <w:p>
            <w:pPr>
              <w:ind w:left="180"/>
              <w:spacing w:after="0" w:line="200" w:lineRule="exact"/>
              <w:rPr>
                <w:sz w:val="20"/>
                <w:szCs w:val="20"/>
                <w:color w:val="auto"/>
              </w:rPr>
            </w:pPr>
            <w:r>
              <w:rPr>
                <w:rFonts w:ascii="Arial" w:cs="Arial" w:eastAsia="Arial" w:hAnsi="Arial"/>
                <w:sz w:val="18"/>
                <w:szCs w:val="18"/>
                <w:color w:val="auto"/>
              </w:rPr>
              <w:t>Europe</w:t>
            </w:r>
          </w:p>
        </w:tc>
        <w:tc>
          <w:tcPr>
            <w:tcW w:w="2680" w:type="dxa"/>
            <w:vAlign w:val="bottom"/>
            <w:tcBorders>
              <w:bottom w:val="single" w:sz="8" w:color="auto"/>
            </w:tcBorders>
          </w:tcPr>
          <w:p>
            <w:pPr>
              <w:spacing w:after="0"/>
              <w:rPr>
                <w:sz w:val="17"/>
                <w:szCs w:val="17"/>
                <w:color w:val="auto"/>
              </w:rPr>
            </w:pPr>
          </w:p>
        </w:tc>
      </w:tr>
      <w:tr>
        <w:trPr>
          <w:trHeight w:val="203"/>
        </w:trPr>
        <w:tc>
          <w:tcPr>
            <w:tcW w:w="30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ind w:left="24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36"/>
              <w:spacing w:after="0" w:line="196" w:lineRule="exact"/>
              <w:rPr>
                <w:sz w:val="20"/>
                <w:szCs w:val="20"/>
                <w:color w:val="auto"/>
              </w:rPr>
            </w:pPr>
            <w:r>
              <w:rPr>
                <w:rFonts w:ascii="Arial" w:cs="Arial" w:eastAsia="Arial" w:hAnsi="Arial"/>
                <w:sz w:val="18"/>
                <w:szCs w:val="18"/>
                <w:color w:val="auto"/>
              </w:rPr>
              <w:t>3,329</w:t>
            </w:r>
          </w:p>
        </w:tc>
        <w:tc>
          <w:tcPr>
            <w:tcW w:w="1380" w:type="dxa"/>
            <w:vAlign w:val="bottom"/>
            <w:tcBorders>
              <w:bottom w:val="single" w:sz="8" w:color="auto"/>
            </w:tcBorders>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100%</w:t>
            </w:r>
          </w:p>
        </w:tc>
        <w:tc>
          <w:tcPr>
            <w:tcW w:w="3180" w:type="dxa"/>
            <w:vAlign w:val="bottom"/>
            <w:tcBorders>
              <w:bottom w:val="single" w:sz="8" w:color="auto"/>
            </w:tcBorders>
            <w:shd w:val="clear" w:color="auto" w:fill="CCEEFF"/>
          </w:tcPr>
          <w:p>
            <w:pPr>
              <w:spacing w:after="0"/>
              <w:rPr>
                <w:sz w:val="17"/>
                <w:szCs w:val="17"/>
                <w:color w:val="auto"/>
              </w:rPr>
            </w:pPr>
          </w:p>
        </w:tc>
        <w:tc>
          <w:tcPr>
            <w:tcW w:w="2680" w:type="dxa"/>
            <w:vAlign w:val="bottom"/>
            <w:tcBorders>
              <w:bottom w:val="single" w:sz="8" w:color="auto"/>
            </w:tcBorders>
            <w:shd w:val="clear" w:color="auto" w:fill="CCEEFF"/>
          </w:tcPr>
          <w:p>
            <w:pPr>
              <w:spacing w:after="0"/>
              <w:rPr>
                <w:sz w:val="17"/>
                <w:szCs w:val="17"/>
                <w:color w:val="auto"/>
              </w:rPr>
            </w:pPr>
          </w:p>
        </w:tc>
      </w:tr>
    </w:tbl>
    <w:p>
      <w:pPr>
        <w:spacing w:after="0" w:line="80" w:lineRule="exact"/>
        <w:rPr>
          <w:sz w:val="20"/>
          <w:szCs w:val="20"/>
          <w:color w:val="auto"/>
        </w:rPr>
      </w:pPr>
    </w:p>
    <w:p>
      <w:pPr>
        <w:ind w:left="220" w:right="260" w:hanging="212"/>
        <w:spacing w:after="0" w:line="180" w:lineRule="auto"/>
        <w:tabs>
          <w:tab w:leader="none" w:pos="22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Thomasville Cabinetry is a registered trademark of Thomasville Home Furnishings, Inc. a subsidiary of Furniture Industries, Inc., and Martha Stewart Living is a registered trademark of Martha Stewart Living Omnimedia, Inc.</w:t>
      </w:r>
    </w:p>
    <w:p>
      <w:pPr>
        <w:spacing w:after="0" w:line="15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Our segments compete on the basis of innovation, fashion, quality, price, service and responsiveness to distributor, retailer and installer needs, as well as end-user consumer preferences. Our markets are very competitive. Approximately 17% of 2011 net sales were to international markets, and sales to two of the Company’s customers, The Home Depot and Lowe’s, each accounted for more than 10% of the Company’s net sales in 2011. Sales to all U.S. home centers in the aggregate were approximately 30% of net sales in 2011.</w:t>
      </w:r>
    </w:p>
    <w:p>
      <w:pPr>
        <w:spacing w:after="0" w:line="135" w:lineRule="exact"/>
        <w:rPr>
          <w:sz w:val="20"/>
          <w:szCs w:val="20"/>
          <w:color w:val="auto"/>
        </w:rPr>
      </w:pPr>
    </w:p>
    <w:p>
      <w:pPr>
        <w:ind w:right="40"/>
        <w:spacing w:after="0"/>
        <w:rPr>
          <w:sz w:val="20"/>
          <w:szCs w:val="20"/>
          <w:color w:val="auto"/>
        </w:rPr>
      </w:pPr>
      <w:r>
        <w:rPr>
          <w:rFonts w:ascii="Arial" w:cs="Arial" w:eastAsia="Arial" w:hAnsi="Arial"/>
          <w:sz w:val="18"/>
          <w:szCs w:val="18"/>
          <w:b w:val="1"/>
          <w:bCs w:val="1"/>
          <w:i w:val="1"/>
          <w:iCs w:val="1"/>
          <w:color w:val="auto"/>
        </w:rPr>
        <w:t xml:space="preserve">Kitchen &amp; Bath Cabinetry. </w:t>
      </w:r>
      <w:r>
        <w:rPr>
          <w:rFonts w:ascii="Arial" w:cs="Arial" w:eastAsia="Arial" w:hAnsi="Arial"/>
          <w:sz w:val="18"/>
          <w:szCs w:val="18"/>
          <w:color w:val="auto"/>
        </w:rPr>
        <w:t>Our Kitchen &amp; Bath Cabinetry segment manufactures custom, semi-custom and stock cabinetry for the kitchen, bath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other parts of the home. We sell a portfolio of brands that enables our customers to differentiate themselves against competitors. This portfolio includes brand names such as Aristokraft, Omega, Kitchen Craft, Schrock, Diamond, HomeCrest, Decorá, Kemper, Thomasville and Martha Stewart Living. Substantially all of this segment’s sales are in North America. We sell directly to kitchen and bath dealers, home centers, wholesalers and large builders. Sales to The Home Depot and Lowe’s comprised approximately 34% of net sales of the Kitchen &amp; Bath Cabinetry segment in 2011. Our competitors include Masco and American Woodmark, as well as a large number of small suppliers.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b w:val="1"/>
          <w:bCs w:val="1"/>
          <w:i w:val="1"/>
          <w:iCs w:val="1"/>
          <w:color w:val="auto"/>
        </w:rPr>
        <w:t xml:space="preserve">Plumbing &amp; Accessories. </w:t>
      </w:r>
      <w:r>
        <w:rPr>
          <w:rFonts w:ascii="Arial" w:cs="Arial" w:eastAsia="Arial" w:hAnsi="Arial"/>
          <w:sz w:val="18"/>
          <w:szCs w:val="18"/>
          <w:color w:val="auto"/>
        </w:rPr>
        <w:t>Our Plumbing &amp; Accessories segment manufactures or assembles faucets, accessories and kitchen sinks in North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 China and India, predominantly under the Moen brand. Although we sell Plumbing &amp; Accessories products principally in the U.S. and Canada, we also sell them in China, India, Mexico, South America and Southeast Asia. We sell directly through our own sales force and indirectly through independent manufacturers’ representatives, primarily to wholesalers, home centers, mass merchandisers and industrial distributors. Sales to The Home Depot and Lowe’s comprised approximately 31% of net sales of the Plumbing &amp; Accessories segment in 2011. Our chief competitors include Delta (owned by Masco), Kohler, Pfister (owned by Stanley Black &amp; Decker), American Standard and imported private-label brands.</w:t>
      </w:r>
    </w:p>
    <w:p>
      <w:pPr>
        <w:spacing w:after="0" w:line="137"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auto"/>
        </w:rPr>
        <w:t xml:space="preserve">Advanced Material Windows &amp; Door Systems. </w:t>
      </w:r>
      <w:r>
        <w:rPr>
          <w:rFonts w:ascii="Arial" w:cs="Arial" w:eastAsia="Arial" w:hAnsi="Arial"/>
          <w:sz w:val="18"/>
          <w:szCs w:val="18"/>
          <w:color w:val="auto"/>
        </w:rPr>
        <w:t>Our Advanced Material Windows &amp; Door Systems segment manufactures fiberglass and steel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entry door systems, vinyl-framed window and patio doors, and urethane millwork product lines. This segment benefits from the long-term trend away from traditional materials, such as wood, steel and aluminum, toward more energy-efficient and durable synthetic materials. Therma-Tru products include fiberglass and steel residential entry door and patio door systems, primarily for sale in the U.S. and Canada. Simonton Windows is a leading national brand of vinyl-framed windows and patio doors. Simonton products are mainly manufactured and sold in the U.S. This segment’s principal customers are home centers, millwork building products and wholesale distributors, and specialty dealers that provide products to the residential new construction market, as well as to the remodeling and renovation markets. Sales to The Home Depot and Lowe’s comprised approximately 20% of net sales of the Advanced Material Windows &amp; Door Systems segment in 2011. Our competitors include Masonite, JELD-WEN and Plastpro, Silverline (owned by Andersen Windows), Atrium and Milgard (owned by Masco).</w:t>
      </w:r>
    </w:p>
    <w:p>
      <w:pPr>
        <w:spacing w:after="0" w:line="13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b w:val="1"/>
          <w:bCs w:val="1"/>
          <w:i w:val="1"/>
          <w:iCs w:val="1"/>
          <w:color w:val="auto"/>
        </w:rPr>
        <w:t xml:space="preserve">Security &amp; Storage. </w:t>
      </w:r>
      <w:r>
        <w:rPr>
          <w:rFonts w:ascii="Arial" w:cs="Arial" w:eastAsia="Arial" w:hAnsi="Arial"/>
          <w:sz w:val="18"/>
          <w:szCs w:val="18"/>
          <w:color w:val="auto"/>
        </w:rPr>
        <w:t>Our Security &amp; Storage segment consists of locks, safety and security devices, and electronic security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manufactured, sourced and distributed by Master Lock and tool storage and garage organization products manufactured by Waterloo. This segment sells products principally in the U.S., Canada, Europe, Australia and Central America. Master Lock manufactures and sells key-controlled and combination padlocks, bicycle and cable locks, built-in locker locks, door hardware, automotive, trailer and towing locks, and other specialty safety and security devices. Master Lock sells products designed for consumer use to hardware and other retail outlets, wholesale distributors and home centers, and Master Lock sells lock systems to industrial and institutional users, original equipment manufacturers and retail outlets. Master Lock competes with Abus, W.H. Brady, Hampton, Kwikset, Schlage, Assa Abloy and various imports.</w:t>
      </w:r>
    </w:p>
    <w:p>
      <w:pPr>
        <w:spacing w:after="0" w:line="157" w:lineRule="exact"/>
        <w:rPr>
          <w:sz w:val="20"/>
          <w:szCs w:val="20"/>
          <w:color w:val="auto"/>
        </w:rPr>
      </w:pPr>
    </w:p>
    <w:p>
      <w:pPr>
        <w:ind w:right="360"/>
        <w:spacing w:after="0" w:line="273" w:lineRule="auto"/>
        <w:rPr>
          <w:sz w:val="20"/>
          <w:szCs w:val="20"/>
          <w:color w:val="auto"/>
        </w:rPr>
      </w:pPr>
      <w:r>
        <w:rPr>
          <w:rFonts w:ascii="Arial" w:cs="Arial" w:eastAsia="Arial" w:hAnsi="Arial"/>
          <w:sz w:val="16"/>
          <w:szCs w:val="16"/>
          <w:color w:val="auto"/>
        </w:rPr>
        <w:t>Waterloo manufactures tool storage and garage organization products, principally high-quality steel toolboxes, tool chests, workbenches and related products. Waterloo primarily sells to Sears retail stores for resale under the Craftsman brand owned by Sears Brands, LLC. In addition, Waterloo sells under the Waterloo and private-label brand names to specialty industrial and automotive dealers, mass merchandisers, home centers and hardware stores. Waterloo competes with Snap-On, Kennedy, Stanley Black &amp; Decker, Stack-On and others in the metal storage segment and with Stanley Black &amp; Decker, Keter, Newell Rubbermaid and others in the plastic hand box category.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Annual revenues for each of the last three fiscal years for each of our business segments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123825</wp:posOffset>
            </wp:positionV>
            <wp:extent cx="60801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3"/>
        </w:trPr>
        <w:tc>
          <w:tcPr>
            <w:tcW w:w="41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millions)</w:t>
            </w:r>
          </w:p>
        </w:tc>
        <w:tc>
          <w:tcPr>
            <w:tcW w:w="24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i w:val="1"/>
                <w:iCs w:val="1"/>
                <w:color w:val="auto"/>
              </w:rPr>
              <w:t>2011</w:t>
            </w:r>
          </w:p>
        </w:tc>
        <w:tc>
          <w:tcPr>
            <w:tcW w:w="14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rPr>
              <w:t>2010</w:t>
            </w:r>
          </w:p>
        </w:tc>
        <w:tc>
          <w:tcPr>
            <w:tcW w:w="15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color w:val="auto"/>
              </w:rPr>
              <w:t>2009</w:t>
            </w:r>
          </w:p>
        </w:tc>
      </w:tr>
      <w:tr>
        <w:trPr>
          <w:trHeight w:val="196"/>
        </w:trPr>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Kitchen &amp; Bath Cabinetry</w:t>
            </w:r>
          </w:p>
        </w:tc>
        <w:tc>
          <w:tcPr>
            <w:tcW w:w="2420" w:type="dxa"/>
            <w:vAlign w:val="bottom"/>
            <w:shd w:val="clear" w:color="auto" w:fill="CCEEFF"/>
          </w:tcPr>
          <w:p>
            <w:pPr>
              <w:jc w:val="right"/>
              <w:ind w:right="275"/>
              <w:spacing w:after="0" w:line="196" w:lineRule="exact"/>
              <w:rPr>
                <w:sz w:val="20"/>
                <w:szCs w:val="20"/>
                <w:color w:val="auto"/>
              </w:rPr>
            </w:pPr>
            <w:r>
              <w:rPr>
                <w:rFonts w:ascii="Arial" w:cs="Arial" w:eastAsia="Arial" w:hAnsi="Arial"/>
                <w:sz w:val="18"/>
                <w:szCs w:val="18"/>
                <w:color w:val="auto"/>
              </w:rPr>
              <w:t>$1,256.3</w:t>
            </w:r>
          </w:p>
        </w:tc>
        <w:tc>
          <w:tcPr>
            <w:tcW w:w="1480" w:type="dxa"/>
            <w:vAlign w:val="bottom"/>
            <w:shd w:val="clear" w:color="auto" w:fill="CCEEFF"/>
          </w:tcPr>
          <w:p>
            <w:pPr>
              <w:jc w:val="right"/>
              <w:ind w:right="316"/>
              <w:spacing w:after="0" w:line="196" w:lineRule="exact"/>
              <w:rPr>
                <w:sz w:val="20"/>
                <w:szCs w:val="20"/>
                <w:color w:val="auto"/>
              </w:rPr>
            </w:pPr>
            <w:r>
              <w:rPr>
                <w:rFonts w:ascii="Arial" w:cs="Arial" w:eastAsia="Arial" w:hAnsi="Arial"/>
                <w:sz w:val="18"/>
                <w:szCs w:val="18"/>
                <w:color w:val="auto"/>
              </w:rPr>
              <w:t>$1,188.8</w:t>
            </w:r>
          </w:p>
        </w:tc>
        <w:tc>
          <w:tcPr>
            <w:tcW w:w="1540" w:type="dxa"/>
            <w:vAlign w:val="bottom"/>
            <w:shd w:val="clear" w:color="auto" w:fill="CCEEFF"/>
          </w:tcPr>
          <w:p>
            <w:pPr>
              <w:jc w:val="right"/>
              <w:ind w:right="336"/>
              <w:spacing w:after="0" w:line="196" w:lineRule="exact"/>
              <w:rPr>
                <w:sz w:val="20"/>
                <w:szCs w:val="20"/>
                <w:color w:val="auto"/>
              </w:rPr>
            </w:pPr>
            <w:r>
              <w:rPr>
                <w:rFonts w:ascii="Arial" w:cs="Arial" w:eastAsia="Arial" w:hAnsi="Arial"/>
                <w:sz w:val="18"/>
                <w:szCs w:val="18"/>
                <w:color w:val="auto"/>
              </w:rPr>
              <w:t>$1,125.7</w:t>
            </w: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Plumbing &amp; Accessories</w:t>
            </w:r>
          </w:p>
        </w:tc>
        <w:tc>
          <w:tcPr>
            <w:tcW w:w="2420" w:type="dxa"/>
            <w:vAlign w:val="bottom"/>
          </w:tcPr>
          <w:p>
            <w:pPr>
              <w:jc w:val="right"/>
              <w:ind w:right="275"/>
              <w:spacing w:after="0" w:line="202" w:lineRule="exact"/>
              <w:rPr>
                <w:sz w:val="20"/>
                <w:szCs w:val="20"/>
                <w:color w:val="auto"/>
              </w:rPr>
            </w:pPr>
            <w:r>
              <w:rPr>
                <w:rFonts w:ascii="Arial" w:cs="Arial" w:eastAsia="Arial" w:hAnsi="Arial"/>
                <w:sz w:val="18"/>
                <w:szCs w:val="18"/>
                <w:color w:val="auto"/>
              </w:rPr>
              <w:t>962.8</w:t>
            </w:r>
          </w:p>
        </w:tc>
        <w:tc>
          <w:tcPr>
            <w:tcW w:w="1480" w:type="dxa"/>
            <w:vAlign w:val="bottom"/>
          </w:tcPr>
          <w:p>
            <w:pPr>
              <w:jc w:val="right"/>
              <w:ind w:right="316"/>
              <w:spacing w:after="0" w:line="202" w:lineRule="exact"/>
              <w:rPr>
                <w:sz w:val="20"/>
                <w:szCs w:val="20"/>
                <w:color w:val="auto"/>
              </w:rPr>
            </w:pPr>
            <w:r>
              <w:rPr>
                <w:rFonts w:ascii="Arial" w:cs="Arial" w:eastAsia="Arial" w:hAnsi="Arial"/>
                <w:sz w:val="18"/>
                <w:szCs w:val="18"/>
                <w:color w:val="auto"/>
              </w:rPr>
              <w:t>923.8</w:t>
            </w:r>
          </w:p>
        </w:tc>
        <w:tc>
          <w:tcPr>
            <w:tcW w:w="1540" w:type="dxa"/>
            <w:vAlign w:val="bottom"/>
          </w:tcPr>
          <w:p>
            <w:pPr>
              <w:jc w:val="right"/>
              <w:ind w:right="336"/>
              <w:spacing w:after="0" w:line="202" w:lineRule="exact"/>
              <w:rPr>
                <w:sz w:val="20"/>
                <w:szCs w:val="20"/>
                <w:color w:val="auto"/>
              </w:rPr>
            </w:pPr>
            <w:r>
              <w:rPr>
                <w:rFonts w:ascii="Arial" w:cs="Arial" w:eastAsia="Arial" w:hAnsi="Arial"/>
                <w:sz w:val="18"/>
                <w:szCs w:val="18"/>
                <w:color w:val="auto"/>
              </w:rPr>
              <w:t>835.0</w:t>
            </w: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Advanced Material Windows &amp; Door Systems</w:t>
            </w:r>
          </w:p>
        </w:tc>
        <w:tc>
          <w:tcPr>
            <w:tcW w:w="2420" w:type="dxa"/>
            <w:vAlign w:val="bottom"/>
            <w:shd w:val="clear" w:color="auto" w:fill="CCEEFF"/>
          </w:tcPr>
          <w:p>
            <w:pPr>
              <w:jc w:val="right"/>
              <w:ind w:right="275"/>
              <w:spacing w:after="0" w:line="202" w:lineRule="exact"/>
              <w:rPr>
                <w:sz w:val="20"/>
                <w:szCs w:val="20"/>
                <w:color w:val="auto"/>
              </w:rPr>
            </w:pPr>
            <w:r>
              <w:rPr>
                <w:rFonts w:ascii="Arial" w:cs="Arial" w:eastAsia="Arial" w:hAnsi="Arial"/>
                <w:sz w:val="18"/>
                <w:szCs w:val="18"/>
                <w:color w:val="auto"/>
              </w:rPr>
              <w:t>552.9</w:t>
            </w:r>
          </w:p>
        </w:tc>
        <w:tc>
          <w:tcPr>
            <w:tcW w:w="1480" w:type="dxa"/>
            <w:vAlign w:val="bottom"/>
            <w:shd w:val="clear" w:color="auto" w:fill="CCEEFF"/>
          </w:tcPr>
          <w:p>
            <w:pPr>
              <w:jc w:val="right"/>
              <w:ind w:right="316"/>
              <w:spacing w:after="0" w:line="202" w:lineRule="exact"/>
              <w:rPr>
                <w:sz w:val="20"/>
                <w:szCs w:val="20"/>
                <w:color w:val="auto"/>
              </w:rPr>
            </w:pPr>
            <w:r>
              <w:rPr>
                <w:rFonts w:ascii="Arial" w:cs="Arial" w:eastAsia="Arial" w:hAnsi="Arial"/>
                <w:sz w:val="18"/>
                <w:szCs w:val="18"/>
                <w:color w:val="auto"/>
              </w:rPr>
              <w:t>600.7</w:t>
            </w:r>
          </w:p>
        </w:tc>
        <w:tc>
          <w:tcPr>
            <w:tcW w:w="1540" w:type="dxa"/>
            <w:vAlign w:val="bottom"/>
            <w:shd w:val="clear" w:color="auto" w:fill="CCEEFF"/>
          </w:tcPr>
          <w:p>
            <w:pPr>
              <w:jc w:val="right"/>
              <w:ind w:right="336"/>
              <w:spacing w:after="0" w:line="202" w:lineRule="exact"/>
              <w:rPr>
                <w:sz w:val="20"/>
                <w:szCs w:val="20"/>
                <w:color w:val="auto"/>
              </w:rPr>
            </w:pPr>
            <w:r>
              <w:rPr>
                <w:rFonts w:ascii="Arial" w:cs="Arial" w:eastAsia="Arial" w:hAnsi="Arial"/>
                <w:sz w:val="18"/>
                <w:szCs w:val="18"/>
                <w:color w:val="auto"/>
              </w:rPr>
              <w:t>550.8</w:t>
            </w:r>
          </w:p>
        </w:tc>
      </w:tr>
      <w:tr>
        <w:trPr>
          <w:trHeight w:val="203"/>
        </w:trPr>
        <w:tc>
          <w:tcPr>
            <w:tcW w:w="41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Security &amp; Storage</w:t>
            </w:r>
          </w:p>
        </w:tc>
        <w:tc>
          <w:tcPr>
            <w:tcW w:w="2420" w:type="dxa"/>
            <w:vAlign w:val="bottom"/>
            <w:tcBorders>
              <w:bottom w:val="single" w:sz="8" w:color="auto"/>
            </w:tcBorders>
          </w:tcPr>
          <w:p>
            <w:pPr>
              <w:jc w:val="right"/>
              <w:ind w:right="275"/>
              <w:spacing w:after="0" w:line="202" w:lineRule="exact"/>
              <w:rPr>
                <w:sz w:val="20"/>
                <w:szCs w:val="20"/>
                <w:color w:val="auto"/>
              </w:rPr>
            </w:pPr>
            <w:r>
              <w:rPr>
                <w:rFonts w:ascii="Arial" w:cs="Arial" w:eastAsia="Arial" w:hAnsi="Arial"/>
                <w:sz w:val="18"/>
                <w:szCs w:val="18"/>
                <w:color w:val="auto"/>
              </w:rPr>
              <w:t>556.6</w:t>
            </w:r>
          </w:p>
        </w:tc>
        <w:tc>
          <w:tcPr>
            <w:tcW w:w="1480" w:type="dxa"/>
            <w:vAlign w:val="bottom"/>
            <w:tcBorders>
              <w:bottom w:val="single" w:sz="8" w:color="auto"/>
            </w:tcBorders>
          </w:tcPr>
          <w:p>
            <w:pPr>
              <w:jc w:val="right"/>
              <w:ind w:right="316"/>
              <w:spacing w:after="0" w:line="202" w:lineRule="exact"/>
              <w:rPr>
                <w:sz w:val="20"/>
                <w:szCs w:val="20"/>
                <w:color w:val="auto"/>
              </w:rPr>
            </w:pPr>
            <w:r>
              <w:rPr>
                <w:rFonts w:ascii="Arial" w:cs="Arial" w:eastAsia="Arial" w:hAnsi="Arial"/>
                <w:sz w:val="18"/>
                <w:szCs w:val="18"/>
                <w:color w:val="auto"/>
              </w:rPr>
              <w:t>520.2</w:t>
            </w:r>
          </w:p>
        </w:tc>
        <w:tc>
          <w:tcPr>
            <w:tcW w:w="1540" w:type="dxa"/>
            <w:vAlign w:val="bottom"/>
            <w:tcBorders>
              <w:bottom w:val="single" w:sz="8" w:color="auto"/>
            </w:tcBorders>
          </w:tcPr>
          <w:p>
            <w:pPr>
              <w:jc w:val="right"/>
              <w:ind w:right="336"/>
              <w:spacing w:after="0" w:line="202" w:lineRule="exact"/>
              <w:rPr>
                <w:sz w:val="20"/>
                <w:szCs w:val="20"/>
                <w:color w:val="auto"/>
              </w:rPr>
            </w:pPr>
            <w:r>
              <w:rPr>
                <w:rFonts w:ascii="Arial" w:cs="Arial" w:eastAsia="Arial" w:hAnsi="Arial"/>
                <w:sz w:val="18"/>
                <w:szCs w:val="18"/>
                <w:color w:val="auto"/>
              </w:rPr>
              <w:t>495.3</w:t>
            </w:r>
          </w:p>
        </w:tc>
      </w:tr>
      <w:tr>
        <w:trPr>
          <w:trHeight w:val="203"/>
        </w:trPr>
        <w:tc>
          <w:tcPr>
            <w:tcW w:w="41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2420" w:type="dxa"/>
            <w:vAlign w:val="bottom"/>
            <w:tcBorders>
              <w:bottom w:val="single" w:sz="8" w:color="auto"/>
            </w:tcBorders>
            <w:shd w:val="clear" w:color="auto" w:fill="CCEEFF"/>
          </w:tcPr>
          <w:p>
            <w:pPr>
              <w:jc w:val="right"/>
              <w:ind w:right="275"/>
              <w:spacing w:after="0" w:line="196" w:lineRule="exact"/>
              <w:rPr>
                <w:sz w:val="20"/>
                <w:szCs w:val="20"/>
                <w:color w:val="auto"/>
              </w:rPr>
            </w:pPr>
            <w:r>
              <w:rPr>
                <w:rFonts w:ascii="Arial" w:cs="Arial" w:eastAsia="Arial" w:hAnsi="Arial"/>
                <w:sz w:val="18"/>
                <w:szCs w:val="18"/>
                <w:color w:val="auto"/>
              </w:rPr>
              <w:t>$3,328.6</w:t>
            </w:r>
          </w:p>
        </w:tc>
        <w:tc>
          <w:tcPr>
            <w:tcW w:w="1480" w:type="dxa"/>
            <w:vAlign w:val="bottom"/>
            <w:tcBorders>
              <w:bottom w:val="single" w:sz="8" w:color="auto"/>
            </w:tcBorders>
            <w:shd w:val="clear" w:color="auto" w:fill="CCEEFF"/>
          </w:tcPr>
          <w:p>
            <w:pPr>
              <w:jc w:val="right"/>
              <w:ind w:right="316"/>
              <w:spacing w:after="0" w:line="196" w:lineRule="exact"/>
              <w:rPr>
                <w:sz w:val="20"/>
                <w:szCs w:val="20"/>
                <w:color w:val="auto"/>
              </w:rPr>
            </w:pPr>
            <w:r>
              <w:rPr>
                <w:rFonts w:ascii="Arial" w:cs="Arial" w:eastAsia="Arial" w:hAnsi="Arial"/>
                <w:sz w:val="18"/>
                <w:szCs w:val="18"/>
                <w:color w:val="auto"/>
              </w:rPr>
              <w:t>$3,233.5</w:t>
            </w:r>
          </w:p>
        </w:tc>
        <w:tc>
          <w:tcPr>
            <w:tcW w:w="1540" w:type="dxa"/>
            <w:vAlign w:val="bottom"/>
            <w:tcBorders>
              <w:bottom w:val="single" w:sz="8" w:color="auto"/>
            </w:tcBorders>
            <w:shd w:val="clear" w:color="auto" w:fill="CCEEFF"/>
          </w:tcPr>
          <w:p>
            <w:pPr>
              <w:jc w:val="right"/>
              <w:ind w:right="336"/>
              <w:spacing w:after="0" w:line="196" w:lineRule="exact"/>
              <w:rPr>
                <w:sz w:val="20"/>
                <w:szCs w:val="20"/>
                <w:color w:val="auto"/>
              </w:rPr>
            </w:pPr>
            <w:r>
              <w:rPr>
                <w:rFonts w:ascii="Arial" w:cs="Arial" w:eastAsia="Arial" w:hAnsi="Arial"/>
                <w:sz w:val="18"/>
                <w:szCs w:val="18"/>
                <w:color w:val="auto"/>
              </w:rPr>
              <w:t>$3,006.8</w:t>
            </w:r>
          </w:p>
        </w:tc>
      </w:tr>
      <w:tr>
        <w:trPr>
          <w:trHeight w:val="363"/>
        </w:trPr>
        <w:tc>
          <w:tcPr>
            <w:tcW w:w="4140" w:type="dxa"/>
            <w:vAlign w:val="bottom"/>
          </w:tcPr>
          <w:p>
            <w:pPr>
              <w:spacing w:after="0"/>
              <w:rPr>
                <w:sz w:val="24"/>
                <w:szCs w:val="24"/>
                <w:color w:val="auto"/>
              </w:rPr>
            </w:pPr>
          </w:p>
        </w:tc>
        <w:tc>
          <w:tcPr>
            <w:tcW w:w="2420" w:type="dxa"/>
            <w:vAlign w:val="bottom"/>
          </w:tcPr>
          <w:p>
            <w:pPr>
              <w:jc w:val="right"/>
              <w:ind w:right="1635"/>
              <w:spacing w:after="0"/>
              <w:rPr>
                <w:sz w:val="20"/>
                <w:szCs w:val="20"/>
                <w:color w:val="auto"/>
              </w:rPr>
            </w:pPr>
            <w:r>
              <w:rPr>
                <w:rFonts w:ascii="Arial" w:cs="Arial" w:eastAsia="Arial" w:hAnsi="Arial"/>
                <w:sz w:val="18"/>
                <w:szCs w:val="18"/>
                <w:color w:val="auto"/>
              </w:rPr>
              <w:t>5</w:t>
            </w: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For additional financial information for each of our business segments, refer to Note 17, “Information on Business Segments,” to the Consolidated Financial Statements in Item 8 of this Annual Report on Form 10-K.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160" w:lineRule="exact"/>
        <w:rPr>
          <w:sz w:val="20"/>
          <w:szCs w:val="20"/>
          <w:color w:val="auto"/>
        </w:rPr>
      </w:pPr>
    </w:p>
    <w:p>
      <w:pPr>
        <w:ind w:right="580"/>
        <w:spacing w:after="0" w:line="248" w:lineRule="auto"/>
        <w:rPr>
          <w:sz w:val="20"/>
          <w:szCs w:val="20"/>
          <w:color w:val="auto"/>
        </w:rPr>
      </w:pPr>
      <w:r>
        <w:rPr>
          <w:rFonts w:ascii="Arial" w:cs="Arial" w:eastAsia="Arial" w:hAnsi="Arial"/>
          <w:sz w:val="18"/>
          <w:szCs w:val="18"/>
          <w:b w:val="1"/>
          <w:bCs w:val="1"/>
          <w:i w:val="1"/>
          <w:iCs w:val="1"/>
          <w:color w:val="auto"/>
        </w:rPr>
        <w:t xml:space="preserve">Raw materials. </w:t>
      </w:r>
      <w:r>
        <w:rPr>
          <w:rFonts w:ascii="Arial" w:cs="Arial" w:eastAsia="Arial" w:hAnsi="Arial"/>
          <w:sz w:val="18"/>
          <w:szCs w:val="18"/>
          <w:color w:val="auto"/>
        </w:rPr>
        <w:t>The table below indicates the principal raw materials used by each of our segments. These materials are available from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sources. Volatility in the prices of commodities and energy used in making and distributing our products impacts the cost of manufacturing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Segment</w:t>
            </w:r>
          </w:p>
        </w:tc>
        <w:tc>
          <w:tcPr>
            <w:tcW w:w="6620" w:type="dxa"/>
            <w:vAlign w:val="bottom"/>
            <w:tcBorders>
              <w:bottom w:val="single" w:sz="8" w:color="auto"/>
            </w:tcBorders>
          </w:tcPr>
          <w:p>
            <w:pPr>
              <w:ind w:left="1260"/>
              <w:spacing w:after="0"/>
              <w:rPr>
                <w:sz w:val="20"/>
                <w:szCs w:val="20"/>
                <w:color w:val="auto"/>
              </w:rPr>
            </w:pPr>
            <w:r>
              <w:rPr>
                <w:rFonts w:ascii="Arial" w:cs="Arial" w:eastAsia="Arial" w:hAnsi="Arial"/>
                <w:sz w:val="14"/>
                <w:szCs w:val="14"/>
                <w:color w:val="auto"/>
              </w:rPr>
              <w:t>Raw Materials</w:t>
            </w:r>
          </w:p>
        </w:tc>
      </w:tr>
      <w:tr>
        <w:trPr>
          <w:trHeight w:val="199"/>
        </w:trPr>
        <w:tc>
          <w:tcPr>
            <w:tcW w:w="4800" w:type="dxa"/>
            <w:vAlign w:val="bottom"/>
          </w:tcPr>
          <w:p>
            <w:pPr>
              <w:spacing w:after="0" w:line="200" w:lineRule="exact"/>
              <w:rPr>
                <w:sz w:val="20"/>
                <w:szCs w:val="20"/>
                <w:color w:val="auto"/>
              </w:rPr>
            </w:pPr>
            <w:r>
              <w:rPr>
                <w:rFonts w:ascii="Arial" w:cs="Arial" w:eastAsia="Arial" w:hAnsi="Arial"/>
                <w:sz w:val="18"/>
                <w:szCs w:val="18"/>
                <w:color w:val="auto"/>
              </w:rPr>
              <w:t>Kitchen &amp; Bath Cabinetry</w:t>
            </w:r>
          </w:p>
        </w:tc>
        <w:tc>
          <w:tcPr>
            <w:tcW w:w="6620" w:type="dxa"/>
            <w:vAlign w:val="bottom"/>
          </w:tcPr>
          <w:p>
            <w:pPr>
              <w:ind w:left="1260"/>
              <w:spacing w:after="0" w:line="200" w:lineRule="exact"/>
              <w:rPr>
                <w:sz w:val="20"/>
                <w:szCs w:val="20"/>
                <w:color w:val="auto"/>
              </w:rPr>
            </w:pPr>
            <w:r>
              <w:rPr>
                <w:rFonts w:ascii="Arial" w:cs="Arial" w:eastAsia="Arial" w:hAnsi="Arial"/>
                <w:sz w:val="18"/>
                <w:szCs w:val="18"/>
                <w:color w:val="auto"/>
              </w:rPr>
              <w:t>Hardwoods (maple, cherry and oak), plywood and particleboard</w:t>
            </w: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Plumbing &amp; Accessories</w:t>
            </w:r>
          </w:p>
        </w:tc>
        <w:tc>
          <w:tcPr>
            <w:tcW w:w="6620" w:type="dxa"/>
            <w:vAlign w:val="bottom"/>
          </w:tcPr>
          <w:p>
            <w:pPr>
              <w:ind w:left="1260"/>
              <w:spacing w:after="0" w:line="202" w:lineRule="exact"/>
              <w:rPr>
                <w:sz w:val="20"/>
                <w:szCs w:val="20"/>
                <w:color w:val="auto"/>
              </w:rPr>
            </w:pPr>
            <w:r>
              <w:rPr>
                <w:rFonts w:ascii="Arial" w:cs="Arial" w:eastAsia="Arial" w:hAnsi="Arial"/>
                <w:sz w:val="18"/>
                <w:szCs w:val="18"/>
                <w:color w:val="auto"/>
              </w:rPr>
              <w:t>Brass, zinc, copper, nickel and resins</w:t>
            </w: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Advanced Material Windows &amp; Door Systems</w:t>
            </w:r>
          </w:p>
        </w:tc>
        <w:tc>
          <w:tcPr>
            <w:tcW w:w="6620" w:type="dxa"/>
            <w:vAlign w:val="bottom"/>
          </w:tcPr>
          <w:p>
            <w:pPr>
              <w:ind w:left="1260"/>
              <w:spacing w:after="0" w:line="202" w:lineRule="exact"/>
              <w:rPr>
                <w:sz w:val="20"/>
                <w:szCs w:val="20"/>
                <w:color w:val="auto"/>
              </w:rPr>
            </w:pPr>
            <w:r>
              <w:rPr>
                <w:rFonts w:ascii="Arial" w:cs="Arial" w:eastAsia="Arial" w:hAnsi="Arial"/>
                <w:sz w:val="18"/>
                <w:szCs w:val="18"/>
                <w:color w:val="auto"/>
              </w:rPr>
              <w:t>Resins, steel and glass</w:t>
            </w:r>
          </w:p>
        </w:tc>
      </w:tr>
      <w:tr>
        <w:trPr>
          <w:trHeight w:val="199"/>
        </w:trPr>
        <w:tc>
          <w:tcPr>
            <w:tcW w:w="48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Security &amp; Storage</w:t>
            </w:r>
          </w:p>
        </w:tc>
        <w:tc>
          <w:tcPr>
            <w:tcW w:w="6620" w:type="dxa"/>
            <w:vAlign w:val="bottom"/>
            <w:tcBorders>
              <w:bottom w:val="single" w:sz="8" w:color="auto"/>
            </w:tcBorders>
          </w:tcPr>
          <w:p>
            <w:pPr>
              <w:ind w:left="1260"/>
              <w:spacing w:after="0" w:line="200" w:lineRule="exact"/>
              <w:rPr>
                <w:sz w:val="20"/>
                <w:szCs w:val="20"/>
                <w:color w:val="auto"/>
              </w:rPr>
            </w:pPr>
            <w:r>
              <w:rPr>
                <w:rFonts w:ascii="Arial" w:cs="Arial" w:eastAsia="Arial" w:hAnsi="Arial"/>
                <w:sz w:val="18"/>
                <w:szCs w:val="18"/>
                <w:color w:val="auto"/>
              </w:rPr>
              <w:t>Rolled steel, brass, zinc, and aluminum</w:t>
            </w:r>
          </w:p>
        </w:tc>
      </w:tr>
    </w:tbl>
    <w:p>
      <w:pPr>
        <w:spacing w:after="0" w:line="145"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b w:val="1"/>
          <w:bCs w:val="1"/>
          <w:i w:val="1"/>
          <w:iCs w:val="1"/>
          <w:color w:val="auto"/>
        </w:rPr>
        <w:t xml:space="preserve">Intellectual property. </w:t>
      </w:r>
      <w:r>
        <w:rPr>
          <w:rFonts w:ascii="Arial" w:cs="Arial" w:eastAsia="Arial" w:hAnsi="Arial"/>
          <w:sz w:val="18"/>
          <w:szCs w:val="18"/>
          <w:color w:val="auto"/>
        </w:rPr>
        <w:t>Product innovation and branding are important to the success of our business. In addition to the brand protection offered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our trademarks, patent protection helps distinguish our unique product features in the market by preventing copying and making it more difficult for competitors to benefit unfairly from our design innovation. We hold U.S. and foreign patents covering various features used in products sold within all of our business segments. Although each of our segments relies on a number of patents and patent groups that, in the aggregate, provide important protections to the Company, no patent or patent group is material to any of the Company’s segments.</w:t>
      </w:r>
    </w:p>
    <w:p>
      <w:pPr>
        <w:spacing w:after="0" w:line="136" w:lineRule="exact"/>
        <w:rPr>
          <w:sz w:val="20"/>
          <w:szCs w:val="20"/>
          <w:color w:val="auto"/>
        </w:rPr>
      </w:pPr>
    </w:p>
    <w:p>
      <w:pPr>
        <w:ind w:right="60"/>
        <w:spacing w:after="0" w:line="325" w:lineRule="auto"/>
        <w:rPr>
          <w:sz w:val="20"/>
          <w:szCs w:val="20"/>
          <w:color w:val="auto"/>
        </w:rPr>
      </w:pPr>
      <w:r>
        <w:rPr>
          <w:rFonts w:ascii="Arial" w:cs="Arial" w:eastAsia="Arial" w:hAnsi="Arial"/>
          <w:sz w:val="16"/>
          <w:szCs w:val="16"/>
          <w:b w:val="1"/>
          <w:bCs w:val="1"/>
          <w:i w:val="1"/>
          <w:iCs w:val="1"/>
          <w:color w:val="auto"/>
        </w:rPr>
        <w:t xml:space="preserve">Employees. </w:t>
      </w:r>
      <w:r>
        <w:rPr>
          <w:rFonts w:ascii="Arial" w:cs="Arial" w:eastAsia="Arial" w:hAnsi="Arial"/>
          <w:sz w:val="16"/>
          <w:szCs w:val="16"/>
          <w:color w:val="auto"/>
        </w:rPr>
        <w:t>As of December 31, 2011, we had approximately 16,100 employees. Approximately 11% of these employees are covered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collective bargaining agreements, none of which are subject to agreements that will expire within one year. Employee relations are generally good.</w:t>
      </w:r>
    </w:p>
    <w:p>
      <w:pPr>
        <w:spacing w:after="0" w:line="69"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b w:val="1"/>
          <w:bCs w:val="1"/>
          <w:i w:val="1"/>
          <w:iCs w:val="1"/>
          <w:color w:val="auto"/>
        </w:rPr>
        <w:t xml:space="preserve">Information about geographic areas. </w:t>
      </w:r>
      <w:r>
        <w:rPr>
          <w:rFonts w:ascii="Arial" w:cs="Arial" w:eastAsia="Arial" w:hAnsi="Arial"/>
          <w:sz w:val="18"/>
          <w:szCs w:val="18"/>
          <w:color w:val="auto"/>
        </w:rPr>
        <w:t>For additional information, refer to Note 17, “Information on Business Segments,” to the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Statements in Item 8 of this Annual Report on Form 10-K.</w:t>
      </w:r>
    </w:p>
    <w:p>
      <w:pPr>
        <w:spacing w:after="0" w:line="115"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b w:val="1"/>
          <w:bCs w:val="1"/>
          <w:i w:val="1"/>
          <w:iCs w:val="1"/>
          <w:color w:val="auto"/>
        </w:rPr>
        <w:t xml:space="preserve">Seasonality. </w:t>
      </w:r>
      <w:r>
        <w:rPr>
          <w:rFonts w:ascii="Arial" w:cs="Arial" w:eastAsia="Arial" w:hAnsi="Arial"/>
          <w:sz w:val="18"/>
          <w:szCs w:val="18"/>
          <w:color w:val="auto"/>
        </w:rPr>
        <w:t>All of our operating segments traditionally experience lower sales in the first quarter of the year when new home construction,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repair-and-remodel activity and security and storage buying are lowest. As a result of sales seasonality and associated timing of working capital fluctuations, our cash flow from operating activities is typically higher in the second half of the year.</w:t>
      </w:r>
    </w:p>
    <w:p>
      <w:pPr>
        <w:spacing w:after="0" w:line="128"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auto"/>
        </w:rPr>
        <w:t xml:space="preserve">Environmental matters. </w:t>
      </w:r>
      <w:r>
        <w:rPr>
          <w:rFonts w:ascii="Arial" w:cs="Arial" w:eastAsia="Arial" w:hAnsi="Arial"/>
          <w:sz w:val="18"/>
          <w:szCs w:val="18"/>
          <w:color w:val="auto"/>
        </w:rPr>
        <w:t>We are involved in remediation activities to clean up hazardous wastes as required by federal and state laws.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for remediation costs of each site are based on our best estimate of undiscounted future costs, excluding possible insurance recoveries or recoveries from other third parties. Uncertainties about the status of laws, regulations, technology and information related to individual sites make it difficult to develop estimates of environmental remediation exposures. Some of the potential liabilities relate to sites we own, and some relate to sites we no longer own or never owned. Several of our subsidiaries have been designated as potentially responsible parties (“PRP”) under “Superfund” or similar state laws. As of December 31, 2011, eight instances have not been dismissed, settled or otherwise resolved. In most instances where our subsidiaries are named as a PRP, we enter into cost-sharing arrangements with other PRPs. We give notice to insurance carriers of potential PRP liability, but very rarely, if ever, receive reimbursement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from insurance for PRP costs. We believe that the cost of complying with the present environmental protection laws, before considering estimated recoveries either from other PRPs or insurance, will not have a material adverse effect on our results of operations, cash flows or financial condition. At December 31, 2011 and 2010, we had accruals of $7.9 million and $8.2 million, respectively, relating to environmental compliance and clean up including, but not limited to, the above mentioned Superfund sites.</w:t>
      </w:r>
    </w:p>
    <w:p>
      <w:pPr>
        <w:spacing w:after="0" w:line="135"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b w:val="1"/>
          <w:bCs w:val="1"/>
          <w:i w:val="1"/>
          <w:iCs w:val="1"/>
          <w:color w:val="auto"/>
        </w:rPr>
        <w:t xml:space="preserve">Legal proceedings. </w:t>
      </w:r>
      <w:r>
        <w:rPr>
          <w:rFonts w:ascii="Arial" w:cs="Arial" w:eastAsia="Arial" w:hAnsi="Arial"/>
          <w:sz w:val="18"/>
          <w:szCs w:val="18"/>
          <w:color w:val="auto"/>
        </w:rPr>
        <w:t>We are defendants in lawsuits associated with the normal conduct of our businesses and operations. It is not possible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predict the outcome of the pending actions and, as with any litigation, it is possible that some of these actions could be decided unfavorably to us. We believe that there are meritorious defenses to these actions and that these actions will not have a material adverse effect upon our results of operations, cash flows or financial condition, and, where appropriate, these actions are being vigorously contested.</w:t>
      </w:r>
    </w:p>
    <w:p>
      <w:pPr>
        <w:spacing w:after="0" w:line="131" w:lineRule="exact"/>
        <w:rPr>
          <w:sz w:val="20"/>
          <w:szCs w:val="20"/>
          <w:color w:val="auto"/>
        </w:rPr>
      </w:pPr>
    </w:p>
    <w:p>
      <w:pPr>
        <w:jc w:val="both"/>
        <w:ind w:right="100"/>
        <w:spacing w:after="0" w:line="272" w:lineRule="auto"/>
        <w:rPr>
          <w:sz w:val="20"/>
          <w:szCs w:val="20"/>
          <w:color w:val="auto"/>
        </w:rPr>
      </w:pPr>
      <w:r>
        <w:rPr>
          <w:rFonts w:ascii="Arial" w:cs="Arial" w:eastAsia="Arial" w:hAnsi="Arial"/>
          <w:sz w:val="16"/>
          <w:szCs w:val="16"/>
          <w:b w:val="1"/>
          <w:bCs w:val="1"/>
          <w:i w:val="1"/>
          <w:iCs w:val="1"/>
          <w:color w:val="auto"/>
        </w:rPr>
        <w:t xml:space="preserve">Legal structure. </w:t>
      </w:r>
      <w:r>
        <w:rPr>
          <w:rFonts w:ascii="Arial" w:cs="Arial" w:eastAsia="Arial" w:hAnsi="Arial"/>
          <w:sz w:val="16"/>
          <w:szCs w:val="16"/>
          <w:color w:val="auto"/>
        </w:rPr>
        <w:t>Fortune Brands Home &amp; Security, Inc. is a holding company that was initially organized as a Delaware corporation in 1988.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2005, the company was converted into a Delaware limited liability company, which was subsequently renamed “Fortune Brands Home &amp; Security LLC.” On August 26, 2011, Fortune Brands Home &amp; Security LLC converted into a Delaware corporation, Fortune Brands Home &amp; Security, Inc.</w:t>
      </w:r>
    </w:p>
    <w:p>
      <w:pPr>
        <w:spacing w:after="0" w:line="2"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Wholly-owned subsidiaries of the Company include MasterBrand Cabinets, Inc., Moen Incorporated, Therma-Tru Corp., Simonton Holdings, Inc. and Fortune Brands Storage &amp; Security LLC. As a holding company, Home &amp; Security is a legal entity separate and distinct from our subsidiaries. Accordingly, the rights of the Company, and thus the rights of our creditors (including holders of debt securities and other obligations) and stockholders to participate in any distribution of the assets or earnings of any subsidiary, is subject to the claims of creditors of the subsidiary, except to the extent that claims of the Company itself as a creditor of such subsidiary may be recognized, in which event the Company’s claims may in certain circumstances be subordinate to certain claims of others. In addition, as a holding company, the source of our unconsolidated revenues and funds is dividends and other payments from subsidiaries. Our subsidiaries are not limited by long-term debt or other agreements in their abilities to pay cash dividends or to make other distributions with respect to their capital stock or other payments to the Company.</w:t>
      </w:r>
    </w:p>
    <w:p>
      <w:pPr>
        <w:spacing w:after="0" w:line="11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b w:val="1"/>
          <w:bCs w:val="1"/>
          <w:i w:val="1"/>
          <w:iCs w:val="1"/>
          <w:color w:val="auto"/>
        </w:rPr>
        <w:t xml:space="preserve">Available Information. </w:t>
      </w:r>
      <w:r>
        <w:rPr>
          <w:rFonts w:ascii="Arial" w:cs="Arial" w:eastAsia="Arial" w:hAnsi="Arial"/>
          <w:sz w:val="18"/>
          <w:szCs w:val="18"/>
          <w:color w:val="auto"/>
        </w:rPr>
        <w:t>The Company’s website address is www.FBHS.com. The Company’s Annual Report on Form 10-K, quarterly reports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 10-Q, current reports on Form 8-K and any amendments to these reports are available free of charge on the Company’s website as soon as reasonably practicable after the reports are filed or furnished electronically with the Securities and Exchange Commission (the “SEC”). These documents also are made available to read and copy at the SEC’s Public Reference Room at 100 F Street, N.E., Washington, D.C. 20549. You may obtain information about the Public Reference Room by contacting the SEC at 1-800-SEC-0330. Reports filed with the SEC are also made available on its website at www.sec.gov. We also make available on our website, or in printed form upon request, free of charge, our Corporate Governance Principles, Code of Business Conduct and Ethics, Code of Ethics for Senior Financial Officers, Charters for the Committees of our Board of Directors and certain other information related to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8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This Annual Report on Form 10-K contains certain “forward-looking statements” made pursuant to the safe harbor provisions of Section 27A of the Securities Act of 1933, as amended (the “Securities Act”), and Section 21E of the Securities Exchange Act of 1934, as amended (the “Exchange Act”), regarding business strategies, market potential, future financial performance and other matters. Statements preceded by, followed by or that otherwise include the words “believes,” “expects,” “anticipates,” “intends,” “projects,” “estimates,” “plans” and similar expressions or future or</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conditional verbs such as “will,” “should,” “would,” “may” and “could” are generally forward-looking in nature and not historical facts. Where, in any forward-looking statement, we express an expectation or belief as to future results or events, such expectation or belief is based on the current plans and expectations at the time this report is filed with the SEC or, with respect to any documents incorporated by reference, available at the time such document was prepared. Although we believe that these statements are based on reasonable assumptions, they are subject to numerous factors, risks and uncertainties that could cause actual outcomes and results to be materially different from those indicated in such statements. These factors include those listed in the section below entitled “Risk Factors.” Except as required by law, we undertake no obligation to update or revise any forward-looking statements to reflect changed assumptions, the occurrence of anticipated or unanticipated events, new information or changes to future results over time or otherwise.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6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i w:val="1"/>
          <w:iCs w:val="1"/>
          <w:color w:val="auto"/>
        </w:rPr>
        <w:t>Our business primarily relies on North American home improvement, repair and new home construction activity levels, all of which are impacted by risks associated with fluctuations in the housing market.</w:t>
      </w:r>
    </w:p>
    <w:p>
      <w:pPr>
        <w:spacing w:after="0" w:line="137"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Our business primarily relies on home improvement, repair and remodel, and new home construction activity levels, principally in North America. While the North American housing market stabilized during 2010 and 2011, the prolonged decline in the housing market continues to adversely affect these activities, which remain at historically low levels. Low levels of consumer confidence and the downward pressure on home prices have made homeowners hesitant to make additional investments in their homes, particularly for large ticket items such as kitchen and bath remodeling projects. Further, tighter lending standards have limited the ability of consumers to finance home purchases and home improvements. The new home construction market, which is generally cyclical in nature, has undergone a major downturn marked by substantial declines in the demand for new homes, an oversupply of new and existing homes on the market, and a reduction in the availability of financing for homebuyers, and remains at historically low levels. In addition, the high number of home mortgage foreclosures has further added to the oversupply of existing homes held for sale, which has contributed to the sustained downward pressure on home prices as well as the demand for new home construction.</w:t>
      </w:r>
    </w:p>
    <w:p>
      <w:pPr>
        <w:spacing w:after="0" w:line="13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continue to believe long-term trends should result in substantial growth in our markets. Population growth and immigration trends are contributing to increased household formation, which we believe should reduce the existing excess supply of homes in the market. In addition, due to aging housing stock, there is a growing need for replacement, remodeling and repair as well as products to enhance energy efficiency. We also believe that there is growing awareness regarding the importance of adequately protecting family, employees and assets. Although we continue to believe that the long-term outlook for the home products markets is favorable, we cannot predict the timing, strength, or shape of a recovery. As a result, depressed levels of consumer spending on home improvements and new home construction have adversely affected, and may continue to adversely affect, our results of operations, cash flows and financial condition.</w:t>
      </w:r>
    </w:p>
    <w:p>
      <w:pPr>
        <w:spacing w:after="0" w:line="137"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i w:val="1"/>
          <w:iCs w:val="1"/>
          <w:color w:val="auto"/>
        </w:rPr>
        <w:t>Consumers may have been adversely impacted long-term by the global economic recession, economic and housing challenges may continue and a recovery may be slow or may not occur at all, adversely impacting our results of operations, cash flows and financial condition.</w:t>
      </w:r>
    </w:p>
    <w:p>
      <w:pPr>
        <w:spacing w:after="0" w:line="13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Stable economic conditions, including strong employment, consumer confidence and credit availability, are important not only to the basic health of our consumer markets, but also to our own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results of operations, cash flows and financial condition. While the major economic disruptions of the 2008-2009 recession have largely subsided, significant economic and consumer challenges remain, including sustained high unemployment, low consumer confidence, record budget deficits and levels of government debt, and fragile credit and housing markets. As a result, consumers trading down to lower-priced products and increased focus on value may endure long-term despite a recovery in demand. Consumers may even choose to reduce discretionary spending further or price consciousness may intensify or delay or decrease home ownership and household formation, as well as cause a shift in demand to smaller, less expensive homes, including from single-family to multi-family housing. These factors may adversely impact our results of operations, cash flows and financial condition. In addition, the prolonged global economic downturn may also adversely impact our access to long-term capital markets, result in increased interest rates on our corporate debt, and weaken operating cash flow and liquidity. Decreased cash flow and liquidity could potentially impact our ability to pay dividends, fund acquisitions and repurchase shares in the future.</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operate in very competitive consumer and trade brand categories.</w:t>
      </w:r>
    </w:p>
    <w:p>
      <w:pPr>
        <w:spacing w:after="0" w:line="17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home products market is very competitive. Competition is further intensified during economic downturns. Although we believe that competition in our businesses is based largely on product quality, consumer and trade brand reputation, customer service and product features, as well as fashion, innovation and ease of installation, price is a significant factor for consumers as well as our trade customers. Price sensitive customers may be more likely to trade down to lower-priced products during challenging economic times or if economic conditions worsen. In addition, some of our competitors may resort to price competition to sustain market share and manufacturing capacity utilization. Also, certain large customers continue to offer private-label brands that compete with some of our product offerings as a lower-cost alternative. The strong competition that we face in all of our businesses may adversely affect our profitability and revenue levels, as well as our results of operations, cash flows and financial condition.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successfully develop new products or improve existing products.</w:t>
      </w:r>
    </w:p>
    <w:p>
      <w:pPr>
        <w:spacing w:after="0" w:line="17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success depends on meeting consumer needs and anticipating changes in consumer preferences with successful new products and product improvements. We aim to introduce products and new or improved production processes proactively to offset obsolescence and decreases in sales of existing products. While we devote significant focus to the development of new products, we may not be successful in product development, and our new products may not be commercially successful. In addition, it is possible that competitors may either improve more rapidly or effectively, which could adversely affect our sales. Furthermore, market demand may decline as a result of consumer preferences trending away from our categories or trending down within our brands or product categories, which could adversely impact our results of operations, cash flows and financial condition.</w:t>
      </w:r>
    </w:p>
    <w:p>
      <w:pPr>
        <w:spacing w:after="0" w:line="137"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i w:val="1"/>
          <w:iCs w:val="1"/>
          <w:color w:val="auto"/>
        </w:rPr>
        <w:t>Risks associated with our ability to improve organizational productivity and global supply chain efficiency and flexibility could adversely affect our results of operations, cash flows and financial condition.</w:t>
      </w:r>
    </w:p>
    <w:p>
      <w:pPr>
        <w:spacing w:after="0" w:line="137"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We regularly evaluate our organizational productivity and global supply chains and assess opportunities to reduce costs and enhance quality. We strive to enhance quality, speed and flexibility to meet changing and uncertain market conditions, as well as manage cost inflation, including wages, pension and medical costs. Our success depends in part on refining our cost structure and supply chains to promote consistently flexible and low cost supply chains that can respond to market pressures to protect profitability and cash flow or ramp up quickly and effectively to meet demand. Failure to achieve the desired level of quality, capacity or cost reductions could impair our results of</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20"/>
        <w:spacing w:after="0" w:line="299" w:lineRule="auto"/>
        <w:rPr>
          <w:sz w:val="20"/>
          <w:szCs w:val="20"/>
          <w:color w:val="auto"/>
        </w:rPr>
      </w:pPr>
      <w:r>
        <w:rPr>
          <w:rFonts w:ascii="Arial" w:cs="Arial" w:eastAsia="Arial" w:hAnsi="Arial"/>
          <w:sz w:val="16"/>
          <w:szCs w:val="16"/>
          <w:color w:val="auto"/>
        </w:rPr>
        <w:t>operations, cash flows and financial condition. Despite our efforts to control costs and improve productivity in our facilities, increased competition could still cause lower operating margins and profitability, negatively impacting our results of operations, cash flows and financial condition.</w:t>
      </w:r>
    </w:p>
    <w:p>
      <w:pPr>
        <w:spacing w:after="0" w:line="91"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i w:val="1"/>
          <w:iCs w:val="1"/>
          <w:color w:val="auto"/>
        </w:rPr>
        <w:t>Risks associated with global commodity and energy availability and price and volatility, as well as the possibility of sustained inflation could adversely affect our results of operations, cash flows and financial condition.</w:t>
      </w:r>
    </w:p>
    <w:p>
      <w:pPr>
        <w:spacing w:after="0" w:line="13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are exposed to risks associated with global commodity price volatility arising from restricted or uneven supply conditions, the sustained expansion and volatility of demand from emerging markets, potentially unstable geopolitical and economic variables, weather and other unpredictable external factors. We buy raw materials that contain commodities such as copper, zinc, steel, glass, wood, and petroleum-based products such as resins. In addition, our distribution costs are significantly impacted by the price of oil and diesel fuel. Decreased availability and increased or volatile prices for these commodities, as well as energy used in making, distributing and transporting our products, could increase the costs of our products. While in the past we have been able to mitigate the impact of these cost increases through productivity improvements and passing on increasing costs to our customers over time, there is no assurance that we will be able to offset such cost increases in the future, and the risk of potentially sustained high levels of inflation could adversely impact our results of operations, cash flows and financial condition. While we may use derivative contracts to limit our short-term exposure to commodity price volatility, the exposures under these contracts could still be material to our results of operations, cash flows and financial condition. In addition, in periods of declining commodity prices, these derivative contracts may have the short-term effect of increasing our expenditures for these raw materials.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 consolidation of our customers could adversely affect our results of operations, cash flows and financial condition.</w:t>
      </w:r>
    </w:p>
    <w:p>
      <w:pPr>
        <w:spacing w:after="0" w:line="17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consolidation of customers in North America has increased the size and importance of individual customers and creates risk of exposure to potential volume loss. Furthermore, larger customers have greater leverage and can better control the prices we receive for our products and services, our costs of doing business with them and the terms and conditions on which we do business. The loss of certain larger customers could have a material adverse effect on our results of operations, cash flows and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failure to attract and retain qualified personnel could adversely affect our results of operations, cash flows and financial condition.</w:t>
      </w:r>
    </w:p>
    <w:p>
      <w:pPr>
        <w:spacing w:after="0" w:line="17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success depends in part on the efforts and abilities of qualified personnel at all levels, including our senior management team and other key employees. Their motivation, skills, experience, contacts and industry knowledge significantly benefit our operations and administration. The failure to attract, motivate and retain members of our senior management team and key employees could have a negative effect on our results of operations, cash flows and financial conditions.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associated with potential strategic acquisitions could adversely affect our results of operations, cash flows and financial condition.</w:t>
      </w:r>
    </w:p>
    <w:p>
      <w:pPr>
        <w:spacing w:after="0" w:line="176" w:lineRule="exact"/>
        <w:rPr>
          <w:sz w:val="20"/>
          <w:szCs w:val="20"/>
          <w:color w:val="auto"/>
        </w:rPr>
      </w:pPr>
    </w:p>
    <w:p>
      <w:pPr>
        <w:ind w:right="540"/>
        <w:spacing w:after="0" w:line="238" w:lineRule="auto"/>
        <w:rPr>
          <w:sz w:val="20"/>
          <w:szCs w:val="20"/>
          <w:color w:val="auto"/>
        </w:rPr>
      </w:pPr>
      <w:r>
        <w:rPr>
          <w:rFonts w:ascii="Arial" w:cs="Arial" w:eastAsia="Arial" w:hAnsi="Arial"/>
          <w:sz w:val="18"/>
          <w:szCs w:val="18"/>
          <w:color w:val="auto"/>
        </w:rPr>
        <w:t>We consider acquisitions and joint ventures as a means of enhancing shareholder value. Acquisitions and joint ventures involve risks and uncertainties, including difficulties integrating acquired companies and operating joint ventures; difficulties retaining the acquired businesses’ customers and brands; the inability to achieve the expected financial results and benefits of transactions; the loss of</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380"/>
        <w:spacing w:after="0" w:line="238" w:lineRule="auto"/>
        <w:rPr>
          <w:sz w:val="20"/>
          <w:szCs w:val="20"/>
          <w:color w:val="auto"/>
        </w:rPr>
      </w:pPr>
      <w:r>
        <w:rPr>
          <w:rFonts w:ascii="Arial" w:cs="Arial" w:eastAsia="Arial" w:hAnsi="Arial"/>
          <w:sz w:val="18"/>
          <w:szCs w:val="18"/>
          <w:color w:val="auto"/>
        </w:rPr>
        <w:t>key employees from acquired companies; implementing and maintaining consistent standards, controls, policies and information systems; and diversion of management’s attention from other business matters. Future acquisitions could cause us to incur additional debt or issue shares, resulting in dilution in earnings per share and return on capital.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manufacture, source and sell products internationally and are exposed to risks associated with doing business globally.</w:t>
      </w:r>
    </w:p>
    <w:p>
      <w:pPr>
        <w:spacing w:after="0" w:line="17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manufacture, source or sell our products in a number of locations throughout the world, including the U.S., Canada, Mexico, China and Europe. Accordingly, we are subject to risks associated with potential disruption caused by changes in political, economic and social environments, including civil and political unrest, terrorism, possible expropriation, local labor conditions, changes in laws, regulations and policies of foreign governments and trade disputes with the U.S., and U.S. laws affecting activities of U.S. companies abroad, including tax laws and enforcement of contract and intellectual property rights. While we hedge certain foreign currency transactions, a change in the value of the currencies will impact our financial statements when translated into U.S. dollars. In addition, fluctuations in currency can adversely impact the cost position in local currency of our products, making it more difficult for us to compete. Our success will depend, in part, on our ability to effectively manage our businesses through the impact of these potential changes. In addition, we source raw materials, components and finished goods from China where we have experienced higher manufacturing costs and longer lead times due to currency fluctuations, higher wage rates, labor shortages and higher raw material costs.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government and industry regulatory standards could adversely affect our results of operations, cash flows and financial condition.</w:t>
      </w:r>
    </w:p>
    <w:p>
      <w:pPr>
        <w:spacing w:after="0" w:line="176"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Government regulations pertaining to health and safety (including protection of employees as well as consumers) and environmental concerns continue to emerge, domestically as well as internationally. It is necessary for us to comply with current requirements (including requirements that do not become effective until a future date), and even more stringent requirements could be imposed on our products or processes in the future. Compliance with these regulations (such as the restrictions on lead content in plumbing products and on volatile organic compounds and formaldehyde emissions that are applicable to many of our businesses) may require us to alter our manufacturing and installation processes and our sourcing. Such actions could increase our capital expenditures and adversely impact our results of operations, cash flows and financial condition, and our inability to effectively and timely meet such regulations could adversely impact our competitive position.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inability to secure and protect our intellectual property rights could negatively impact revenues and brand reputation.</w:t>
      </w:r>
    </w:p>
    <w:p>
      <w:pPr>
        <w:spacing w:after="0" w:line="17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have many patents, trademarks, brand names and trade names that are important to our business. Unauthorized use of these intellectual property rights may not only erode sales of our products, but may also cause significant damage to our brand name and reputation, interfere with our ability to effectively represent the Company to our customers, contractors and suppliers and increase litigation costs. There can be no assurance that our efforts to protect our brands and trademark rights will prevent violations. In addition, existing patent, trade secret and trademark laws offer only limited protection, and the laws of some countries in which our products are or may be developed, manufactured or sold may not fully protect our intellectual property from infringement by others. Furthermore, others may assert intellectual property infringement claims against us or our customers.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i w:val="1"/>
          <w:iCs w:val="1"/>
          <w:color w:val="auto"/>
        </w:rPr>
        <w:t>Our businesses rely on the performance of wholesale distributors, dealers and other marketing arrangements and could be adversely affected by poor performance or other disruptions in our distribution channels and customers.</w:t>
      </w:r>
    </w:p>
    <w:p>
      <w:pPr>
        <w:spacing w:after="0" w:line="137"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We rely on a distribution network comprised of consolidating customers. Any disruption to the existing distribution channels could adversely affect our results of operations, cash flows and financial condition. The consolidation of distributors or the financial instability or default of a distributor or one of its major customers could potentially cause such a disruption. In addition to our own sales force, we offer our products through a variety of third-party distributors, representatives and retailers. Certain of our distributors, representatives or retailers may also market other products that compete with our products. The loss or termination of one or more of our major distributors, representatives or retailers, the failure of one or more of our distributors or representatives to effectively promote our products, or changes in the financial or business condition of these distributors or representatives could affect our ability to bring products to market.</w:t>
      </w:r>
    </w:p>
    <w:p>
      <w:pPr>
        <w:spacing w:after="0" w:line="137" w:lineRule="exact"/>
        <w:rPr>
          <w:sz w:val="20"/>
          <w:szCs w:val="20"/>
          <w:color w:val="auto"/>
        </w:rPr>
      </w:pPr>
    </w:p>
    <w:p>
      <w:pPr>
        <w:ind w:right="580"/>
        <w:spacing w:after="0" w:line="260" w:lineRule="auto"/>
        <w:rPr>
          <w:sz w:val="20"/>
          <w:szCs w:val="20"/>
          <w:color w:val="auto"/>
        </w:rPr>
      </w:pPr>
      <w:r>
        <w:rPr>
          <w:rFonts w:ascii="Arial" w:cs="Arial" w:eastAsia="Arial" w:hAnsi="Arial"/>
          <w:sz w:val="18"/>
          <w:szCs w:val="18"/>
          <w:i w:val="1"/>
          <w:iCs w:val="1"/>
          <w:color w:val="auto"/>
        </w:rPr>
        <w:t>Our postretirement benefit-related costs and funding requirements could increase as a result of volatility in the financial markets, changes in interest rates and actuarial assumptions.</w:t>
      </w:r>
    </w:p>
    <w:p>
      <w:pPr>
        <w:spacing w:after="0" w:line="13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Increases in the costs of postretirement medical and pension benefits may continue and negatively affect our business as a result of: increased usage of medical benefits by retired employees and medical cost inflation in the United States; the effect of potential declines in the stock and bond markets on the performance of our pension plan assets; potential reductions in the discount rate used to determine the present value of our benefit obligations; and changes to our investment strategy that may impact our expected return on pension plan assets assumption. U.S. generally accepted accounting principles require that we calculate income or expense for the plans using actuarial valuations. These valuations reflect assumptions about financial markets and interest rates, which may change based on economic conditions. The Company’s accounting policy for defined benefit plans may subject earnings to volatility due to the recognition of actuarial gains and losses, particularly those due to the change in the fair value of pension assets and interest rates. Funding requirements for our U.S. pension plans may become more significant. However, the ultimate amounts to be contributed are dependent upon, among other things, interest rates, underlying asset returns and the impact of legislative or regulatory changes related to pension funding obligations.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associated with the disruption of operations could adversely affect our results of operations, cash flows and financial condition.</w:t>
      </w:r>
    </w:p>
    <w:p>
      <w:pPr>
        <w:spacing w:after="0" w:line="176"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We manufacture a significant portion of the products we sell. Any prolonged disruption in our operations, whether due to technical or labor difficulties, lack of raw material or component availability, destruction of or damage to any facility (as a result of natural disasters, fires and explosions, use and storage of hazardous materials or other events) or other reasons, could negatively impact our profitability and competitive position and adversely affect our results of operations, cash flows and financial condition.</w:t>
      </w:r>
    </w:p>
    <w:p>
      <w:pPr>
        <w:spacing w:after="0" w:line="137"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i w:val="1"/>
          <w:iCs w:val="1"/>
          <w:color w:val="auto"/>
        </w:rPr>
        <w:t>The inability to obtain raw materials and finished goods in a timely manner from suppliers would adversely affect our ability to manufacture and market our products.</w:t>
      </w:r>
    </w:p>
    <w:p>
      <w:pPr>
        <w:spacing w:after="0" w:line="13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purchase raw materials to be used in manufacturing our products and also rely on third-party manufacturers as a source for finished goods. We typically do not enter into long-term contracts with our suppliers or sourcing partners. Instead, most raw materials and sourced goods are obtained on a “purchase order” basis. In addition, in some instances we maintain single-source or limited-source sourcing relationships, either because multiple sources are not available or the relationship is advantageous due to performance, quality, support, delivery, capacity or price considerations.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Financial, operating or other difficulties encountered by our suppliers or sourcing partners or changes in our relationships with them could result in manufacturing or sourcing interruptions, delays and inefficiencies, and prevent us from manufacturing or obtaining the finished goods necessary to meet customer demand. If we are unable to meet customer demand, there could be an adverse effect on our results of operations, cash flows and financial condition.</w:t>
      </w:r>
    </w:p>
    <w:p>
      <w:pPr>
        <w:spacing w:after="0" w:line="137" w:lineRule="exact"/>
        <w:rPr>
          <w:sz w:val="20"/>
          <w:szCs w:val="20"/>
          <w:color w:val="auto"/>
        </w:rPr>
      </w:pPr>
    </w:p>
    <w:p>
      <w:pPr>
        <w:ind w:right="800"/>
        <w:spacing w:after="0" w:line="260" w:lineRule="auto"/>
        <w:rPr>
          <w:sz w:val="20"/>
          <w:szCs w:val="20"/>
          <w:color w:val="auto"/>
        </w:rPr>
      </w:pPr>
      <w:r>
        <w:rPr>
          <w:rFonts w:ascii="Arial" w:cs="Arial" w:eastAsia="Arial" w:hAnsi="Arial"/>
          <w:sz w:val="18"/>
          <w:szCs w:val="18"/>
          <w:i w:val="1"/>
          <w:iCs w:val="1"/>
          <w:color w:val="auto"/>
        </w:rPr>
        <w:t>Future tax law changes or the interpretation of existing tax laws may materially impact our effective income tax rate and the resolution of unrecognized tax benefits.</w:t>
      </w:r>
    </w:p>
    <w:p>
      <w:pPr>
        <w:spacing w:after="0" w:line="13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businesses are subject to income taxation in the U.S. as well as internationally. It is possible that future income tax legislation may be enacted that could have a material adverse impact on our worldwide income tax provision. We are routinely audited by income tax authorities in many jurisdictions. Although we believe that the recorded tax estimates are reasonable and appropriate, there are significant uncertainties in these estimates. As a result, the ultimate outcome from any audit could be materially different from amounts reflected in our income tax provisions and accruals. Future settlements of income tax audits may have a material adverse effect on earnings between the period of initial recognition of tax estimates in our financial statements and the point of ultimate tax audit settlement.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liabilities and costs from claims and litigation could adversely affect our results of operations, cash flows and financial condition.</w:t>
      </w:r>
    </w:p>
    <w:p>
      <w:pPr>
        <w:spacing w:after="0" w:line="17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from time to time, involved in various claims, litigation matters and regulatory proceedings that arise in the ordinary course of our business and which could have a material adverse effect on us. These matters may include contract disputes, intellectual property disputes, personal injury claims, warranty disputes, environmental claims or proceedings, other tort claims, employment and tax matters and other proceedings and litigation, including class actions. It is not possible to predict the outcome of pending or future litigation, and, as with any litigation, it is possible that some of the actions could be decided unfavorably and could have a material adverse effect on our results of operations, cash flows and financial condition.</w:t>
      </w:r>
    </w:p>
    <w:p>
      <w:pPr>
        <w:spacing w:after="0" w:line="15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maintain insurance against some, but not all, of these risks of loss resulting from claims and litigation. We may elect not to obtain insurance if we believe the cost of available insurance is excessive relative to the risks presented. The levels of insurance we maintain may not be adequate to fully cover any and all losses or liabilities. If any significant accident, judgment, claim or other event is not fully insured or indemnified against, it could have a material adverse impact on our results of operations, cash flows and financial condition.</w:t>
      </w:r>
    </w:p>
    <w:p>
      <w:pPr>
        <w:spacing w:after="0" w:line="15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subject to product safety regulations, recalls and direct claims for product liability that can result in significant liability and, regardless of the ultimate outcome, can be costly to defend. As a result of the difficulty of controlling the quality of products or components sourced from other manufacturers, we are exposed to risks relating to the quality of such products and to limitations on our recourse against such suppliers. Increasingly, homebuilders, including our customers, are subject to construction defect and home warranty claims in the ordinary course of their business. Our contractual arrangements with these customers typically include the agreement to indemnify them against liability for the performance of our products or services or the performance of other products that we install. These claims, often asserted several years after completion of construction, frequently result in lawsuits against the homebuilders and many of their subcontractors, including us, and require us to incur defense costs even when our products or services are not the principal basis for the claims.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i w:val="1"/>
          <w:iCs w:val="1"/>
          <w:color w:val="auto"/>
        </w:rPr>
        <w:t>An impairment in the carrying value of goodwill or other acquired intangible assets could negatively affect our results of operations and financial condition.</w:t>
      </w:r>
    </w:p>
    <w:p>
      <w:pPr>
        <w:spacing w:after="0" w:line="137"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The carrying value of goodwill represents the fair value of acquired businesses in excess of identifiable assets and liabilities as of the acquisition date. The carrying value of other intangible assets represents the fair value of trademarks, tradenames and other acquired intangible assets as of the acquisition date. Goodwill and other acquired intangible assets expected to contribute indefinitely to our cash flows are not amortized, but must be evaluated for impairment by our management at least annually. We evaluate the recoverability of goodwill by using a weighting of the income and market approaches. For the income approach, we use a discounted cash flow model, estimating the future cash flows of the reporting units to which the goodwill relates, and then discounting the future cash flows at a market-participant-derived weighted-average cost of capital. For the market approach, we apply market multiples for peer groups to the operating results of the reporting units to determine each reporting unit’s fair value. If the carrying value exceeds the implied fair value of goodwill, the goodwill is considered impaired and is reduced to fair value via a non-cash charge to earnings. If the carrying value of an indefinite-lived intangible asset is greater than its fair value, the intangible asset is considered impaired and is reduced to fair value via a non-cash charge to earnings. Events and conditions that could result in further impairments include contractions in the North American housing market and a change in the timing and pace of the recovery from the recent global recession. In addition, further impairment could be caused by changes in the consumer categories in which we operate, increased competition, a significant product liability or intellectual property claim or other factors leading to reduction in expected long-term sales or profitability. If the value of goodwill or other acquired intangible assets is impaired, our results of operations and financial condition could be adversely affected.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experience delays or outages in our information technology system and computer networks.</w:t>
      </w:r>
    </w:p>
    <w:p>
      <w:pPr>
        <w:spacing w:after="0" w:line="17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like most companies, may be subject to information technology system failures and network disruptions. These may be caused by delays or disruptions due to system updates, natural disasters, malicious attacks, accidents, power disruptions, telecommunications failures, acts of terrorism or war, computer viruses, physical or electronic break-ins, or similar events or disruptions. Our businesses may implement enterprise resource planning systems or add applications to replace outdated systems and to operate more efficiently. Predictions regarding benefits resulting from the implementation of these projects are subject to uncertainties. We may not be able to successfully implement the projects without experiencing difficulties. In addition, any expected benefits of implementing projects might not be realized or the costs of implementation might outweigh the benefits realized.</w:t>
      </w:r>
    </w:p>
    <w:p>
      <w:pPr>
        <w:spacing w:after="0" w:line="137"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i w:val="1"/>
          <w:iCs w:val="1"/>
          <w:color w:val="auto"/>
        </w:rPr>
        <w:t>We may be subject to breaches of our information technology systems, which could damage our reputation and consumer relationships. Such breaches could subject us to significant reputational, financial, legal, and operational consequences.</w:t>
      </w:r>
    </w:p>
    <w:p>
      <w:pPr>
        <w:spacing w:after="0" w:line="137"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Information security risks have generally increased in recent years because of the proliferation of new technologies and the increased sophistication and activities of perpetrators of cyber-attacks. In particular, the Security &amp; Storage business is increasingly utilizing digital elements that may allow consumers to use and store personally identifiable information through online services operated by Master Lock. Such information may include names, passwords, addresses, phone numbers, email addresses, contact preferences, tax identification numbers, and payment account information. We devote appropriate resources to network security, data encryption, and other security measures to protect its systems and data, but these security measures cannot provide absolute security. In the event of a breach, we would be exposed to a risk of loss or litigation and possible liability, which could have a material adverse effect on our business, results of operations, cash flows, and financial condition.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credit risk on our accounts receivable.</w:t>
      </w:r>
    </w:p>
    <w:p>
      <w:pPr>
        <w:spacing w:after="0" w:line="176"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Our outstanding trade receivables are generally not covered by collateral or credit insurance. While we have procedures to monitor and limit exposure to credit risk on our trade and non-trade receivables, there can be no assurance that such procedures will effectively limit our credit risk and avoid losses, which could have a material adverse effect on our results of operations, cash flows and operating results. In addition, it is possible that continued weak economic conditions may cause significantly higher levels of customer defaults and bad debt expense in future periods than is contemplated by our current allowances for doubtful accounts.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There can be no assurance that we will have access to the capital markets on terms acceptable to us.</w:t>
      </w:r>
    </w:p>
    <w:p>
      <w:pPr>
        <w:spacing w:after="0" w:line="17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From time to time we may need to access the long-term and short-term capital markets to obtain financing. Although we believe that the sources of capital currently in place permit us to finance our operations for the foreseeable future on acceptable terms and conditions, our access to, and the availability of, financing on acceptable terms and conditions in the future will be impacted by many factors, including, but not limited to: (1) our financial performance, (2) our credit ratings or absence of a credit rating, (3) the liquidity of the overall capital markets and (4) the state of the economy, including the U.S. housing market. There can be no assurance that we will have access to the capital markets on terms acceptable to us.</w:t>
      </w:r>
    </w:p>
    <w:p>
      <w:pPr>
        <w:spacing w:after="0" w:line="138"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i w:val="1"/>
          <w:iCs w:val="1"/>
          <w:color w:val="auto"/>
        </w:rPr>
        <w:t>Provisions in our amended and restated certificate of incorporation and bylaws and of Delaware law may prevent or delay an acquisition of us, even if that change may be considered beneficial by some of our stockholders.</w:t>
      </w:r>
    </w:p>
    <w:p>
      <w:pPr>
        <w:spacing w:after="0" w:line="13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existence of some provisions of our amended and restated certificate of incorporation, our amended and restated bylaws and Delaware law may discourage a future takeover attempt not approved by our Board of Directors but which our stockholders may deem to be in their best interests or in which stockholders may receive a substantial premium for their shares over then current market prices. These provisions include but are not limited to a classified board of directors with three-year staggered terms, the right of our Board of Directors to issue preferred stock without stockholder approval, no stockholder ability to fill director vacancies, elimination of the rights of our stockholders to act by written consent and call special stockholder meetings, super-majority vote requirements for certain amendments to our certificate of incorporation and stockholder proposals for amendments to our bylaws, prohibiting stockholders from removing directors other than “for cause” and rules regarding how stockholders may present proposals or nominate directors for election at stockholder meetings.</w:t>
      </w:r>
    </w:p>
    <w:p>
      <w:pPr>
        <w:spacing w:after="0" w:line="15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In addition, we are subject to Section 203 of the Delaware General Corporation Law, which may have an anti-takeover effect with respect to transactions not approved in advance by our Board of Directors, including discouraging takeover attempts that might result in a premium over the market price for shares of our common stock.</w:t>
      </w:r>
    </w:p>
    <w:p>
      <w:pPr>
        <w:spacing w:after="0" w:line="15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believe these provisions protect our stockholders from coercive or otherwise unfair takeover tactics by requiring potential acquirers to negotiate with our Board of Directors and by providing our Board of Directors with more time to assess any acquisition proposal. However, these provisions apply even if the offer may be considered beneficial by some stockholders and could delay or prevent an acquisition that our Board of Directors determines is not in our best interests or the best interests of our stockholders.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Recent Separation</w:t>
      </w:r>
    </w:p>
    <w:p>
      <w:pPr>
        <w:spacing w:after="0" w:line="162" w:lineRule="exact"/>
        <w:rPr>
          <w:sz w:val="20"/>
          <w:szCs w:val="20"/>
          <w:color w:val="auto"/>
        </w:rPr>
      </w:pPr>
    </w:p>
    <w:p>
      <w:pPr>
        <w:ind w:right="600"/>
        <w:spacing w:after="0" w:line="260" w:lineRule="auto"/>
        <w:rPr>
          <w:sz w:val="20"/>
          <w:szCs w:val="20"/>
          <w:color w:val="auto"/>
        </w:rPr>
      </w:pPr>
      <w:r>
        <w:rPr>
          <w:rFonts w:ascii="Arial" w:cs="Arial" w:eastAsia="Arial" w:hAnsi="Arial"/>
          <w:sz w:val="18"/>
          <w:szCs w:val="18"/>
          <w:i w:val="1"/>
          <w:iCs w:val="1"/>
          <w:color w:val="auto"/>
        </w:rPr>
        <w:t>If the Distribution (as defined below), together with certain related transactions, were to fail to qualify as tax-free for U.S. federal income tax purposes, then we, our Former Parent and our stockholders could be subject to significant tax liability.</w:t>
      </w:r>
    </w:p>
    <w:p>
      <w:pPr>
        <w:spacing w:after="0" w:line="13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Former Parent has received a private letter ruling from the U.S. Internal Revenue Service (“IRS”) substantially to the effect that, among other things, the distribution of all the shares of our common stock owned by our Former Parent to stockholders of our Former Parent as of September 20, 2011 (the “Distribution”) qualifies as tax-free under Section 355 of the Internal Revenue Code of 1986, as amended (the “Code”), except for cash received in lieu of fractional shares of our stock. In addition, the private letter ruling provides that certain internal transactions undertaken in anticipation of the Distribution will qualify for favorable treatment under the Code. In addition to obtaining the private letter ruling, our Former Parent has received an opinion from the law firm of McDermott Will &amp; Emery LLP confirming the tax-free status of the Distribution for U.S. federal income tax purposes, including confirming the satisfaction of the requirements under Section 355 of the Code not specifically addressed in the IRS private letter ruling. The private letter ruling and the opinion rely on certain facts and assumptions, and certain representations from us and our Former Parent regarding the past and future conduct of our respective businesses and other matters. Notwithstanding the private letter ruling and the opinion, the IRS could determine on audit that the Distribution or the internal transactions should be treated as taxable transactions if it determines that any of these facts, assumptions, representations or undertakings is not correct or has been violated, or that the Distribution or the internal transactions should be taxable for other reasons, including as a result of a significant change in stock or asset ownership after the Distribution. Under the terms of the Tax Allocation Agreement we entered into in connection with the Distribution, in the event that the Distribution or the internal transactions were determined to be taxable and such determination was the result of actions taken after the Distribution by us, any of our affiliates or our stockholders, we would be responsible for all taxes imposed on our Former Parent as a result thereof. Such tax amounts could be significant.</w:t>
      </w:r>
    </w:p>
    <w:p>
      <w:pPr>
        <w:spacing w:after="0" w:line="143"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i w:val="1"/>
          <w:iCs w:val="1"/>
          <w:color w:val="auto"/>
        </w:rPr>
        <w:t>We have limited operating history as an independent, publicly-traded company, and our historical financial statements are not necessarily representative of the results we would have achieved as an independent, publicly-traded company and may not be reliable indicators of our future results.</w:t>
      </w:r>
    </w:p>
    <w:p>
      <w:pPr>
        <w:spacing w:after="0" w:line="14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Our historical financial statements do not necessarily reflect the results of operations, cash flows and financial condition that we would have achieved as an independent, publicly-traded company during the periods presented or those that we will achieve in the future, primarily as a result of the following factors:</w:t>
      </w:r>
    </w:p>
    <w:p>
      <w:pPr>
        <w:spacing w:after="0" w:line="73" w:lineRule="exact"/>
        <w:rPr>
          <w:sz w:val="20"/>
          <w:szCs w:val="20"/>
          <w:color w:val="auto"/>
        </w:rPr>
      </w:pPr>
    </w:p>
    <w:p>
      <w:pPr>
        <w:ind w:left="460" w:hanging="452"/>
        <w:spacing w:after="0" w:line="27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Historically, our working capital requirements and capital for our general corporate purposes, including acquisitions and capital expenditures, were financed by our Former Parent. Prior to the Separation, our Former Parent managed and retained cash we generated. Following completion of the Separation, our Former Parent ceased providing us with funds to finance our working capital or other cash requirements. Without the opportunity to obtain financing from our Former Parent, we may need to obtain additional financing from banks, through public offerings or private placements of debt or equity securities, strategic relationships or other arrangements, and such arrangements may not be available to us or available on terms that are as favorable as those we could have obtained when we were part of our Former Parent.</w:t>
      </w:r>
    </w:p>
    <w:p>
      <w:pPr>
        <w:spacing w:after="0" w:line="49" w:lineRule="exact"/>
        <w:rPr>
          <w:rFonts w:ascii="Arial" w:cs="Arial" w:eastAsia="Arial" w:hAnsi="Arial"/>
          <w:sz w:val="16"/>
          <w:szCs w:val="16"/>
          <w:color w:val="auto"/>
        </w:rPr>
      </w:pPr>
    </w:p>
    <w:p>
      <w:pPr>
        <w:ind w:left="460" w:right="380" w:hanging="452"/>
        <w:spacing w:after="0" w:line="23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Prior to the Separation, our business was operated by our Former Parent as part of its broader corporate organization, rather than as an independent company. Our Former Parent historically performed various corporate functions for us, including, but not limited to, tax administration, treasury activities, accounting, legal, ethics and compliance program administration, investor and public relations, certain governance functions (including internal audit) and external reporting.</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80"/>
        <w:spacing w:after="0" w:line="238" w:lineRule="auto"/>
        <w:rPr>
          <w:sz w:val="20"/>
          <w:szCs w:val="20"/>
          <w:color w:val="auto"/>
        </w:rPr>
      </w:pPr>
      <w:r>
        <w:rPr>
          <w:rFonts w:ascii="Arial" w:cs="Arial" w:eastAsia="Arial" w:hAnsi="Arial"/>
          <w:sz w:val="18"/>
          <w:szCs w:val="18"/>
          <w:color w:val="auto"/>
        </w:rPr>
        <w:t>Our historical financial statements reflect allocations of corporate expenses from our Former Parent for these and similar functions. These allocations may be more or less than the comparable expenses we would have incurred had we operated as an independent, publicly traded company.</w:t>
      </w:r>
    </w:p>
    <w:p>
      <w:pPr>
        <w:spacing w:after="0" w:line="73" w:lineRule="exact"/>
        <w:rPr>
          <w:sz w:val="20"/>
          <w:szCs w:val="20"/>
          <w:color w:val="auto"/>
        </w:rPr>
      </w:pPr>
    </w:p>
    <w:p>
      <w:pPr>
        <w:ind w:left="460" w:right="140" w:hanging="452"/>
        <w:spacing w:after="0" w:line="23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significant changes may occur in our cost structure, management, financing and business operations as a result of our operation as a company separate from our Former Parent.</w:t>
      </w:r>
    </w:p>
    <w:p>
      <w:pPr>
        <w:spacing w:after="0" w:line="137"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i w:val="1"/>
          <w:iCs w:val="1"/>
          <w:color w:val="auto"/>
        </w:rPr>
        <w:t>We might not be able to engage in desirable strategic transactions and equity issuances because of certain restrictions relating to requirements for tax-free distributions.</w:t>
      </w:r>
    </w:p>
    <w:p>
      <w:pPr>
        <w:spacing w:after="0" w:line="13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ability to engage in significant equity transactions is limited or restricted to preserve, for U.S. federal income tax purposes, the tax-free nature of the Distribution by our Former Parent. Even if the Distribution otherwise qualifies for tax-free treatment under Section 355 of the Code, it may result in corporate level taxable gain to our Former Parent under Section 355(e) of the Code if 50% or more, by vote or value, of shares of our stock or our Former Parent’s stock are acquired or issued as part of a plan or series of related transactions that includes the Separation. Any acquisitions or issuances of our stock or our Former Parent’s stock within two years after the Distribution are generally presumed to be part of such a plan, although we or our Former Parent may be able to rebut that presumption.</w:t>
      </w:r>
    </w:p>
    <w:p>
      <w:pPr>
        <w:spacing w:after="0" w:line="15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To preserve the tax-free treatment to our Former Parent of the Distribution, under the Tax Allocation Agreement that we entered into with our Former Parent, we are prohibited from taking or failing to take any action that prevents the Distribution and related transactions from being tax-free. Further, for the two-year period following the Distribution, without obtaining the consent of our Former Parent, a private letter ruling from the IRS or an unqualified opinion of a nationally recognized law firm, we are prohibited from:</w:t>
      </w:r>
    </w:p>
    <w:p>
      <w:pPr>
        <w:spacing w:after="0" w:line="7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approving or allowing any transaction that results in a change in ownership of more than a specified percentage of our common stock,</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redeeming any equity securities,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selling or disposing of a specified percentage of our assets,</w:t>
      </w:r>
    </w:p>
    <w:p>
      <w:pPr>
        <w:spacing w:after="0" w:line="76" w:lineRule="exact"/>
        <w:rPr>
          <w:rFonts w:ascii="Arial" w:cs="Arial" w:eastAsia="Arial" w:hAnsi="Arial"/>
          <w:sz w:val="18"/>
          <w:szCs w:val="18"/>
          <w:color w:val="auto"/>
        </w:rPr>
      </w:pPr>
    </w:p>
    <w:p>
      <w:pPr>
        <w:ind w:left="460" w:right="140" w:hanging="452"/>
        <w:spacing w:after="0" w:line="23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acquiring a business or assets with equity securities to the extent one or more persons would acquire in excess of a specified percentage of our common stock or</w:t>
      </w:r>
    </w:p>
    <w:p>
      <w:pPr>
        <w:spacing w:after="0" w:line="73"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engaging in certain internal transactions.</w:t>
      </w:r>
    </w:p>
    <w:p>
      <w:pPr>
        <w:spacing w:after="0" w:line="15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These restrictions may limit our ability to pursue strategic transactions or engage in new business or other transactions that may maximize the value of our business. Moreover, the Tax Allocation Agreement also provides that we are responsible for any taxes imposed on our Former Parent or any of its affiliates as a result of the failure of the Distribution or the internal transactions to qualify for favorable treatment under the Code if such failure is attributable to certain actions taken after the Distribution by or in respect of us, any of our affiliates or our stockholders.</w:t>
      </w:r>
    </w:p>
    <w:p>
      <w:pPr>
        <w:spacing w:after="0" w:line="137"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i w:val="1"/>
          <w:iCs w:val="1"/>
          <w:color w:val="auto"/>
        </w:rPr>
        <w:t>The indemnification arrangements we entered into with our Former Parent in connection with the Separation may require us to divert cash to satisfy indemnification obligations to our Former Parent and may not be sufficient to cover the full amount of losses for which our Former Parent indemnifies us.</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Pursuant to the Separation and Distribution Agreement, the Indemnification Agreement and certain other agreements, our Former Parent agreed to indemnify us from certain liabilities and we agreed to indemnify our Former Parent for certain liabilities, as discussed further in the sections entitled “Certain Relationships and Related Party Transactions — Agreements with Fortune Brands, Inc.” included in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Information Statement of our Registration Statement on Form 10. Indemnities that we may be required to provide our Former Parent may be significant and could negatively impact our business, particularly indemnities relating to our actions that could impact the tax-free nature of the Distribution. Third parties could also seek to hold us responsible for any of the liabilities that our Former Parent has agreed to retain. Further, there can be no assurance that the indemnity from our Former Parent will be sufficient to protect us against the full amount of such liabilities or that our Former Parent will be able to fully satisfy its indemnification obligations. Moreover, even if we ultimately succeed in recovering from our Former Parent any amounts for which we are held liable, we may be temporarily required to bear these losses ourselves. Each of these risks could negatively affect our results of operations, cash flows and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court could deem the Distribution to be a fraudulent conveyance and void the transaction or impose substantial liabilities upon us.</w:t>
      </w:r>
    </w:p>
    <w:p>
      <w:pPr>
        <w:spacing w:after="0" w:line="176"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A court could deem the Distribution or certain internal restructuring transactions undertaken by our Former Parent in connection with the Separation to be a fraudulent conveyance or transfer. Fraudulent conveyances or transfers are defined to include transfers made or obligations incurred with the actual intent to hinder, delay or defraud current or future creditors or transfers made or obligations incurred for less than reasonably equivalent value when the debtor was insolvent, or that rendered the debtor insolvent, inadequately capitalized or unable to pay its debts as they become due. A court could void the transactions or impose substantial liabilities upon us, which could adversely affect our results of operations, cash flows and financial condition. Among other things, the court could require our stockholders to return to our Former Parent, for the benefit of its creditors, some or all of the shares of our common stock issued in the Distribution, or require us to fund liabilities of other companies involved in the restructuring transaction. Whether a transaction is a fraudulent conveyance or transfer under applicable state law may vary depending upon the jurisdiction whose law is being applied.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cannot predict the prices at which our common stock may trade.</w:t>
      </w:r>
    </w:p>
    <w:p>
      <w:pPr>
        <w:spacing w:after="0" w:line="176"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The market price of our common stock may fluctuate significantly, depending upon many factors, some of which may be beyond our control, including:</w:t>
      </w:r>
    </w:p>
    <w:p>
      <w:pPr>
        <w:spacing w:after="0" w:line="7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shift in our investor base;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 or failure of our business strategy;</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financing as needed;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dispositions;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failure of securities analysts to cover our common stock;</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our ability to meet our earnings guidance;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comparable companies;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overall market fluctuations and general economic conditions.</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Stock markets in general have also experienced volatility that has often been unrelated to the operating performance of a particular company.</w:t>
      </w:r>
    </w:p>
    <w:p>
      <w:pPr>
        <w:spacing w:after="0"/>
        <w:rPr>
          <w:sz w:val="20"/>
          <w:szCs w:val="20"/>
          <w:color w:val="auto"/>
        </w:rPr>
      </w:pPr>
      <w:r>
        <w:rPr>
          <w:rFonts w:ascii="Arial" w:cs="Arial" w:eastAsia="Arial" w:hAnsi="Arial"/>
          <w:sz w:val="18"/>
          <w:szCs w:val="18"/>
          <w:color w:val="auto"/>
        </w:rPr>
        <w:t>These broad market fluctuations could negatively affect the trading price of our common stock.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currently do not expect to pay any cash dividends in the short term.</w:t>
      </w:r>
    </w:p>
    <w:p>
      <w:pPr>
        <w:spacing w:after="0" w:line="17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All decisions regarding our payment of dividends will be made by our Board of Directors from time to time in accordance with applicable law. There can be no assurance that we will have sufficient surplus under Delaware law to be able to pay any dividends. This may result from extraordinary cash expenses, actual expenses exceeding contemplated costs, funding of capital expenditures or increases in reserves. If we do not pay dividends, the price of our common stock must appreciate for you to receive a gain on your investment. This appreciation may not occur. Further, you may have to sell some or all of your shares of our common stock in order to generate cash flow from your investment.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8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Our principal executive office is at 520 Lake Cook Road, Deerfield, Illinois 60015. We operate 30 manufacturing facilities in 15 different states and have 8 in international locations (3 in Mexico, 3 in Asia and 2 in Canada). Of these manufacturing facilities, 31 are owned and 7 are leased. Kitchen &amp; Bath Cabinetry products are manufactured in 18 of these locations, Plumbing &amp; Accessories products in 5 of these locations, Advanced Material Windows &amp; Door Systems products in 11 of these locations, and Security &amp; Storage products in 4 of these locations. In addition, we have 21 distribution centers and warehouses worldwide, of which 20 are leased. We are of the opinion that the properties are suitable to our respective businesses and have production capacities adequate to meet the needs of our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0"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We are defendants in lawsuits associated with the normal conduct of our businesses and operations. It is not possible to predict the outcome of the pending actions and, as with any litigation, it is possible that some of these actions could be decided unfavorably to us. We believe that there are meritorious defenses to these actions and that these actions will not have a material adverse effect upon our results of operations, cash flows or financial condition, and, where appropriate, these actions are being vigorously contested.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4A.  Executive Officers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8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Age</w:t>
            </w:r>
          </w:p>
        </w:tc>
        <w:tc>
          <w:tcPr>
            <w:tcW w:w="83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Position</w:t>
            </w:r>
          </w:p>
        </w:tc>
      </w:tr>
      <w:tr>
        <w:trPr>
          <w:trHeight w:val="199"/>
        </w:trPr>
        <w:tc>
          <w:tcPr>
            <w:tcW w:w="2260" w:type="dxa"/>
            <w:vAlign w:val="bottom"/>
          </w:tcPr>
          <w:p>
            <w:pPr>
              <w:spacing w:after="0" w:line="200" w:lineRule="exact"/>
              <w:rPr>
                <w:sz w:val="20"/>
                <w:szCs w:val="20"/>
                <w:color w:val="auto"/>
              </w:rPr>
            </w:pPr>
            <w:r>
              <w:rPr>
                <w:rFonts w:ascii="Arial" w:cs="Arial" w:eastAsia="Arial" w:hAnsi="Arial"/>
                <w:sz w:val="18"/>
                <w:szCs w:val="18"/>
                <w:color w:val="auto"/>
              </w:rPr>
              <w:t>Christopher J. Klein</w:t>
            </w:r>
          </w:p>
        </w:tc>
        <w:tc>
          <w:tcPr>
            <w:tcW w:w="860" w:type="dxa"/>
            <w:vAlign w:val="bottom"/>
          </w:tcPr>
          <w:p>
            <w:pPr>
              <w:jc w:val="right"/>
              <w:ind w:right="74"/>
              <w:spacing w:after="0" w:line="200" w:lineRule="exact"/>
              <w:rPr>
                <w:sz w:val="20"/>
                <w:szCs w:val="20"/>
                <w:color w:val="auto"/>
              </w:rPr>
            </w:pPr>
            <w:r>
              <w:rPr>
                <w:rFonts w:ascii="Arial" w:cs="Arial" w:eastAsia="Arial" w:hAnsi="Arial"/>
                <w:sz w:val="18"/>
                <w:szCs w:val="18"/>
                <w:color w:val="auto"/>
              </w:rPr>
              <w:t>48</w:t>
            </w:r>
          </w:p>
        </w:tc>
        <w:tc>
          <w:tcPr>
            <w:tcW w:w="8300" w:type="dxa"/>
            <w:vAlign w:val="bottom"/>
          </w:tcPr>
          <w:p>
            <w:pPr>
              <w:ind w:left="160"/>
              <w:spacing w:after="0" w:line="200" w:lineRule="exact"/>
              <w:rPr>
                <w:sz w:val="20"/>
                <w:szCs w:val="20"/>
                <w:color w:val="auto"/>
              </w:rPr>
            </w:pPr>
            <w:r>
              <w:rPr>
                <w:rFonts w:ascii="Arial" w:cs="Arial" w:eastAsia="Arial" w:hAnsi="Arial"/>
                <w:sz w:val="18"/>
                <w:szCs w:val="18"/>
                <w:color w:val="auto"/>
              </w:rPr>
              <w:t>Chief Executive Officer</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E. Lee Wyatt, Jr.</w:t>
            </w:r>
          </w:p>
        </w:tc>
        <w:tc>
          <w:tcPr>
            <w:tcW w:w="8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59</w:t>
            </w:r>
          </w:p>
        </w:tc>
        <w:tc>
          <w:tcPr>
            <w:tcW w:w="8300" w:type="dxa"/>
            <w:vAlign w:val="bottom"/>
          </w:tcPr>
          <w:p>
            <w:pPr>
              <w:ind w:left="160"/>
              <w:spacing w:after="0" w:line="202" w:lineRule="exact"/>
              <w:rPr>
                <w:sz w:val="20"/>
                <w:szCs w:val="20"/>
                <w:color w:val="auto"/>
              </w:rPr>
            </w:pPr>
            <w:r>
              <w:rPr>
                <w:rFonts w:ascii="Arial" w:cs="Arial" w:eastAsia="Arial" w:hAnsi="Arial"/>
                <w:sz w:val="18"/>
                <w:szCs w:val="18"/>
                <w:color w:val="auto"/>
              </w:rPr>
              <w:t>Senior Vice President and Chief Financial Officer</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John N. Heppner</w:t>
            </w:r>
          </w:p>
        </w:tc>
        <w:tc>
          <w:tcPr>
            <w:tcW w:w="8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59</w:t>
            </w:r>
          </w:p>
        </w:tc>
        <w:tc>
          <w:tcPr>
            <w:tcW w:w="8300" w:type="dxa"/>
            <w:vAlign w:val="bottom"/>
          </w:tcPr>
          <w:p>
            <w:pPr>
              <w:ind w:left="160"/>
              <w:spacing w:after="0" w:line="202" w:lineRule="exact"/>
              <w:rPr>
                <w:sz w:val="20"/>
                <w:szCs w:val="20"/>
                <w:color w:val="auto"/>
              </w:rPr>
            </w:pPr>
            <w:r>
              <w:rPr>
                <w:rFonts w:ascii="Arial" w:cs="Arial" w:eastAsia="Arial" w:hAnsi="Arial"/>
                <w:sz w:val="18"/>
                <w:szCs w:val="18"/>
                <w:color w:val="auto"/>
              </w:rPr>
              <w:t>President and Chief Executive Officer, Fortune Brands Storage &amp; Security LLC</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David B. Lingafelter</w:t>
            </w:r>
          </w:p>
        </w:tc>
        <w:tc>
          <w:tcPr>
            <w:tcW w:w="8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47</w:t>
            </w:r>
          </w:p>
        </w:tc>
        <w:tc>
          <w:tcPr>
            <w:tcW w:w="8300" w:type="dxa"/>
            <w:vAlign w:val="bottom"/>
          </w:tcPr>
          <w:p>
            <w:pPr>
              <w:ind w:left="160"/>
              <w:spacing w:after="0" w:line="202" w:lineRule="exact"/>
              <w:rPr>
                <w:sz w:val="20"/>
                <w:szCs w:val="20"/>
                <w:color w:val="auto"/>
              </w:rPr>
            </w:pPr>
            <w:r>
              <w:rPr>
                <w:rFonts w:ascii="Arial" w:cs="Arial" w:eastAsia="Arial" w:hAnsi="Arial"/>
                <w:sz w:val="18"/>
                <w:szCs w:val="18"/>
                <w:color w:val="auto"/>
              </w:rPr>
              <w:t>President, Moen Incorporated</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David M. Randich</w:t>
            </w:r>
          </w:p>
        </w:tc>
        <w:tc>
          <w:tcPr>
            <w:tcW w:w="8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50</w:t>
            </w:r>
          </w:p>
        </w:tc>
        <w:tc>
          <w:tcPr>
            <w:tcW w:w="8300" w:type="dxa"/>
            <w:vAlign w:val="bottom"/>
          </w:tcPr>
          <w:p>
            <w:pPr>
              <w:ind w:left="160"/>
              <w:spacing w:after="0" w:line="202" w:lineRule="exact"/>
              <w:rPr>
                <w:sz w:val="20"/>
                <w:szCs w:val="20"/>
                <w:color w:val="auto"/>
              </w:rPr>
            </w:pPr>
            <w:r>
              <w:rPr>
                <w:rFonts w:ascii="Arial" w:cs="Arial" w:eastAsia="Arial" w:hAnsi="Arial"/>
                <w:sz w:val="18"/>
                <w:szCs w:val="18"/>
                <w:color w:val="auto"/>
              </w:rPr>
              <w:t>President, Therma-Tru Corp.</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Mark Savan</w:t>
            </w:r>
          </w:p>
        </w:tc>
        <w:tc>
          <w:tcPr>
            <w:tcW w:w="8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47</w:t>
            </w:r>
          </w:p>
        </w:tc>
        <w:tc>
          <w:tcPr>
            <w:tcW w:w="8300" w:type="dxa"/>
            <w:vAlign w:val="bottom"/>
          </w:tcPr>
          <w:p>
            <w:pPr>
              <w:ind w:left="160"/>
              <w:spacing w:after="0" w:line="202" w:lineRule="exact"/>
              <w:rPr>
                <w:sz w:val="20"/>
                <w:szCs w:val="20"/>
                <w:color w:val="auto"/>
              </w:rPr>
            </w:pPr>
            <w:r>
              <w:rPr>
                <w:rFonts w:ascii="Arial" w:cs="Arial" w:eastAsia="Arial" w:hAnsi="Arial"/>
                <w:sz w:val="18"/>
                <w:szCs w:val="18"/>
                <w:color w:val="auto"/>
              </w:rPr>
              <w:t>President, Fortune Brands Windows, Inc.</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Gregory J. Stoner</w:t>
            </w:r>
          </w:p>
        </w:tc>
        <w:tc>
          <w:tcPr>
            <w:tcW w:w="8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49</w:t>
            </w:r>
          </w:p>
        </w:tc>
        <w:tc>
          <w:tcPr>
            <w:tcW w:w="8300" w:type="dxa"/>
            <w:vAlign w:val="bottom"/>
          </w:tcPr>
          <w:p>
            <w:pPr>
              <w:ind w:left="160"/>
              <w:spacing w:after="0" w:line="202" w:lineRule="exact"/>
              <w:rPr>
                <w:sz w:val="20"/>
                <w:szCs w:val="20"/>
                <w:color w:val="auto"/>
              </w:rPr>
            </w:pPr>
            <w:r>
              <w:rPr>
                <w:rFonts w:ascii="Arial" w:cs="Arial" w:eastAsia="Arial" w:hAnsi="Arial"/>
                <w:sz w:val="18"/>
                <w:szCs w:val="18"/>
                <w:color w:val="auto"/>
              </w:rPr>
              <w:t>President, MasterBrand Cabinets, Inc.</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Elizabeth R. Lane</w:t>
            </w:r>
          </w:p>
        </w:tc>
        <w:tc>
          <w:tcPr>
            <w:tcW w:w="8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45</w:t>
            </w:r>
          </w:p>
        </w:tc>
        <w:tc>
          <w:tcPr>
            <w:tcW w:w="8300" w:type="dxa"/>
            <w:vAlign w:val="bottom"/>
          </w:tcPr>
          <w:p>
            <w:pPr>
              <w:ind w:left="160"/>
              <w:spacing w:after="0" w:line="202" w:lineRule="exact"/>
              <w:rPr>
                <w:sz w:val="20"/>
                <w:szCs w:val="20"/>
                <w:color w:val="auto"/>
              </w:rPr>
            </w:pPr>
            <w:r>
              <w:rPr>
                <w:rFonts w:ascii="Arial" w:cs="Arial" w:eastAsia="Arial" w:hAnsi="Arial"/>
                <w:sz w:val="18"/>
                <w:szCs w:val="18"/>
                <w:color w:val="auto"/>
              </w:rPr>
              <w:t>Senior Vice President — Human Resources</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Lauren S. Tashma</w:t>
            </w:r>
          </w:p>
        </w:tc>
        <w:tc>
          <w:tcPr>
            <w:tcW w:w="8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45</w:t>
            </w:r>
          </w:p>
        </w:tc>
        <w:tc>
          <w:tcPr>
            <w:tcW w:w="8300" w:type="dxa"/>
            <w:vAlign w:val="bottom"/>
          </w:tcPr>
          <w:p>
            <w:pPr>
              <w:ind w:left="160"/>
              <w:spacing w:after="0" w:line="202" w:lineRule="exact"/>
              <w:rPr>
                <w:sz w:val="20"/>
                <w:szCs w:val="20"/>
                <w:color w:val="auto"/>
              </w:rPr>
            </w:pPr>
            <w:r>
              <w:rPr>
                <w:rFonts w:ascii="Arial" w:cs="Arial" w:eastAsia="Arial" w:hAnsi="Arial"/>
                <w:sz w:val="18"/>
                <w:szCs w:val="18"/>
                <w:color w:val="auto"/>
              </w:rPr>
              <w:t>Senior Vice President, General Counsel and Secretary</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Miriam E. Van de Sype</w:t>
            </w:r>
          </w:p>
        </w:tc>
        <w:tc>
          <w:tcPr>
            <w:tcW w:w="8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41</w:t>
            </w:r>
          </w:p>
        </w:tc>
        <w:tc>
          <w:tcPr>
            <w:tcW w:w="8300" w:type="dxa"/>
            <w:vAlign w:val="bottom"/>
          </w:tcPr>
          <w:p>
            <w:pPr>
              <w:ind w:left="160"/>
              <w:spacing w:after="0" w:line="202" w:lineRule="exact"/>
              <w:rPr>
                <w:sz w:val="20"/>
                <w:szCs w:val="20"/>
                <w:color w:val="auto"/>
              </w:rPr>
            </w:pPr>
            <w:r>
              <w:rPr>
                <w:rFonts w:ascii="Arial" w:cs="Arial" w:eastAsia="Arial" w:hAnsi="Arial"/>
                <w:sz w:val="18"/>
                <w:szCs w:val="18"/>
                <w:color w:val="auto"/>
              </w:rPr>
              <w:t>Senior Vice President — Strategy</w:t>
            </w:r>
          </w:p>
        </w:tc>
      </w:tr>
      <w:tr>
        <w:trPr>
          <w:trHeight w:val="199"/>
        </w:trPr>
        <w:tc>
          <w:tcPr>
            <w:tcW w:w="22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Edward A. Wiertel</w:t>
            </w:r>
          </w:p>
        </w:tc>
        <w:tc>
          <w:tcPr>
            <w:tcW w:w="86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42</w:t>
            </w:r>
          </w:p>
        </w:tc>
        <w:tc>
          <w:tcPr>
            <w:tcW w:w="8300" w:type="dxa"/>
            <w:vAlign w:val="bottom"/>
            <w:tcBorders>
              <w:bottom w:val="single" w:sz="8" w:color="auto"/>
            </w:tcBorders>
          </w:tcPr>
          <w:p>
            <w:pPr>
              <w:ind w:left="160"/>
              <w:spacing w:after="0" w:line="200" w:lineRule="exact"/>
              <w:rPr>
                <w:sz w:val="20"/>
                <w:szCs w:val="20"/>
                <w:color w:val="auto"/>
              </w:rPr>
            </w:pPr>
            <w:r>
              <w:rPr>
                <w:rFonts w:ascii="Arial" w:cs="Arial" w:eastAsia="Arial" w:hAnsi="Arial"/>
                <w:sz w:val="18"/>
                <w:szCs w:val="18"/>
                <w:color w:val="auto"/>
              </w:rPr>
              <w:t>Senior Vice President — Finance</w:t>
            </w:r>
          </w:p>
        </w:tc>
      </w:tr>
    </w:tbl>
    <w:p>
      <w:pPr>
        <w:spacing w:after="0" w:line="143"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color w:val="auto"/>
        </w:rPr>
        <w:t xml:space="preserve">Christopher J. Klein </w:t>
      </w:r>
      <w:r>
        <w:rPr>
          <w:rFonts w:ascii="Arial" w:cs="Arial" w:eastAsia="Arial" w:hAnsi="Arial"/>
          <w:sz w:val="18"/>
          <w:szCs w:val="18"/>
          <w:color w:val="auto"/>
        </w:rPr>
        <w:t>has served as Chief Executive Officer of Home &amp; Security since January 2010. From April 2009 to December 2009, Mr. Klein</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President and Chief Operating Officer of Home &amp; Security. From February 2009 through March 2009, Mr. Klein served as Senior Vice President of Fortune Brands, Inc. and, from April 2003 to February 2009, Mr. Klein served as Senior Vice President — Strategy &amp; Corporate Development of Fortune Brands, Inc.</w:t>
      </w:r>
    </w:p>
    <w:p>
      <w:pPr>
        <w:spacing w:after="0" w:line="13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color w:val="auto"/>
        </w:rPr>
        <w:t xml:space="preserve">E. Lee Wyatt, Jr. </w:t>
      </w:r>
      <w:r>
        <w:rPr>
          <w:rFonts w:ascii="Arial" w:cs="Arial" w:eastAsia="Arial" w:hAnsi="Arial"/>
          <w:sz w:val="18"/>
          <w:szCs w:val="18"/>
          <w:color w:val="auto"/>
        </w:rPr>
        <w:t>has served as Chief Financial Officer of Home &amp; Security since September 2011. Mr. Wyatt served as Executive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Chief Financial Officer of Hanesbrands Inc. from September 2006 to June 2011.</w:t>
      </w:r>
    </w:p>
    <w:p>
      <w:pPr>
        <w:spacing w:after="0" w:line="112" w:lineRule="exact"/>
        <w:rPr>
          <w:sz w:val="20"/>
          <w:szCs w:val="20"/>
          <w:color w:val="auto"/>
        </w:rPr>
      </w:pPr>
    </w:p>
    <w:p>
      <w:pPr>
        <w:ind w:right="260"/>
        <w:spacing w:after="0" w:line="249" w:lineRule="auto"/>
        <w:rPr>
          <w:sz w:val="20"/>
          <w:szCs w:val="20"/>
          <w:color w:val="auto"/>
        </w:rPr>
      </w:pPr>
      <w:r>
        <w:rPr>
          <w:rFonts w:ascii="Arial" w:cs="Arial" w:eastAsia="Arial" w:hAnsi="Arial"/>
          <w:sz w:val="18"/>
          <w:szCs w:val="18"/>
          <w:b w:val="1"/>
          <w:bCs w:val="1"/>
          <w:color w:val="auto"/>
        </w:rPr>
        <w:t xml:space="preserve">John N. Heppner </w:t>
      </w:r>
      <w:r>
        <w:rPr>
          <w:rFonts w:ascii="Arial" w:cs="Arial" w:eastAsia="Arial" w:hAnsi="Arial"/>
          <w:sz w:val="18"/>
          <w:szCs w:val="18"/>
          <w:color w:val="auto"/>
        </w:rPr>
        <w:t>has served as President and Chief Executive Officer of Fortune Brands Storage &amp; Security LLC, a subsidiary of Home &amp;</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since March 2006. Mr. Heppner has also served as President and Chief Executive Officer of Master Lock Company LLC since January 2001.</w:t>
      </w:r>
    </w:p>
    <w:p>
      <w:pPr>
        <w:spacing w:after="0" w:line="126"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b w:val="1"/>
          <w:bCs w:val="1"/>
          <w:color w:val="auto"/>
        </w:rPr>
        <w:t xml:space="preserve">David B. Lingafelter </w:t>
      </w:r>
      <w:r>
        <w:rPr>
          <w:rFonts w:ascii="Arial" w:cs="Arial" w:eastAsia="Arial" w:hAnsi="Arial"/>
          <w:sz w:val="18"/>
          <w:szCs w:val="18"/>
          <w:color w:val="auto"/>
        </w:rPr>
        <w:t>has served as President of Moen Incorporated, a subsidiary of Home &amp; Security, since October 2007. Prior to assuming that</w:t>
      </w:r>
      <w:r>
        <w:rPr>
          <w:rFonts w:ascii="Arial" w:cs="Arial" w:eastAsia="Arial" w:hAnsi="Arial"/>
          <w:sz w:val="18"/>
          <w:szCs w:val="18"/>
          <w:b w:val="1"/>
          <w:bCs w:val="1"/>
          <w:color w:val="auto"/>
        </w:rPr>
        <w:t xml:space="preserve"> </w:t>
      </w:r>
      <w:r>
        <w:rPr>
          <w:rFonts w:ascii="Arial" w:cs="Arial" w:eastAsia="Arial" w:hAnsi="Arial"/>
          <w:sz w:val="18"/>
          <w:szCs w:val="18"/>
          <w:color w:val="auto"/>
        </w:rPr>
        <w:t>role, he served as President, Worldwide Businesses from April 2007 through September 2007. From October 2006 through March 2007,</w:t>
      </w:r>
    </w:p>
    <w:p>
      <w:pPr>
        <w:spacing w:after="0" w:line="236" w:lineRule="auto"/>
        <w:rPr>
          <w:sz w:val="20"/>
          <w:szCs w:val="20"/>
          <w:color w:val="auto"/>
        </w:rPr>
      </w:pPr>
      <w:r>
        <w:rPr>
          <w:rFonts w:ascii="Arial" w:cs="Arial" w:eastAsia="Arial" w:hAnsi="Arial"/>
          <w:sz w:val="18"/>
          <w:szCs w:val="18"/>
          <w:color w:val="auto"/>
        </w:rPr>
        <w:t>Mr. Lingafelter served as President, U.S. Business, and from September 2006 to October 2006, he served as President, U.S. Faucet Business.</w:t>
      </w:r>
    </w:p>
    <w:p>
      <w:pPr>
        <w:spacing w:after="0"/>
        <w:rPr>
          <w:sz w:val="20"/>
          <w:szCs w:val="20"/>
          <w:color w:val="auto"/>
        </w:rPr>
      </w:pPr>
      <w:r>
        <w:rPr>
          <w:rFonts w:ascii="Arial" w:cs="Arial" w:eastAsia="Arial" w:hAnsi="Arial"/>
          <w:sz w:val="18"/>
          <w:szCs w:val="18"/>
          <w:color w:val="auto"/>
        </w:rPr>
        <w:t>Mr. Lingafelter served as Vice President &amp; General Manager, U.S. Wholesale from January 2004 through August 2006.</w:t>
      </w:r>
    </w:p>
    <w:p>
      <w:pPr>
        <w:spacing w:after="0" w:line="136" w:lineRule="exact"/>
        <w:rPr>
          <w:sz w:val="20"/>
          <w:szCs w:val="20"/>
          <w:color w:val="auto"/>
        </w:rPr>
      </w:pPr>
    </w:p>
    <w:p>
      <w:pPr>
        <w:ind w:right="240"/>
        <w:spacing w:after="0" w:line="249" w:lineRule="auto"/>
        <w:rPr>
          <w:sz w:val="20"/>
          <w:szCs w:val="20"/>
          <w:color w:val="auto"/>
        </w:rPr>
      </w:pPr>
      <w:r>
        <w:rPr>
          <w:rFonts w:ascii="Arial" w:cs="Arial" w:eastAsia="Arial" w:hAnsi="Arial"/>
          <w:sz w:val="18"/>
          <w:szCs w:val="18"/>
          <w:b w:val="1"/>
          <w:bCs w:val="1"/>
          <w:color w:val="auto"/>
        </w:rPr>
        <w:t xml:space="preserve">David M. Randich </w:t>
      </w:r>
      <w:r>
        <w:rPr>
          <w:rFonts w:ascii="Arial" w:cs="Arial" w:eastAsia="Arial" w:hAnsi="Arial"/>
          <w:sz w:val="18"/>
          <w:szCs w:val="18"/>
          <w:color w:val="auto"/>
        </w:rPr>
        <w:t>has served as President of Therma-Tru Corp., a subsidiary of Home &amp; Security, since November 2007. From April 2004</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October 2007 Mr. Randich served as Chief Executive Officer — Armstrong Flooring Europe, a subsidiary of Armstrong World Industries, Inc.</w:t>
      </w:r>
    </w:p>
    <w:p>
      <w:pPr>
        <w:spacing w:after="0" w:line="126"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 xml:space="preserve">Mark Savan </w:t>
      </w:r>
      <w:r>
        <w:rPr>
          <w:rFonts w:ascii="Arial" w:cs="Arial" w:eastAsia="Arial" w:hAnsi="Arial"/>
          <w:sz w:val="18"/>
          <w:szCs w:val="18"/>
          <w:color w:val="auto"/>
        </w:rPr>
        <w:t>has served as President of Fortune Brands Windows, Inc., a subsidiary of Home &amp; Security, since October 2006. Mr. Savan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Vice President and General Manager, Accessories and Commercial of Moen Incorporated from April 2003 to October 2006.</w:t>
      </w:r>
    </w:p>
    <w:p>
      <w:pPr>
        <w:spacing w:after="0" w:line="11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color w:val="auto"/>
        </w:rPr>
        <w:t xml:space="preserve">Gregory J. Stoner </w:t>
      </w:r>
      <w:r>
        <w:rPr>
          <w:rFonts w:ascii="Arial" w:cs="Arial" w:eastAsia="Arial" w:hAnsi="Arial"/>
          <w:sz w:val="18"/>
          <w:szCs w:val="18"/>
          <w:color w:val="auto"/>
        </w:rPr>
        <w:t>has served as President of MasterBrand Cabinets, Inc. since January 2007. Prior to assuming that role, Mr. Stoner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Master Brand Cabinets’ Group President — Retail.</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color w:val="auto"/>
        </w:rPr>
        <w:t xml:space="preserve">Elizabeth R. Lane </w:t>
      </w:r>
      <w:r>
        <w:rPr>
          <w:rFonts w:ascii="Arial" w:cs="Arial" w:eastAsia="Arial" w:hAnsi="Arial"/>
          <w:sz w:val="18"/>
          <w:szCs w:val="18"/>
          <w:color w:val="auto"/>
        </w:rPr>
        <w:t>has served as the Senior Vice President — Human Resources of Home &amp; Security since October 2011. Ms. Lane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Vice President — Human Resources of Fortune Brands, Inc. from January 2009 to September 2011. From July 2007 through December 2008, she served as Vice President — Compensation &amp; Benefits, and from January 2006 through June 2007, she served as Assistant General Counsel and Assistant Secretary.</w:t>
      </w:r>
    </w:p>
    <w:p>
      <w:pPr>
        <w:spacing w:after="0" w:line="131" w:lineRule="exact"/>
        <w:rPr>
          <w:sz w:val="20"/>
          <w:szCs w:val="20"/>
          <w:color w:val="auto"/>
        </w:rPr>
      </w:pPr>
    </w:p>
    <w:p>
      <w:pPr>
        <w:spacing w:after="0" w:line="328" w:lineRule="auto"/>
        <w:rPr>
          <w:sz w:val="20"/>
          <w:szCs w:val="20"/>
          <w:color w:val="auto"/>
        </w:rPr>
      </w:pPr>
      <w:r>
        <w:rPr>
          <w:rFonts w:ascii="Arial" w:cs="Arial" w:eastAsia="Arial" w:hAnsi="Arial"/>
          <w:sz w:val="16"/>
          <w:szCs w:val="16"/>
          <w:b w:val="1"/>
          <w:bCs w:val="1"/>
          <w:color w:val="auto"/>
        </w:rPr>
        <w:t xml:space="preserve">Lauren S. Tashma </w:t>
      </w:r>
      <w:r>
        <w:rPr>
          <w:rFonts w:ascii="Arial" w:cs="Arial" w:eastAsia="Arial" w:hAnsi="Arial"/>
          <w:sz w:val="16"/>
          <w:szCs w:val="16"/>
          <w:color w:val="auto"/>
        </w:rPr>
        <w:t>has served as the Senior Vice President, General Counsel and Secretary of Home &amp; Security since October 2011. Ms. Tashma</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Vice President, Associate General Counsel and Assistant Secretary of Fortune Brands, Inc. from January 2006 to September 2011.</w:t>
      </w:r>
    </w:p>
    <w:p>
      <w:pPr>
        <w:spacing w:after="0" w:line="6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color w:val="auto"/>
        </w:rPr>
        <w:t xml:space="preserve">Miriam E. Van de Sype </w:t>
      </w:r>
      <w:r>
        <w:rPr>
          <w:rFonts w:ascii="Arial" w:cs="Arial" w:eastAsia="Arial" w:hAnsi="Arial"/>
          <w:sz w:val="18"/>
          <w:szCs w:val="18"/>
          <w:color w:val="auto"/>
        </w:rPr>
        <w:t>has served as Senior Vice President — Strategy for Home &amp; Security since October 2011. Ms. Van de Sype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Vice President of Strategy and New Business Development of Home &amp; Security from September 2005 to September 2011.</w:t>
      </w:r>
    </w:p>
    <w:p>
      <w:pPr>
        <w:spacing w:after="0" w:line="112"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b w:val="1"/>
          <w:bCs w:val="1"/>
          <w:color w:val="auto"/>
        </w:rPr>
        <w:t xml:space="preserve">Edward A. Wiertel </w:t>
      </w:r>
      <w:r>
        <w:rPr>
          <w:rFonts w:ascii="Arial" w:cs="Arial" w:eastAsia="Arial" w:hAnsi="Arial"/>
          <w:sz w:val="18"/>
          <w:szCs w:val="18"/>
          <w:color w:val="auto"/>
        </w:rPr>
        <w:t>has served as Senior Vice President — Finance for Home &amp; Security since October 2011. Mr. Wiertel served as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and Corporate Controller of Fortune Brands, Inc. from April 2007 to September 2011. From 2002 to March 2007, Mr. Wiertel was a partner with KPMG LLP.</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the Registrant’s Common Equity, Related Stockholder Matters and Issuer Purchases of Equity Securities.</w:t>
      </w:r>
    </w:p>
    <w:p>
      <w:pPr>
        <w:spacing w:after="0" w:line="18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common stock is listed on the New York Stock Exchange (the “NYSE”) under the ticker symbol “FBHS”. The following table presents the high and low prices for common stock as reported on the NYSE since September 16, 2011, the date our common stock began “when issued” trading on the NYSE.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500"/>
        </w:trPr>
        <w:tc>
          <w:tcPr>
            <w:tcW w:w="9120" w:type="dxa"/>
            <w:vAlign w:val="bottom"/>
            <w:tcBorders>
              <w:top w:val="single" w:sz="8" w:color="auto"/>
              <w:bottom w:val="single" w:sz="8" w:color="auto"/>
              <w:right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gridSpan w:val="2"/>
          </w:tcPr>
          <w:p>
            <w:pPr>
              <w:jc w:val="right"/>
              <w:ind w:right="819"/>
              <w:spacing w:after="0"/>
              <w:rPr>
                <w:sz w:val="20"/>
                <w:szCs w:val="20"/>
                <w:color w:val="auto"/>
              </w:rPr>
            </w:pPr>
            <w:r>
              <w:rPr>
                <w:rFonts w:ascii="Arial" w:cs="Arial" w:eastAsia="Arial" w:hAnsi="Arial"/>
                <w:sz w:val="14"/>
                <w:szCs w:val="14"/>
                <w:i w:val="1"/>
                <w:iCs w:val="1"/>
                <w:color w:val="auto"/>
              </w:rPr>
              <w:t>2011</w:t>
            </w:r>
          </w:p>
        </w:tc>
      </w:tr>
      <w:tr>
        <w:trPr>
          <w:trHeight w:val="480"/>
        </w:trPr>
        <w:tc>
          <w:tcPr>
            <w:tcW w:w="9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i w:val="1"/>
                <w:iCs w:val="1"/>
                <w:color w:val="auto"/>
              </w:rPr>
              <w:t>High</w:t>
            </w:r>
          </w:p>
        </w:tc>
        <w:tc>
          <w:tcPr>
            <w:tcW w:w="2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i w:val="1"/>
                <w:iCs w:val="1"/>
                <w:color w:val="auto"/>
              </w:rPr>
              <w:t>Low</w:t>
            </w:r>
          </w:p>
        </w:tc>
      </w:tr>
      <w:tr>
        <w:trPr>
          <w:trHeight w:val="196"/>
        </w:trPr>
        <w:tc>
          <w:tcPr>
            <w:tcW w:w="9120" w:type="dxa"/>
            <w:vAlign w:val="bottom"/>
            <w:tcBorders>
              <w:right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Third Quarter (September 16-30, 2011)</w:t>
            </w:r>
          </w:p>
        </w:tc>
        <w:tc>
          <w:tcPr>
            <w:tcW w:w="980" w:type="dxa"/>
            <w:vAlign w:val="bottom"/>
            <w:shd w:val="clear" w:color="auto" w:fill="CCEEFF"/>
          </w:tcPr>
          <w:p>
            <w:pPr>
              <w:jc w:val="right"/>
              <w:ind w:right="39"/>
              <w:spacing w:after="0" w:line="196" w:lineRule="exact"/>
              <w:rPr>
                <w:sz w:val="20"/>
                <w:szCs w:val="20"/>
                <w:color w:val="auto"/>
              </w:rPr>
            </w:pPr>
            <w:r>
              <w:rPr>
                <w:rFonts w:ascii="Arial" w:cs="Arial" w:eastAsia="Arial" w:hAnsi="Arial"/>
                <w:sz w:val="18"/>
                <w:szCs w:val="18"/>
                <w:color w:val="auto"/>
              </w:rPr>
              <w:t>$14.34</w:t>
            </w:r>
          </w:p>
        </w:tc>
        <w:tc>
          <w:tcPr>
            <w:tcW w:w="240" w:type="dxa"/>
            <w:vAlign w:val="bottom"/>
            <w:tcBorders>
              <w:right w:val="single" w:sz="8" w:color="auto"/>
            </w:tcBorders>
            <w:shd w:val="clear" w:color="auto" w:fill="CCEEFF"/>
          </w:tcPr>
          <w:p>
            <w:pPr>
              <w:spacing w:after="0"/>
              <w:rPr>
                <w:sz w:val="17"/>
                <w:szCs w:val="17"/>
                <w:color w:val="auto"/>
              </w:rPr>
            </w:pPr>
          </w:p>
        </w:tc>
        <w:tc>
          <w:tcPr>
            <w:tcW w:w="108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rPr>
              <w:t>$11.00</w:t>
            </w:r>
          </w:p>
        </w:tc>
      </w:tr>
      <w:tr>
        <w:trPr>
          <w:trHeight w:val="203"/>
        </w:trPr>
        <w:tc>
          <w:tcPr>
            <w:tcW w:w="9120" w:type="dxa"/>
            <w:vAlign w:val="bottom"/>
            <w:tcBorders>
              <w:bottom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Fourth Quarter</w:t>
            </w:r>
          </w:p>
        </w:tc>
        <w:tc>
          <w:tcPr>
            <w:tcW w:w="980" w:type="dxa"/>
            <w:vAlign w:val="bottom"/>
            <w:tcBorders>
              <w:bottom w:val="single" w:sz="8" w:color="auto"/>
            </w:tcBorders>
          </w:tcPr>
          <w:p>
            <w:pPr>
              <w:jc w:val="right"/>
              <w:ind w:right="39"/>
              <w:spacing w:after="0" w:line="202" w:lineRule="exact"/>
              <w:rPr>
                <w:sz w:val="20"/>
                <w:szCs w:val="20"/>
                <w:color w:val="auto"/>
              </w:rPr>
            </w:pPr>
            <w:r>
              <w:rPr>
                <w:rFonts w:ascii="Arial" w:cs="Arial" w:eastAsia="Arial" w:hAnsi="Arial"/>
                <w:sz w:val="18"/>
                <w:szCs w:val="18"/>
                <w:color w:val="auto"/>
              </w:rPr>
              <w:t>$17.09</w:t>
            </w:r>
          </w:p>
        </w:tc>
        <w:tc>
          <w:tcPr>
            <w:tcW w:w="24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
              <w:spacing w:after="0" w:line="202" w:lineRule="exact"/>
              <w:rPr>
                <w:sz w:val="20"/>
                <w:szCs w:val="20"/>
                <w:color w:val="auto"/>
              </w:rPr>
            </w:pPr>
            <w:r>
              <w:rPr>
                <w:rFonts w:ascii="Arial" w:cs="Arial" w:eastAsia="Arial" w:hAnsi="Arial"/>
                <w:sz w:val="18"/>
                <w:szCs w:val="18"/>
                <w:color w:val="auto"/>
              </w:rPr>
              <w:t>$11.05</w:t>
            </w:r>
          </w:p>
        </w:tc>
      </w:tr>
    </w:tbl>
    <w:p>
      <w:pPr>
        <w:spacing w:after="0" w:line="16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Since the spin-off of the Company from Fortune Brands, Inc., we have not paid cash dividends, and we do not anticipate paying a cash dividend on our common stock in the immediate future. We expect that our Board of Directors will periodically evaluate establishing a dividend and/or share repurchase program.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On February 3, 2012, there were 16,725 record holders of the Company’s common stock, par value $0.01 per share.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80"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Below are the repurchases of common stock by the Company or any “affiliated purchaser” (as defined in Rule 10b-18(a)(3) under the Exchange Act) for the three months ended December 31, 2011: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392"/>
        </w:trPr>
        <w:tc>
          <w:tcPr>
            <w:tcW w:w="692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color w:val="auto"/>
              </w:rPr>
              <w:t>Three Months Ended</w:t>
            </w:r>
          </w:p>
        </w:tc>
        <w:tc>
          <w:tcPr>
            <w:tcW w:w="2720" w:type="dxa"/>
            <w:vAlign w:val="bottom"/>
            <w:tcBorders>
              <w:top w:val="single" w:sz="8" w:color="auto"/>
              <w:right w:val="single" w:sz="8" w:color="auto"/>
            </w:tcBorders>
          </w:tcPr>
          <w:p>
            <w:pPr>
              <w:jc w:val="right"/>
              <w:ind w:right="700"/>
              <w:spacing w:after="0"/>
              <w:rPr>
                <w:sz w:val="20"/>
                <w:szCs w:val="20"/>
                <w:color w:val="auto"/>
              </w:rPr>
            </w:pPr>
            <w:r>
              <w:rPr>
                <w:rFonts w:ascii="Arial" w:cs="Arial" w:eastAsia="Arial" w:hAnsi="Arial"/>
                <w:sz w:val="14"/>
                <w:szCs w:val="14"/>
                <w:i w:val="1"/>
                <w:iCs w:val="1"/>
                <w:color w:val="auto"/>
              </w:rPr>
              <w:t>Total number of</w:t>
            </w:r>
          </w:p>
        </w:tc>
        <w:tc>
          <w:tcPr>
            <w:tcW w:w="1780" w:type="dxa"/>
            <w:vAlign w:val="bottom"/>
            <w:tcBorders>
              <w:top w:val="single" w:sz="8" w:color="auto"/>
            </w:tcBorders>
            <w:gridSpan w:val="2"/>
          </w:tcPr>
          <w:p>
            <w:pPr>
              <w:jc w:val="right"/>
              <w:ind w:right="12"/>
              <w:spacing w:after="0"/>
              <w:rPr>
                <w:sz w:val="20"/>
                <w:szCs w:val="20"/>
                <w:color w:val="auto"/>
              </w:rPr>
            </w:pPr>
            <w:r>
              <w:rPr>
                <w:rFonts w:ascii="Arial" w:cs="Arial" w:eastAsia="Arial" w:hAnsi="Arial"/>
                <w:sz w:val="14"/>
                <w:szCs w:val="14"/>
                <w:color w:val="auto"/>
              </w:rPr>
              <w:t>Average price</w:t>
            </w:r>
          </w:p>
        </w:tc>
      </w:tr>
      <w:tr>
        <w:trPr>
          <w:trHeight w:val="176"/>
        </w:trPr>
        <w:tc>
          <w:tcPr>
            <w:tcW w:w="6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December 31, 2011</w:t>
            </w:r>
          </w:p>
        </w:tc>
        <w:tc>
          <w:tcPr>
            <w:tcW w:w="2720" w:type="dxa"/>
            <w:vAlign w:val="bottom"/>
            <w:tcBorders>
              <w:bottom w:val="single" w:sz="8" w:color="auto"/>
              <w:right w:val="single" w:sz="8" w:color="auto"/>
            </w:tcBorders>
          </w:tcPr>
          <w:p>
            <w:pPr>
              <w:jc w:val="right"/>
              <w:ind w:right="700"/>
              <w:spacing w:after="0" w:line="176" w:lineRule="exact"/>
              <w:rPr>
                <w:sz w:val="20"/>
                <w:szCs w:val="20"/>
                <w:color w:val="auto"/>
              </w:rPr>
            </w:pPr>
            <w:r>
              <w:rPr>
                <w:rFonts w:ascii="Arial" w:cs="Arial" w:eastAsia="Arial" w:hAnsi="Arial"/>
                <w:sz w:val="13"/>
                <w:szCs w:val="13"/>
                <w:i w:val="1"/>
                <w:iCs w:val="1"/>
                <w:color w:val="auto"/>
              </w:rPr>
              <w:t>shares purchased</w:t>
            </w:r>
            <w:r>
              <w:rPr>
                <w:rFonts w:ascii="Arial" w:cs="Arial" w:eastAsia="Arial" w:hAnsi="Arial"/>
                <w:sz w:val="20"/>
                <w:szCs w:val="20"/>
                <w:i w:val="1"/>
                <w:iCs w:val="1"/>
                <w:color w:val="auto"/>
                <w:vertAlign w:val="superscript"/>
              </w:rPr>
              <w:t>(a)</w:t>
            </w:r>
          </w:p>
        </w:tc>
        <w:tc>
          <w:tcPr>
            <w:tcW w:w="178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color w:val="auto"/>
              </w:rPr>
              <w:t>paid per share</w:t>
            </w:r>
          </w:p>
        </w:tc>
      </w:tr>
      <w:tr>
        <w:trPr>
          <w:trHeight w:val="196"/>
        </w:trPr>
        <w:tc>
          <w:tcPr>
            <w:tcW w:w="6920" w:type="dxa"/>
            <w:vAlign w:val="bottom"/>
            <w:tcBorders>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October 1 – October 31</w:t>
            </w:r>
          </w:p>
        </w:tc>
        <w:tc>
          <w:tcPr>
            <w:tcW w:w="2720" w:type="dxa"/>
            <w:vAlign w:val="bottom"/>
            <w:tcBorders>
              <w:right w:val="single" w:sz="8" w:color="auto"/>
            </w:tcBorders>
            <w:shd w:val="clear" w:color="auto" w:fill="CCEEFF"/>
          </w:tcPr>
          <w:p>
            <w:pPr>
              <w:jc w:val="right"/>
              <w:ind w:right="70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80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r>
      <w:tr>
        <w:trPr>
          <w:trHeight w:val="203"/>
        </w:trPr>
        <w:tc>
          <w:tcPr>
            <w:tcW w:w="69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November 1 – November 30</w:t>
            </w:r>
          </w:p>
        </w:tc>
        <w:tc>
          <w:tcPr>
            <w:tcW w:w="2720" w:type="dxa"/>
            <w:vAlign w:val="bottom"/>
            <w:tcBorders>
              <w:right w:val="single" w:sz="8" w:color="auto"/>
            </w:tcBorders>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6920" w:type="dxa"/>
            <w:vAlign w:val="bottom"/>
            <w:tcBorders>
              <w:bottom w:val="single" w:sz="8" w:color="auto"/>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December 1 – December 31</w:t>
            </w:r>
          </w:p>
        </w:tc>
        <w:tc>
          <w:tcPr>
            <w:tcW w:w="2720" w:type="dxa"/>
            <w:vAlign w:val="bottom"/>
            <w:tcBorders>
              <w:bottom w:val="single" w:sz="8" w:color="auto"/>
              <w:right w:val="single" w:sz="8" w:color="auto"/>
            </w:tcBorders>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3,357</w:t>
            </w:r>
          </w:p>
        </w:tc>
        <w:tc>
          <w:tcPr>
            <w:tcW w:w="10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15.97</w:t>
            </w:r>
          </w:p>
        </w:tc>
      </w:tr>
      <w:tr>
        <w:trPr>
          <w:trHeight w:val="203"/>
        </w:trPr>
        <w:tc>
          <w:tcPr>
            <w:tcW w:w="6920" w:type="dxa"/>
            <w:vAlign w:val="bottom"/>
            <w:tcBorders>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Total</w:t>
            </w:r>
          </w:p>
        </w:tc>
        <w:tc>
          <w:tcPr>
            <w:tcW w:w="2720" w:type="dxa"/>
            <w:vAlign w:val="bottom"/>
            <w:tcBorders>
              <w:bottom w:val="single" w:sz="8" w:color="auto"/>
              <w:right w:val="single" w:sz="8" w:color="auto"/>
            </w:tcBorders>
          </w:tcPr>
          <w:p>
            <w:pPr>
              <w:jc w:val="right"/>
              <w:ind w:right="700"/>
              <w:spacing w:after="0" w:line="196" w:lineRule="exact"/>
              <w:rPr>
                <w:sz w:val="20"/>
                <w:szCs w:val="20"/>
                <w:color w:val="auto"/>
              </w:rPr>
            </w:pPr>
            <w:r>
              <w:rPr>
                <w:rFonts w:ascii="Arial" w:cs="Arial" w:eastAsia="Arial" w:hAnsi="Arial"/>
                <w:sz w:val="18"/>
                <w:szCs w:val="18"/>
                <w:color w:val="auto"/>
              </w:rPr>
              <w:t>3,357</w:t>
            </w:r>
          </w:p>
        </w:tc>
        <w:tc>
          <w:tcPr>
            <w:tcW w:w="1060" w:type="dxa"/>
            <w:vAlign w:val="bottom"/>
            <w:tcBorders>
              <w:bottom w:val="single" w:sz="8" w:color="auto"/>
            </w:tcBorders>
          </w:tcPr>
          <w:p>
            <w:pPr>
              <w:ind w:left="80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15.97</w:t>
            </w:r>
          </w:p>
        </w:tc>
      </w:tr>
    </w:tbl>
    <w:p>
      <w:pPr>
        <w:spacing w:after="0" w:line="80" w:lineRule="exact"/>
        <w:rPr>
          <w:sz w:val="20"/>
          <w:szCs w:val="20"/>
          <w:color w:val="auto"/>
        </w:rPr>
      </w:pPr>
    </w:p>
    <w:p>
      <w:pPr>
        <w:jc w:val="both"/>
        <w:ind w:left="220" w:right="300" w:hanging="212"/>
        <w:spacing w:after="0" w:line="191" w:lineRule="auto"/>
        <w:tabs>
          <w:tab w:leader="none" w:pos="220"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The Company purchased all of the 3,357 shares between December 1, 2011 and December 31, 2011 from the Company’s employees in connection with the exercise of stock options issued under the Company’s long-term incentive plans. The employees sold these shares to the Company in payment of the exercise price of the options exercised and the related tax withholding amounts.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240665</wp:posOffset>
            </wp:positionV>
            <wp:extent cx="4322445" cy="24955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22445"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above graph compares the relative performance of our common stock, the S&amp;P Midcap 400 Index and a Peer Group Index. This graph covers the period from September 16, 2011 (the first day our common stock began “when-issued” trading on the NYSE) through December 31, 2011. This graph assumes $100 was invested in the stock or the index on September 16, 2011 and also assumes the reinvestment of dividends. The foregoing performance graph is being furnished as part of this Annual Report on Form 10-K solely in accordance with the requirement under Rule 14a-3(b)(9) to furnish our stockholders with such information, and therefore, shall not be deemed to be filed or incorporated by reference into any filings by the Company under the Securities Act of 1933, as amended, or the Securities Exchange Act of 1934, as amended.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Peer Group Index</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Peer Group is composed of the following publicly traded companies corresponding to the Company’s core businesses:</w:t>
      </w:r>
    </w:p>
    <w:p>
      <w:pPr>
        <w:spacing w:after="0" w:line="50"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Armstrong World Industries, Inc., Cooper Industries plc, Fastenal Company, Leggett &amp; Platt Incorporated, Lennox International Inc., Masco Corporation, Mohawk Industries, Inc., Newell Rubbermaid Inc., The Sherwin-Williams Company, Stanley Black &amp; Decker, Inc., USG Corporation, and The Valspar Corporation.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Calculation of Peer Group Index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total return of the entire Peer Group, for the period of September 16, 2011 (the first day of when-issued trading on the</w:t>
      </w:r>
    </w:p>
    <w:p>
      <w:pPr>
        <w:spacing w:after="0"/>
        <w:rPr>
          <w:sz w:val="20"/>
          <w:szCs w:val="20"/>
          <w:color w:val="auto"/>
        </w:rPr>
      </w:pPr>
      <w:r>
        <w:rPr>
          <w:rFonts w:ascii="Arial" w:cs="Arial" w:eastAsia="Arial" w:hAnsi="Arial"/>
          <w:sz w:val="18"/>
          <w:szCs w:val="18"/>
          <w:color w:val="auto"/>
        </w:rPr>
        <w:t>NYSE of Fortune Brands Home &amp; Security, Inc. common stock) through December 31, 2011, is calculated in the following manner:</w:t>
      </w:r>
    </w:p>
    <w:p>
      <w:pPr>
        <w:spacing w:after="0" w:line="77" w:lineRule="exact"/>
        <w:rPr>
          <w:sz w:val="20"/>
          <w:szCs w:val="20"/>
          <w:color w:val="auto"/>
        </w:rPr>
      </w:pPr>
    </w:p>
    <w:p>
      <w:pPr>
        <w:ind w:left="900" w:right="60" w:hanging="446"/>
        <w:spacing w:after="0" w:line="299"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total return of each Peer Group member is calculated by dividing the change in market value of a share of its common stock during the period, assuming reinvestment of any dividends by the value of a share of its common stock at the beginning of the period; and</w:t>
      </w:r>
    </w:p>
    <w:p>
      <w:pPr>
        <w:spacing w:after="0" w:line="27" w:lineRule="exact"/>
        <w:rPr>
          <w:rFonts w:ascii="Arial" w:cs="Arial" w:eastAsia="Arial" w:hAnsi="Arial"/>
          <w:sz w:val="16"/>
          <w:szCs w:val="16"/>
          <w:color w:val="auto"/>
        </w:rPr>
      </w:pPr>
    </w:p>
    <w:p>
      <w:pPr>
        <w:ind w:left="900" w:right="200" w:hanging="446"/>
        <w:spacing w:after="0" w:line="23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Peer Group member’s total return is then weighted within the index based on its market capitalization as of December 31, 2010 (due to the fact that accurate market capitalization data is not available as of September 16, 2011, the date of the beginning of the period), relative to the market capitalization of the entire index, and the sum of such weighted returns results in a weighted-average total return for the entire Peer Group Index.</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Five-year Consolidated Selected Financial Data</w:t>
      </w:r>
    </w:p>
    <w:p>
      <w:pPr>
        <w:spacing w:after="0" w:line="18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Information for the years ended December 31, 2010, 2009, 2008 and 2007 have been revised, as applicable, for the retrospective application of our changes in accounting policy for recognizing defined benefit plan expense. See Note 2, “Significant Accounting Policies,” for a discussion of the change and the impacts for the years ended December 31, 2010 and 2009.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405"/>
        </w:trPr>
        <w:tc>
          <w:tcPr>
            <w:tcW w:w="4480" w:type="dxa"/>
            <w:vAlign w:val="bottom"/>
            <w:tcBorders>
              <w:top w:val="single" w:sz="8" w:color="auto"/>
              <w:bottom w:val="single" w:sz="8" w:color="auto"/>
              <w:right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840" w:type="dxa"/>
            <w:vAlign w:val="bottom"/>
            <w:tcBorders>
              <w:top w:val="single" w:sz="8" w:color="auto"/>
              <w:bottom w:val="single" w:sz="8" w:color="auto"/>
            </w:tcBorders>
            <w:gridSpan w:val="2"/>
          </w:tcPr>
          <w:p>
            <w:pPr>
              <w:jc w:val="right"/>
              <w:ind w:right="33"/>
              <w:spacing w:after="0"/>
              <w:rPr>
                <w:sz w:val="20"/>
                <w:szCs w:val="20"/>
                <w:color w:val="auto"/>
              </w:rPr>
            </w:pPr>
            <w:r>
              <w:rPr>
                <w:rFonts w:ascii="Arial" w:cs="Arial" w:eastAsia="Arial" w:hAnsi="Arial"/>
                <w:sz w:val="14"/>
                <w:szCs w:val="14"/>
                <w:color w:val="auto"/>
                <w:w w:val="98"/>
              </w:rPr>
              <w:t>Years Ended December 31,</w:t>
            </w:r>
          </w:p>
        </w:tc>
        <w:tc>
          <w:tcPr>
            <w:tcW w:w="2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r>
      <w:tr>
        <w:trPr>
          <w:trHeight w:val="385"/>
        </w:trPr>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jc w:val="right"/>
              <w:ind w:right="273"/>
              <w:spacing w:after="0"/>
              <w:rPr>
                <w:sz w:val="20"/>
                <w:szCs w:val="20"/>
                <w:color w:val="auto"/>
              </w:rPr>
            </w:pPr>
            <w:r>
              <w:rPr>
                <w:rFonts w:ascii="Arial" w:cs="Arial" w:eastAsia="Arial" w:hAnsi="Arial"/>
                <w:sz w:val="14"/>
                <w:szCs w:val="14"/>
                <w:i w:val="1"/>
                <w:iCs w:val="1"/>
                <w:color w:val="auto"/>
              </w:rPr>
              <w:t>2011</w:t>
            </w: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2010</w:t>
            </w:r>
            <w:r>
              <w:rPr>
                <w:rFonts w:ascii="Arial" w:cs="Arial" w:eastAsia="Arial" w:hAnsi="Arial"/>
                <w:sz w:val="22"/>
                <w:szCs w:val="22"/>
                <w:color w:val="auto"/>
                <w:vertAlign w:val="superscript"/>
              </w:rPr>
              <w:t>(a)</w:t>
            </w:r>
          </w:p>
        </w:tc>
        <w:tc>
          <w:tcPr>
            <w:tcW w:w="6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2009</w:t>
            </w:r>
            <w:r>
              <w:rPr>
                <w:rFonts w:ascii="Arial" w:cs="Arial" w:eastAsia="Arial" w:hAnsi="Arial"/>
                <w:sz w:val="22"/>
                <w:szCs w:val="22"/>
                <w:color w:val="auto"/>
                <w:vertAlign w:val="superscript"/>
              </w:rPr>
              <w:t>(a)</w:t>
            </w: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2008</w:t>
            </w:r>
            <w:r>
              <w:rPr>
                <w:rFonts w:ascii="Arial" w:cs="Arial" w:eastAsia="Arial" w:hAnsi="Arial"/>
                <w:sz w:val="22"/>
                <w:szCs w:val="22"/>
                <w:color w:val="auto"/>
                <w:vertAlign w:val="superscript"/>
              </w:rPr>
              <w:t>(b)</w:t>
            </w: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2007</w:t>
            </w:r>
            <w:r>
              <w:rPr>
                <w:rFonts w:ascii="Arial" w:cs="Arial" w:eastAsia="Arial" w:hAnsi="Arial"/>
                <w:sz w:val="22"/>
                <w:szCs w:val="22"/>
                <w:color w:val="auto"/>
                <w:vertAlign w:val="superscript"/>
              </w:rPr>
              <w:t>(c)</w:t>
            </w:r>
          </w:p>
        </w:tc>
      </w:tr>
      <w:tr>
        <w:trPr>
          <w:trHeight w:val="196"/>
        </w:trPr>
        <w:tc>
          <w:tcPr>
            <w:tcW w:w="4480" w:type="dxa"/>
            <w:vAlign w:val="bottom"/>
            <w:tcBorders>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statement data</w:t>
            </w:r>
          </w:p>
        </w:tc>
        <w:tc>
          <w:tcPr>
            <w:tcW w:w="420" w:type="dxa"/>
            <w:vAlign w:val="bottom"/>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4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Net sales</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ind w:right="273"/>
              <w:spacing w:after="0" w:line="202" w:lineRule="exact"/>
              <w:rPr>
                <w:sz w:val="20"/>
                <w:szCs w:val="20"/>
                <w:color w:val="auto"/>
              </w:rPr>
            </w:pPr>
            <w:r>
              <w:rPr>
                <w:rFonts w:ascii="Arial" w:cs="Arial" w:eastAsia="Arial" w:hAnsi="Arial"/>
                <w:sz w:val="18"/>
                <w:szCs w:val="18"/>
                <w:color w:val="auto"/>
                <w:w w:val="96"/>
              </w:rPr>
              <w:t>3,328.6</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53"/>
              <w:spacing w:after="0" w:line="202" w:lineRule="exact"/>
              <w:rPr>
                <w:sz w:val="20"/>
                <w:szCs w:val="20"/>
                <w:color w:val="auto"/>
              </w:rPr>
            </w:pPr>
            <w:r>
              <w:rPr>
                <w:rFonts w:ascii="Arial" w:cs="Arial" w:eastAsia="Arial" w:hAnsi="Arial"/>
                <w:sz w:val="18"/>
                <w:szCs w:val="18"/>
                <w:color w:val="auto"/>
                <w:w w:val="96"/>
              </w:rPr>
              <w:t>3,233.5</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493"/>
              <w:spacing w:after="0" w:line="202" w:lineRule="exact"/>
              <w:rPr>
                <w:sz w:val="20"/>
                <w:szCs w:val="20"/>
                <w:color w:val="auto"/>
              </w:rPr>
            </w:pPr>
            <w:r>
              <w:rPr>
                <w:rFonts w:ascii="Arial" w:cs="Arial" w:eastAsia="Arial" w:hAnsi="Arial"/>
                <w:sz w:val="18"/>
                <w:szCs w:val="18"/>
                <w:color w:val="auto"/>
                <w:w w:val="96"/>
              </w:rPr>
              <w:t>3,006.8</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93"/>
              <w:spacing w:after="0" w:line="202" w:lineRule="exact"/>
              <w:rPr>
                <w:sz w:val="20"/>
                <w:szCs w:val="20"/>
                <w:color w:val="auto"/>
              </w:rPr>
            </w:pPr>
            <w:r>
              <w:rPr>
                <w:rFonts w:ascii="Arial" w:cs="Arial" w:eastAsia="Arial" w:hAnsi="Arial"/>
                <w:sz w:val="18"/>
                <w:szCs w:val="18"/>
                <w:color w:val="auto"/>
                <w:w w:val="96"/>
              </w:rPr>
              <w:t>3,759.1</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273"/>
              <w:spacing w:after="0" w:line="202" w:lineRule="exact"/>
              <w:rPr>
                <w:sz w:val="20"/>
                <w:szCs w:val="20"/>
                <w:color w:val="auto"/>
              </w:rPr>
            </w:pPr>
            <w:r>
              <w:rPr>
                <w:rFonts w:ascii="Arial" w:cs="Arial" w:eastAsia="Arial" w:hAnsi="Arial"/>
                <w:sz w:val="18"/>
                <w:szCs w:val="18"/>
                <w:color w:val="auto"/>
                <w:w w:val="96"/>
              </w:rPr>
              <w:t>4,550.9</w:t>
            </w:r>
          </w:p>
        </w:tc>
      </w:tr>
      <w:tr>
        <w:trPr>
          <w:trHeight w:val="203"/>
        </w:trPr>
        <w:tc>
          <w:tcPr>
            <w:tcW w:w="44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Cost of products sold</w:t>
            </w:r>
          </w:p>
        </w:tc>
        <w:tc>
          <w:tcPr>
            <w:tcW w:w="420" w:type="dxa"/>
            <w:vAlign w:val="bottom"/>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w w:val="96"/>
              </w:rPr>
              <w:t>2,332.1</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w w:val="96"/>
              </w:rPr>
              <w:t>2,177.1</w:t>
            </w:r>
          </w:p>
        </w:tc>
        <w:tc>
          <w:tcPr>
            <w:tcW w:w="6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93"/>
              <w:spacing w:after="0" w:line="202" w:lineRule="exact"/>
              <w:rPr>
                <w:sz w:val="20"/>
                <w:szCs w:val="20"/>
                <w:color w:val="auto"/>
              </w:rPr>
            </w:pPr>
            <w:r>
              <w:rPr>
                <w:rFonts w:ascii="Arial" w:cs="Arial" w:eastAsia="Arial" w:hAnsi="Arial"/>
                <w:sz w:val="18"/>
                <w:szCs w:val="18"/>
                <w:color w:val="auto"/>
                <w:w w:val="96"/>
              </w:rPr>
              <w:t>2,101.7</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w w:val="96"/>
              </w:rPr>
              <w:t>2,580.9</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w w:val="96"/>
              </w:rPr>
              <w:t>2,995.6</w:t>
            </w:r>
          </w:p>
        </w:tc>
      </w:tr>
      <w:tr>
        <w:trPr>
          <w:trHeight w:val="203"/>
        </w:trPr>
        <w:tc>
          <w:tcPr>
            <w:tcW w:w="4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420" w:type="dxa"/>
            <w:vAlign w:val="bottom"/>
          </w:tcPr>
          <w:p>
            <w:pPr>
              <w:spacing w:after="0"/>
              <w:rPr>
                <w:sz w:val="17"/>
                <w:szCs w:val="17"/>
                <w:color w:val="auto"/>
              </w:rPr>
            </w:pPr>
          </w:p>
        </w:tc>
        <w:tc>
          <w:tcPr>
            <w:tcW w:w="960" w:type="dxa"/>
            <w:vAlign w:val="bottom"/>
            <w:tcBorders>
              <w:right w:val="single" w:sz="8" w:color="auto"/>
            </w:tcBorders>
          </w:tcPr>
          <w:p>
            <w:pPr>
              <w:jc w:val="right"/>
              <w:ind w:right="273"/>
              <w:spacing w:after="0" w:line="202" w:lineRule="exact"/>
              <w:rPr>
                <w:sz w:val="20"/>
                <w:szCs w:val="20"/>
                <w:color w:val="auto"/>
              </w:rPr>
            </w:pPr>
            <w:r>
              <w:rPr>
                <w:rFonts w:ascii="Arial" w:cs="Arial" w:eastAsia="Arial" w:hAnsi="Arial"/>
                <w:sz w:val="18"/>
                <w:szCs w:val="18"/>
                <w:color w:val="auto"/>
              </w:rPr>
              <w:t>900.6</w:t>
            </w:r>
          </w:p>
        </w:tc>
        <w:tc>
          <w:tcPr>
            <w:tcW w:w="420" w:type="dxa"/>
            <w:vAlign w:val="bottom"/>
          </w:tcPr>
          <w:p>
            <w:pPr>
              <w:spacing w:after="0"/>
              <w:rPr>
                <w:sz w:val="17"/>
                <w:szCs w:val="17"/>
                <w:color w:val="auto"/>
              </w:rPr>
            </w:pPr>
          </w:p>
        </w:tc>
        <w:tc>
          <w:tcPr>
            <w:tcW w:w="7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834.3</w:t>
            </w:r>
          </w:p>
        </w:tc>
        <w:tc>
          <w:tcPr>
            <w:tcW w:w="660" w:type="dxa"/>
            <w:vAlign w:val="bottom"/>
          </w:tcPr>
          <w:p>
            <w:pPr>
              <w:spacing w:after="0"/>
              <w:rPr>
                <w:sz w:val="17"/>
                <w:szCs w:val="17"/>
                <w:color w:val="auto"/>
              </w:rPr>
            </w:pPr>
          </w:p>
        </w:tc>
        <w:tc>
          <w:tcPr>
            <w:tcW w:w="1180" w:type="dxa"/>
            <w:vAlign w:val="bottom"/>
          </w:tcPr>
          <w:p>
            <w:pPr>
              <w:jc w:val="right"/>
              <w:ind w:right="493"/>
              <w:spacing w:after="0" w:line="202" w:lineRule="exact"/>
              <w:rPr>
                <w:sz w:val="20"/>
                <w:szCs w:val="20"/>
                <w:color w:val="auto"/>
              </w:rPr>
            </w:pPr>
            <w:r>
              <w:rPr>
                <w:rFonts w:ascii="Arial" w:cs="Arial" w:eastAsia="Arial" w:hAnsi="Arial"/>
                <w:sz w:val="18"/>
                <w:szCs w:val="18"/>
                <w:color w:val="auto"/>
              </w:rPr>
              <w:t>813.1</w:t>
            </w:r>
          </w:p>
        </w:tc>
        <w:tc>
          <w:tcPr>
            <w:tcW w:w="200" w:type="dxa"/>
            <w:vAlign w:val="bottom"/>
          </w:tcPr>
          <w:p>
            <w:pPr>
              <w:spacing w:after="0"/>
              <w:rPr>
                <w:sz w:val="17"/>
                <w:szCs w:val="17"/>
                <w:color w:val="auto"/>
              </w:rPr>
            </w:pPr>
          </w:p>
        </w:tc>
        <w:tc>
          <w:tcPr>
            <w:tcW w:w="98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923.5</w:t>
            </w:r>
          </w:p>
        </w:tc>
        <w:tc>
          <w:tcPr>
            <w:tcW w:w="420" w:type="dxa"/>
            <w:vAlign w:val="bottom"/>
          </w:tcPr>
          <w:p>
            <w:pPr>
              <w:spacing w:after="0"/>
              <w:rPr>
                <w:sz w:val="17"/>
                <w:szCs w:val="17"/>
                <w:color w:val="auto"/>
              </w:rPr>
            </w:pPr>
          </w:p>
        </w:tc>
        <w:tc>
          <w:tcPr>
            <w:tcW w:w="96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955.1</w:t>
            </w:r>
          </w:p>
        </w:tc>
      </w:tr>
      <w:tr>
        <w:trPr>
          <w:trHeight w:val="203"/>
        </w:trPr>
        <w:tc>
          <w:tcPr>
            <w:tcW w:w="44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420" w:type="dxa"/>
            <w:vAlign w:val="bottom"/>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rPr>
              <w:t>14.4</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15.7</w:t>
            </w:r>
          </w:p>
        </w:tc>
        <w:tc>
          <w:tcPr>
            <w:tcW w:w="6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93"/>
              <w:spacing w:after="0" w:line="202" w:lineRule="exact"/>
              <w:rPr>
                <w:sz w:val="20"/>
                <w:szCs w:val="20"/>
                <w:color w:val="auto"/>
              </w:rPr>
            </w:pPr>
            <w:r>
              <w:rPr>
                <w:rFonts w:ascii="Arial" w:cs="Arial" w:eastAsia="Arial" w:hAnsi="Arial"/>
                <w:sz w:val="18"/>
                <w:szCs w:val="18"/>
                <w:color w:val="auto"/>
              </w:rPr>
              <w:t>16.1</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32.9</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rPr>
              <w:t>34.6</w:t>
            </w:r>
          </w:p>
        </w:tc>
      </w:tr>
      <w:tr>
        <w:trPr>
          <w:trHeight w:val="203"/>
        </w:trPr>
        <w:tc>
          <w:tcPr>
            <w:tcW w:w="4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Restructuring charges</w:t>
            </w:r>
          </w:p>
        </w:tc>
        <w:tc>
          <w:tcPr>
            <w:tcW w:w="420" w:type="dxa"/>
            <w:vAlign w:val="bottom"/>
          </w:tcPr>
          <w:p>
            <w:pPr>
              <w:spacing w:after="0"/>
              <w:rPr>
                <w:sz w:val="17"/>
                <w:szCs w:val="17"/>
                <w:color w:val="auto"/>
              </w:rPr>
            </w:pPr>
          </w:p>
        </w:tc>
        <w:tc>
          <w:tcPr>
            <w:tcW w:w="960" w:type="dxa"/>
            <w:vAlign w:val="bottom"/>
            <w:tcBorders>
              <w:right w:val="single" w:sz="8" w:color="auto"/>
            </w:tcBorders>
          </w:tcPr>
          <w:p>
            <w:pPr>
              <w:jc w:val="right"/>
              <w:ind w:right="273"/>
              <w:spacing w:after="0" w:line="202" w:lineRule="exact"/>
              <w:rPr>
                <w:sz w:val="20"/>
                <w:szCs w:val="20"/>
                <w:color w:val="auto"/>
              </w:rPr>
            </w:pPr>
            <w:r>
              <w:rPr>
                <w:rFonts w:ascii="Arial" w:cs="Arial" w:eastAsia="Arial" w:hAnsi="Arial"/>
                <w:sz w:val="18"/>
                <w:szCs w:val="18"/>
                <w:color w:val="auto"/>
              </w:rPr>
              <w:t>4.7</w:t>
            </w:r>
          </w:p>
        </w:tc>
        <w:tc>
          <w:tcPr>
            <w:tcW w:w="420" w:type="dxa"/>
            <w:vAlign w:val="bottom"/>
          </w:tcPr>
          <w:p>
            <w:pPr>
              <w:spacing w:after="0"/>
              <w:rPr>
                <w:sz w:val="17"/>
                <w:szCs w:val="17"/>
                <w:color w:val="auto"/>
              </w:rPr>
            </w:pPr>
          </w:p>
        </w:tc>
        <w:tc>
          <w:tcPr>
            <w:tcW w:w="7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8.0</w:t>
            </w:r>
          </w:p>
        </w:tc>
        <w:tc>
          <w:tcPr>
            <w:tcW w:w="660" w:type="dxa"/>
            <w:vAlign w:val="bottom"/>
          </w:tcPr>
          <w:p>
            <w:pPr>
              <w:spacing w:after="0"/>
              <w:rPr>
                <w:sz w:val="17"/>
                <w:szCs w:val="17"/>
                <w:color w:val="auto"/>
              </w:rPr>
            </w:pPr>
          </w:p>
        </w:tc>
        <w:tc>
          <w:tcPr>
            <w:tcW w:w="1180" w:type="dxa"/>
            <w:vAlign w:val="bottom"/>
          </w:tcPr>
          <w:p>
            <w:pPr>
              <w:jc w:val="right"/>
              <w:ind w:right="493"/>
              <w:spacing w:after="0" w:line="202" w:lineRule="exact"/>
              <w:rPr>
                <w:sz w:val="20"/>
                <w:szCs w:val="20"/>
                <w:color w:val="auto"/>
              </w:rPr>
            </w:pPr>
            <w:r>
              <w:rPr>
                <w:rFonts w:ascii="Arial" w:cs="Arial" w:eastAsia="Arial" w:hAnsi="Arial"/>
                <w:sz w:val="18"/>
                <w:szCs w:val="18"/>
                <w:color w:val="auto"/>
              </w:rPr>
              <w:t>21.8</w:t>
            </w:r>
          </w:p>
        </w:tc>
        <w:tc>
          <w:tcPr>
            <w:tcW w:w="200" w:type="dxa"/>
            <w:vAlign w:val="bottom"/>
          </w:tcPr>
          <w:p>
            <w:pPr>
              <w:spacing w:after="0"/>
              <w:rPr>
                <w:sz w:val="17"/>
                <w:szCs w:val="17"/>
                <w:color w:val="auto"/>
              </w:rPr>
            </w:pPr>
          </w:p>
        </w:tc>
        <w:tc>
          <w:tcPr>
            <w:tcW w:w="98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49.5</w:t>
            </w:r>
          </w:p>
        </w:tc>
        <w:tc>
          <w:tcPr>
            <w:tcW w:w="420" w:type="dxa"/>
            <w:vAlign w:val="bottom"/>
          </w:tcPr>
          <w:p>
            <w:pPr>
              <w:spacing w:after="0"/>
              <w:rPr>
                <w:sz w:val="17"/>
                <w:szCs w:val="17"/>
                <w:color w:val="auto"/>
              </w:rPr>
            </w:pPr>
          </w:p>
        </w:tc>
        <w:tc>
          <w:tcPr>
            <w:tcW w:w="96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70.2</w:t>
            </w:r>
          </w:p>
        </w:tc>
      </w:tr>
      <w:tr>
        <w:trPr>
          <w:trHeight w:val="203"/>
        </w:trPr>
        <w:tc>
          <w:tcPr>
            <w:tcW w:w="44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Business separation costs</w:t>
            </w:r>
          </w:p>
        </w:tc>
        <w:tc>
          <w:tcPr>
            <w:tcW w:w="420" w:type="dxa"/>
            <w:vAlign w:val="bottom"/>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rPr>
              <w:t>2.4</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93"/>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rPr>
              <w:t>—</w:t>
            </w:r>
          </w:p>
        </w:tc>
      </w:tr>
      <w:tr>
        <w:trPr>
          <w:trHeight w:val="203"/>
        </w:trPr>
        <w:tc>
          <w:tcPr>
            <w:tcW w:w="4480" w:type="dxa"/>
            <w:vAlign w:val="bottom"/>
            <w:tcBorders>
              <w:bottom w:val="single" w:sz="8" w:color="CCEEFF"/>
              <w:right w:val="single" w:sz="8" w:color="auto"/>
            </w:tcBorders>
          </w:tcPr>
          <w:p>
            <w:pPr>
              <w:spacing w:after="0" w:line="202" w:lineRule="exact"/>
              <w:rPr>
                <w:sz w:val="20"/>
                <w:szCs w:val="20"/>
                <w:color w:val="auto"/>
              </w:rPr>
            </w:pPr>
            <w:r>
              <w:rPr>
                <w:rFonts w:ascii="Arial" w:cs="Arial" w:eastAsia="Arial" w:hAnsi="Arial"/>
                <w:sz w:val="18"/>
                <w:szCs w:val="18"/>
                <w:color w:val="auto"/>
              </w:rPr>
              <w:t>Asset impairment charges</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right"/>
              <w:ind w:right="273"/>
              <w:spacing w:after="0" w:line="202" w:lineRule="exact"/>
              <w:rPr>
                <w:sz w:val="20"/>
                <w:szCs w:val="20"/>
                <w:color w:val="auto"/>
              </w:rPr>
            </w:pPr>
            <w:r>
              <w:rPr>
                <w:rFonts w:ascii="Arial" w:cs="Arial" w:eastAsia="Arial" w:hAnsi="Arial"/>
                <w:sz w:val="18"/>
                <w:szCs w:val="18"/>
                <w:color w:val="auto"/>
              </w:rPr>
              <w:t>90.0</w:t>
            </w: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3"/>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3"/>
              <w:spacing w:after="0" w:line="202" w:lineRule="exact"/>
              <w:rPr>
                <w:sz w:val="20"/>
                <w:szCs w:val="20"/>
                <w:color w:val="auto"/>
              </w:rPr>
            </w:pPr>
            <w:r>
              <w:rPr>
                <w:rFonts w:ascii="Arial" w:cs="Arial" w:eastAsia="Arial" w:hAnsi="Arial"/>
                <w:sz w:val="18"/>
                <w:szCs w:val="18"/>
                <w:color w:val="auto"/>
              </w:rPr>
              <w:t>848.4</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73"/>
              <w:spacing w:after="0" w:line="202" w:lineRule="exact"/>
              <w:rPr>
                <w:sz w:val="20"/>
                <w:szCs w:val="20"/>
                <w:color w:val="auto"/>
              </w:rPr>
            </w:pPr>
            <w:r>
              <w:rPr>
                <w:rFonts w:ascii="Arial" w:cs="Arial" w:eastAsia="Arial" w:hAnsi="Arial"/>
                <w:sz w:val="18"/>
                <w:szCs w:val="18"/>
                <w:color w:val="auto"/>
              </w:rPr>
              <w:t>—</w:t>
            </w:r>
          </w:p>
        </w:tc>
      </w:tr>
      <w:tr>
        <w:trPr>
          <w:trHeight w:val="196"/>
        </w:trPr>
        <w:tc>
          <w:tcPr>
            <w:tcW w:w="448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Operating (loss) income</w:t>
            </w:r>
          </w:p>
        </w:tc>
        <w:tc>
          <w:tcPr>
            <w:tcW w:w="420" w:type="dxa"/>
            <w:vAlign w:val="bottom"/>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jc w:val="right"/>
              <w:ind w:right="233"/>
              <w:spacing w:after="0" w:line="196" w:lineRule="exact"/>
              <w:rPr>
                <w:sz w:val="20"/>
                <w:szCs w:val="20"/>
                <w:color w:val="auto"/>
              </w:rPr>
            </w:pPr>
            <w:r>
              <w:rPr>
                <w:rFonts w:ascii="Arial" w:cs="Arial" w:eastAsia="Arial" w:hAnsi="Arial"/>
                <w:sz w:val="18"/>
                <w:szCs w:val="18"/>
                <w:color w:val="auto"/>
              </w:rPr>
              <w:t>(15.6)</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3"/>
              <w:spacing w:after="0" w:line="196" w:lineRule="exact"/>
              <w:rPr>
                <w:sz w:val="20"/>
                <w:szCs w:val="20"/>
                <w:color w:val="auto"/>
              </w:rPr>
            </w:pPr>
            <w:r>
              <w:rPr>
                <w:rFonts w:ascii="Arial" w:cs="Arial" w:eastAsia="Arial" w:hAnsi="Arial"/>
                <w:sz w:val="18"/>
                <w:szCs w:val="18"/>
                <w:color w:val="auto"/>
              </w:rPr>
              <w:t>198.4</w:t>
            </w:r>
          </w:p>
        </w:tc>
        <w:tc>
          <w:tcPr>
            <w:tcW w:w="6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93"/>
              <w:spacing w:after="0" w:line="196" w:lineRule="exact"/>
              <w:rPr>
                <w:sz w:val="20"/>
                <w:szCs w:val="20"/>
                <w:color w:val="auto"/>
              </w:rPr>
            </w:pPr>
            <w:r>
              <w:rPr>
                <w:rFonts w:ascii="Arial" w:cs="Arial" w:eastAsia="Arial" w:hAnsi="Arial"/>
                <w:sz w:val="18"/>
                <w:szCs w:val="18"/>
                <w:color w:val="auto"/>
              </w:rPr>
              <w:t>54.1</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33"/>
              <w:spacing w:after="0" w:line="196" w:lineRule="exact"/>
              <w:rPr>
                <w:sz w:val="20"/>
                <w:szCs w:val="20"/>
                <w:color w:val="auto"/>
              </w:rPr>
            </w:pPr>
            <w:r>
              <w:rPr>
                <w:rFonts w:ascii="Arial" w:cs="Arial" w:eastAsia="Arial" w:hAnsi="Arial"/>
                <w:sz w:val="18"/>
                <w:szCs w:val="18"/>
                <w:color w:val="auto"/>
              </w:rPr>
              <w:t>(676.1)</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73"/>
              <w:spacing w:after="0" w:line="196" w:lineRule="exact"/>
              <w:rPr>
                <w:sz w:val="20"/>
                <w:szCs w:val="20"/>
                <w:color w:val="auto"/>
              </w:rPr>
            </w:pPr>
            <w:r>
              <w:rPr>
                <w:rFonts w:ascii="Arial" w:cs="Arial" w:eastAsia="Arial" w:hAnsi="Arial"/>
                <w:sz w:val="18"/>
                <w:szCs w:val="18"/>
                <w:color w:val="auto"/>
              </w:rPr>
              <w:t>495.4</w:t>
            </w:r>
          </w:p>
        </w:tc>
      </w:tr>
      <w:tr>
        <w:trPr>
          <w:trHeight w:val="203"/>
        </w:trPr>
        <w:tc>
          <w:tcPr>
            <w:tcW w:w="4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Related party interest expense, net</w:t>
            </w:r>
          </w:p>
        </w:tc>
        <w:tc>
          <w:tcPr>
            <w:tcW w:w="420" w:type="dxa"/>
            <w:vAlign w:val="bottom"/>
          </w:tcPr>
          <w:p>
            <w:pPr>
              <w:spacing w:after="0"/>
              <w:rPr>
                <w:sz w:val="17"/>
                <w:szCs w:val="17"/>
                <w:color w:val="auto"/>
              </w:rPr>
            </w:pPr>
          </w:p>
        </w:tc>
        <w:tc>
          <w:tcPr>
            <w:tcW w:w="960" w:type="dxa"/>
            <w:vAlign w:val="bottom"/>
            <w:tcBorders>
              <w:right w:val="single" w:sz="8" w:color="auto"/>
            </w:tcBorders>
          </w:tcPr>
          <w:p>
            <w:pPr>
              <w:jc w:val="right"/>
              <w:ind w:right="273"/>
              <w:spacing w:after="0" w:line="202" w:lineRule="exact"/>
              <w:rPr>
                <w:sz w:val="20"/>
                <w:szCs w:val="20"/>
                <w:color w:val="auto"/>
              </w:rPr>
            </w:pPr>
            <w:r>
              <w:rPr>
                <w:rFonts w:ascii="Arial" w:cs="Arial" w:eastAsia="Arial" w:hAnsi="Arial"/>
                <w:sz w:val="18"/>
                <w:szCs w:val="18"/>
                <w:color w:val="auto"/>
              </w:rPr>
              <w:t>23.2</w:t>
            </w:r>
          </w:p>
        </w:tc>
        <w:tc>
          <w:tcPr>
            <w:tcW w:w="420" w:type="dxa"/>
            <w:vAlign w:val="bottom"/>
          </w:tcPr>
          <w:p>
            <w:pPr>
              <w:spacing w:after="0"/>
              <w:rPr>
                <w:sz w:val="17"/>
                <w:szCs w:val="17"/>
                <w:color w:val="auto"/>
              </w:rPr>
            </w:pPr>
          </w:p>
        </w:tc>
        <w:tc>
          <w:tcPr>
            <w:tcW w:w="7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116.0</w:t>
            </w:r>
          </w:p>
        </w:tc>
        <w:tc>
          <w:tcPr>
            <w:tcW w:w="660" w:type="dxa"/>
            <w:vAlign w:val="bottom"/>
          </w:tcPr>
          <w:p>
            <w:pPr>
              <w:spacing w:after="0"/>
              <w:rPr>
                <w:sz w:val="17"/>
                <w:szCs w:val="17"/>
                <w:color w:val="auto"/>
              </w:rPr>
            </w:pPr>
          </w:p>
        </w:tc>
        <w:tc>
          <w:tcPr>
            <w:tcW w:w="1180" w:type="dxa"/>
            <w:vAlign w:val="bottom"/>
          </w:tcPr>
          <w:p>
            <w:pPr>
              <w:jc w:val="right"/>
              <w:ind w:right="493"/>
              <w:spacing w:after="0" w:line="202" w:lineRule="exact"/>
              <w:rPr>
                <w:sz w:val="20"/>
                <w:szCs w:val="20"/>
                <w:color w:val="auto"/>
              </w:rPr>
            </w:pPr>
            <w:r>
              <w:rPr>
                <w:rFonts w:ascii="Arial" w:cs="Arial" w:eastAsia="Arial" w:hAnsi="Arial"/>
                <w:sz w:val="18"/>
                <w:szCs w:val="18"/>
                <w:color w:val="auto"/>
              </w:rPr>
              <w:t>84.9</w:t>
            </w:r>
          </w:p>
        </w:tc>
        <w:tc>
          <w:tcPr>
            <w:tcW w:w="200" w:type="dxa"/>
            <w:vAlign w:val="bottom"/>
          </w:tcPr>
          <w:p>
            <w:pPr>
              <w:spacing w:after="0"/>
              <w:rPr>
                <w:sz w:val="17"/>
                <w:szCs w:val="17"/>
                <w:color w:val="auto"/>
              </w:rPr>
            </w:pPr>
          </w:p>
        </w:tc>
        <w:tc>
          <w:tcPr>
            <w:tcW w:w="98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127.1</w:t>
            </w:r>
          </w:p>
        </w:tc>
        <w:tc>
          <w:tcPr>
            <w:tcW w:w="420" w:type="dxa"/>
            <w:vAlign w:val="bottom"/>
          </w:tcPr>
          <w:p>
            <w:pPr>
              <w:spacing w:after="0"/>
              <w:rPr>
                <w:sz w:val="17"/>
                <w:szCs w:val="17"/>
                <w:color w:val="auto"/>
              </w:rPr>
            </w:pPr>
          </w:p>
        </w:tc>
        <w:tc>
          <w:tcPr>
            <w:tcW w:w="96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187.7</w:t>
            </w:r>
          </w:p>
        </w:tc>
      </w:tr>
      <w:tr>
        <w:trPr>
          <w:trHeight w:val="203"/>
        </w:trPr>
        <w:tc>
          <w:tcPr>
            <w:tcW w:w="44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External interest expense</w:t>
            </w:r>
          </w:p>
        </w:tc>
        <w:tc>
          <w:tcPr>
            <w:tcW w:w="420" w:type="dxa"/>
            <w:vAlign w:val="bottom"/>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rPr>
              <w:t>3.2</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0.3</w:t>
            </w:r>
          </w:p>
        </w:tc>
        <w:tc>
          <w:tcPr>
            <w:tcW w:w="6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93"/>
              <w:spacing w:after="0" w:line="202" w:lineRule="exact"/>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0.5</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rPr>
              <w:t>0.3</w:t>
            </w:r>
          </w:p>
        </w:tc>
      </w:tr>
      <w:tr>
        <w:trPr>
          <w:trHeight w:val="203"/>
        </w:trPr>
        <w:tc>
          <w:tcPr>
            <w:tcW w:w="4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Net (loss) income attributable to Home &amp; Security</w:t>
            </w:r>
          </w:p>
        </w:tc>
        <w:tc>
          <w:tcPr>
            <w:tcW w:w="420" w:type="dxa"/>
            <w:vAlign w:val="bottom"/>
          </w:tcPr>
          <w:p>
            <w:pPr>
              <w:spacing w:after="0"/>
              <w:rPr>
                <w:sz w:val="17"/>
                <w:szCs w:val="17"/>
                <w:color w:val="auto"/>
              </w:rPr>
            </w:pPr>
          </w:p>
        </w:tc>
        <w:tc>
          <w:tcPr>
            <w:tcW w:w="960" w:type="dxa"/>
            <w:vAlign w:val="bottom"/>
            <w:tcBorders>
              <w:right w:val="single" w:sz="8" w:color="auto"/>
            </w:tcBorders>
          </w:tcPr>
          <w:p>
            <w:pPr>
              <w:jc w:val="right"/>
              <w:ind w:right="233"/>
              <w:spacing w:after="0" w:line="202" w:lineRule="exact"/>
              <w:rPr>
                <w:sz w:val="20"/>
                <w:szCs w:val="20"/>
                <w:color w:val="auto"/>
              </w:rPr>
            </w:pPr>
            <w:r>
              <w:rPr>
                <w:rFonts w:ascii="Arial" w:cs="Arial" w:eastAsia="Arial" w:hAnsi="Arial"/>
                <w:sz w:val="18"/>
                <w:szCs w:val="18"/>
                <w:color w:val="auto"/>
              </w:rPr>
              <w:t>(35.6)</w:t>
            </w:r>
          </w:p>
        </w:tc>
        <w:tc>
          <w:tcPr>
            <w:tcW w:w="420" w:type="dxa"/>
            <w:vAlign w:val="bottom"/>
          </w:tcPr>
          <w:p>
            <w:pPr>
              <w:spacing w:after="0"/>
              <w:rPr>
                <w:sz w:val="17"/>
                <w:szCs w:val="17"/>
                <w:color w:val="auto"/>
              </w:rPr>
            </w:pPr>
          </w:p>
        </w:tc>
        <w:tc>
          <w:tcPr>
            <w:tcW w:w="7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63.8</w:t>
            </w:r>
          </w:p>
        </w:tc>
        <w:tc>
          <w:tcPr>
            <w:tcW w:w="660" w:type="dxa"/>
            <w:vAlign w:val="bottom"/>
          </w:tcPr>
          <w:p>
            <w:pPr>
              <w:spacing w:after="0"/>
              <w:rPr>
                <w:sz w:val="17"/>
                <w:szCs w:val="17"/>
                <w:color w:val="auto"/>
              </w:rPr>
            </w:pPr>
          </w:p>
        </w:tc>
        <w:tc>
          <w:tcPr>
            <w:tcW w:w="1180" w:type="dxa"/>
            <w:vAlign w:val="bottom"/>
          </w:tcPr>
          <w:p>
            <w:pPr>
              <w:jc w:val="right"/>
              <w:ind w:right="433"/>
              <w:spacing w:after="0" w:line="202" w:lineRule="exact"/>
              <w:rPr>
                <w:sz w:val="20"/>
                <w:szCs w:val="20"/>
                <w:color w:val="auto"/>
              </w:rPr>
            </w:pPr>
            <w:r>
              <w:rPr>
                <w:rFonts w:ascii="Arial" w:cs="Arial" w:eastAsia="Arial" w:hAnsi="Arial"/>
                <w:sz w:val="18"/>
                <w:szCs w:val="18"/>
                <w:color w:val="auto"/>
              </w:rPr>
              <w:t>(39.0)</w:t>
            </w:r>
          </w:p>
        </w:tc>
        <w:tc>
          <w:tcPr>
            <w:tcW w:w="200" w:type="dxa"/>
            <w:vAlign w:val="bottom"/>
          </w:tcPr>
          <w:p>
            <w:pPr>
              <w:spacing w:after="0"/>
              <w:rPr>
                <w:sz w:val="17"/>
                <w:szCs w:val="17"/>
                <w:color w:val="auto"/>
              </w:rPr>
            </w:pPr>
          </w:p>
        </w:tc>
        <w:tc>
          <w:tcPr>
            <w:tcW w:w="98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(699.7)</w:t>
            </w:r>
          </w:p>
        </w:tc>
        <w:tc>
          <w:tcPr>
            <w:tcW w:w="420" w:type="dxa"/>
            <w:vAlign w:val="bottom"/>
          </w:tcPr>
          <w:p>
            <w:pPr>
              <w:spacing w:after="0"/>
              <w:rPr>
                <w:sz w:val="17"/>
                <w:szCs w:val="17"/>
                <w:color w:val="auto"/>
              </w:rPr>
            </w:pPr>
          </w:p>
        </w:tc>
        <w:tc>
          <w:tcPr>
            <w:tcW w:w="96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162.8</w:t>
            </w:r>
          </w:p>
        </w:tc>
      </w:tr>
      <w:tr>
        <w:trPr>
          <w:trHeight w:val="210"/>
        </w:trPr>
        <w:tc>
          <w:tcPr>
            <w:tcW w:w="4480" w:type="dxa"/>
            <w:vAlign w:val="bottom"/>
            <w:tcBorders>
              <w:bottom w:val="single" w:sz="8" w:color="auto"/>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Basic and diluted (loss) earnings per share</w:t>
            </w: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auto"/>
            </w:tcBorders>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(0.23)</w:t>
            </w: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0.41</w:t>
            </w:r>
          </w:p>
        </w:tc>
        <w:tc>
          <w:tcPr>
            <w:tcW w:w="6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433"/>
              <w:spacing w:after="0" w:line="202" w:lineRule="exact"/>
              <w:rPr>
                <w:sz w:val="20"/>
                <w:szCs w:val="20"/>
                <w:color w:val="auto"/>
              </w:rPr>
            </w:pPr>
            <w:r>
              <w:rPr>
                <w:rFonts w:ascii="Arial" w:cs="Arial" w:eastAsia="Arial" w:hAnsi="Arial"/>
                <w:sz w:val="18"/>
                <w:szCs w:val="18"/>
                <w:color w:val="auto"/>
              </w:rPr>
              <w:t>(0.25)</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(4.51)</w:t>
            </w: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rPr>
              <w:t>1.05</w:t>
            </w:r>
          </w:p>
        </w:tc>
      </w:tr>
      <w:tr>
        <w:trPr>
          <w:trHeight w:val="446"/>
        </w:trPr>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Other data</w:t>
            </w:r>
          </w:p>
        </w:tc>
        <w:tc>
          <w:tcPr>
            <w:tcW w:w="42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rPr>
              <w:t>111.5</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111.6</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3"/>
              <w:spacing w:after="0" w:line="202" w:lineRule="exact"/>
              <w:rPr>
                <w:sz w:val="20"/>
                <w:szCs w:val="20"/>
                <w:color w:val="auto"/>
              </w:rPr>
            </w:pPr>
            <w:r>
              <w:rPr>
                <w:rFonts w:ascii="Arial" w:cs="Arial" w:eastAsia="Arial" w:hAnsi="Arial"/>
                <w:sz w:val="18"/>
                <w:szCs w:val="18"/>
                <w:color w:val="auto"/>
              </w:rPr>
              <w:t>131.1</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143.0</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rPr>
              <w:t>150.4</w:t>
            </w:r>
          </w:p>
        </w:tc>
      </w:tr>
      <w:tr>
        <w:trPr>
          <w:trHeight w:val="203"/>
        </w:trPr>
        <w:tc>
          <w:tcPr>
            <w:tcW w:w="4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Cash flow provided by operating activities</w:t>
            </w:r>
          </w:p>
        </w:tc>
        <w:tc>
          <w:tcPr>
            <w:tcW w:w="420" w:type="dxa"/>
            <w:vAlign w:val="bottom"/>
          </w:tcPr>
          <w:p>
            <w:pPr>
              <w:spacing w:after="0"/>
              <w:rPr>
                <w:sz w:val="17"/>
                <w:szCs w:val="17"/>
                <w:color w:val="auto"/>
              </w:rPr>
            </w:pPr>
          </w:p>
        </w:tc>
        <w:tc>
          <w:tcPr>
            <w:tcW w:w="960" w:type="dxa"/>
            <w:vAlign w:val="bottom"/>
            <w:tcBorders>
              <w:right w:val="single" w:sz="8" w:color="auto"/>
            </w:tcBorders>
          </w:tcPr>
          <w:p>
            <w:pPr>
              <w:jc w:val="right"/>
              <w:ind w:right="273"/>
              <w:spacing w:after="0" w:line="202" w:lineRule="exact"/>
              <w:rPr>
                <w:sz w:val="20"/>
                <w:szCs w:val="20"/>
                <w:color w:val="auto"/>
              </w:rPr>
            </w:pPr>
            <w:r>
              <w:rPr>
                <w:rFonts w:ascii="Arial" w:cs="Arial" w:eastAsia="Arial" w:hAnsi="Arial"/>
                <w:sz w:val="18"/>
                <w:szCs w:val="18"/>
                <w:color w:val="auto"/>
              </w:rPr>
              <w:t>175.4</w:t>
            </w:r>
          </w:p>
        </w:tc>
        <w:tc>
          <w:tcPr>
            <w:tcW w:w="420" w:type="dxa"/>
            <w:vAlign w:val="bottom"/>
          </w:tcPr>
          <w:p>
            <w:pPr>
              <w:spacing w:after="0"/>
              <w:rPr>
                <w:sz w:val="17"/>
                <w:szCs w:val="17"/>
                <w:color w:val="auto"/>
              </w:rPr>
            </w:pPr>
          </w:p>
        </w:tc>
        <w:tc>
          <w:tcPr>
            <w:tcW w:w="7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138.9</w:t>
            </w:r>
          </w:p>
        </w:tc>
        <w:tc>
          <w:tcPr>
            <w:tcW w:w="660" w:type="dxa"/>
            <w:vAlign w:val="bottom"/>
          </w:tcPr>
          <w:p>
            <w:pPr>
              <w:spacing w:after="0"/>
              <w:rPr>
                <w:sz w:val="17"/>
                <w:szCs w:val="17"/>
                <w:color w:val="auto"/>
              </w:rPr>
            </w:pPr>
          </w:p>
        </w:tc>
        <w:tc>
          <w:tcPr>
            <w:tcW w:w="1180" w:type="dxa"/>
            <w:vAlign w:val="bottom"/>
          </w:tcPr>
          <w:p>
            <w:pPr>
              <w:jc w:val="right"/>
              <w:ind w:right="493"/>
              <w:spacing w:after="0" w:line="202" w:lineRule="exact"/>
              <w:rPr>
                <w:sz w:val="20"/>
                <w:szCs w:val="20"/>
                <w:color w:val="auto"/>
              </w:rPr>
            </w:pPr>
            <w:r>
              <w:rPr>
                <w:rFonts w:ascii="Arial" w:cs="Arial" w:eastAsia="Arial" w:hAnsi="Arial"/>
                <w:sz w:val="18"/>
                <w:szCs w:val="18"/>
                <w:color w:val="auto"/>
              </w:rPr>
              <w:t>269.3</w:t>
            </w:r>
          </w:p>
        </w:tc>
        <w:tc>
          <w:tcPr>
            <w:tcW w:w="200" w:type="dxa"/>
            <w:vAlign w:val="bottom"/>
          </w:tcPr>
          <w:p>
            <w:pPr>
              <w:spacing w:after="0"/>
              <w:rPr>
                <w:sz w:val="17"/>
                <w:szCs w:val="17"/>
                <w:color w:val="auto"/>
              </w:rPr>
            </w:pPr>
          </w:p>
        </w:tc>
        <w:tc>
          <w:tcPr>
            <w:tcW w:w="98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297.2</w:t>
            </w:r>
          </w:p>
        </w:tc>
        <w:tc>
          <w:tcPr>
            <w:tcW w:w="420" w:type="dxa"/>
            <w:vAlign w:val="bottom"/>
          </w:tcPr>
          <w:p>
            <w:pPr>
              <w:spacing w:after="0"/>
              <w:rPr>
                <w:sz w:val="17"/>
                <w:szCs w:val="17"/>
                <w:color w:val="auto"/>
              </w:rPr>
            </w:pPr>
          </w:p>
        </w:tc>
        <w:tc>
          <w:tcPr>
            <w:tcW w:w="96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338.9</w:t>
            </w:r>
          </w:p>
        </w:tc>
      </w:tr>
      <w:tr>
        <w:trPr>
          <w:trHeight w:val="203"/>
        </w:trPr>
        <w:tc>
          <w:tcPr>
            <w:tcW w:w="44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Capital expenditures</w:t>
            </w:r>
          </w:p>
        </w:tc>
        <w:tc>
          <w:tcPr>
            <w:tcW w:w="420" w:type="dxa"/>
            <w:vAlign w:val="bottom"/>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(68.5)</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(58.3)</w:t>
            </w:r>
          </w:p>
        </w:tc>
        <w:tc>
          <w:tcPr>
            <w:tcW w:w="6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33"/>
              <w:spacing w:after="0" w:line="202" w:lineRule="exact"/>
              <w:rPr>
                <w:sz w:val="20"/>
                <w:szCs w:val="20"/>
                <w:color w:val="auto"/>
              </w:rPr>
            </w:pPr>
            <w:r>
              <w:rPr>
                <w:rFonts w:ascii="Arial" w:cs="Arial" w:eastAsia="Arial" w:hAnsi="Arial"/>
                <w:sz w:val="18"/>
                <w:szCs w:val="18"/>
                <w:color w:val="auto"/>
              </w:rPr>
              <w:t>(43.3)</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(57.0)</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(75.0)</w:t>
            </w:r>
          </w:p>
        </w:tc>
      </w:tr>
      <w:tr>
        <w:trPr>
          <w:trHeight w:val="203"/>
        </w:trPr>
        <w:tc>
          <w:tcPr>
            <w:tcW w:w="4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Proceeds from the disposition of assets</w:t>
            </w:r>
          </w:p>
        </w:tc>
        <w:tc>
          <w:tcPr>
            <w:tcW w:w="420" w:type="dxa"/>
            <w:vAlign w:val="bottom"/>
          </w:tcPr>
          <w:p>
            <w:pPr>
              <w:spacing w:after="0"/>
              <w:rPr>
                <w:sz w:val="17"/>
                <w:szCs w:val="17"/>
                <w:color w:val="auto"/>
              </w:rPr>
            </w:pPr>
          </w:p>
        </w:tc>
        <w:tc>
          <w:tcPr>
            <w:tcW w:w="960" w:type="dxa"/>
            <w:vAlign w:val="bottom"/>
            <w:tcBorders>
              <w:right w:val="single" w:sz="8" w:color="auto"/>
            </w:tcBorders>
          </w:tcPr>
          <w:p>
            <w:pPr>
              <w:jc w:val="right"/>
              <w:ind w:right="273"/>
              <w:spacing w:after="0" w:line="202" w:lineRule="exact"/>
              <w:rPr>
                <w:sz w:val="20"/>
                <w:szCs w:val="20"/>
                <w:color w:val="auto"/>
              </w:rPr>
            </w:pPr>
            <w:r>
              <w:rPr>
                <w:rFonts w:ascii="Arial" w:cs="Arial" w:eastAsia="Arial" w:hAnsi="Arial"/>
                <w:sz w:val="18"/>
                <w:szCs w:val="18"/>
                <w:color w:val="auto"/>
              </w:rPr>
              <w:t>3.5</w:t>
            </w:r>
          </w:p>
        </w:tc>
        <w:tc>
          <w:tcPr>
            <w:tcW w:w="420" w:type="dxa"/>
            <w:vAlign w:val="bottom"/>
          </w:tcPr>
          <w:p>
            <w:pPr>
              <w:spacing w:after="0"/>
              <w:rPr>
                <w:sz w:val="17"/>
                <w:szCs w:val="17"/>
                <w:color w:val="auto"/>
              </w:rPr>
            </w:pPr>
          </w:p>
        </w:tc>
        <w:tc>
          <w:tcPr>
            <w:tcW w:w="7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2.6</w:t>
            </w:r>
          </w:p>
        </w:tc>
        <w:tc>
          <w:tcPr>
            <w:tcW w:w="660" w:type="dxa"/>
            <w:vAlign w:val="bottom"/>
          </w:tcPr>
          <w:p>
            <w:pPr>
              <w:spacing w:after="0"/>
              <w:rPr>
                <w:sz w:val="17"/>
                <w:szCs w:val="17"/>
                <w:color w:val="auto"/>
              </w:rPr>
            </w:pPr>
          </w:p>
        </w:tc>
        <w:tc>
          <w:tcPr>
            <w:tcW w:w="1180" w:type="dxa"/>
            <w:vAlign w:val="bottom"/>
          </w:tcPr>
          <w:p>
            <w:pPr>
              <w:jc w:val="right"/>
              <w:ind w:right="493"/>
              <w:spacing w:after="0" w:line="202" w:lineRule="exact"/>
              <w:rPr>
                <w:sz w:val="20"/>
                <w:szCs w:val="20"/>
                <w:color w:val="auto"/>
              </w:rPr>
            </w:pPr>
            <w:r>
              <w:rPr>
                <w:rFonts w:ascii="Arial" w:cs="Arial" w:eastAsia="Arial" w:hAnsi="Arial"/>
                <w:sz w:val="18"/>
                <w:szCs w:val="18"/>
                <w:color w:val="auto"/>
              </w:rPr>
              <w:t>11.3</w:t>
            </w:r>
          </w:p>
        </w:tc>
        <w:tc>
          <w:tcPr>
            <w:tcW w:w="200" w:type="dxa"/>
            <w:vAlign w:val="bottom"/>
          </w:tcPr>
          <w:p>
            <w:pPr>
              <w:spacing w:after="0"/>
              <w:rPr>
                <w:sz w:val="17"/>
                <w:szCs w:val="17"/>
                <w:color w:val="auto"/>
              </w:rPr>
            </w:pPr>
          </w:p>
        </w:tc>
        <w:tc>
          <w:tcPr>
            <w:tcW w:w="98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14.4</w:t>
            </w:r>
          </w:p>
        </w:tc>
        <w:tc>
          <w:tcPr>
            <w:tcW w:w="420" w:type="dxa"/>
            <w:vAlign w:val="bottom"/>
          </w:tcPr>
          <w:p>
            <w:pPr>
              <w:spacing w:after="0"/>
              <w:rPr>
                <w:sz w:val="17"/>
                <w:szCs w:val="17"/>
                <w:color w:val="auto"/>
              </w:rPr>
            </w:pPr>
          </w:p>
        </w:tc>
        <w:tc>
          <w:tcPr>
            <w:tcW w:w="96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19.5</w:t>
            </w:r>
          </w:p>
        </w:tc>
      </w:tr>
      <w:tr>
        <w:trPr>
          <w:trHeight w:val="210"/>
        </w:trPr>
        <w:tc>
          <w:tcPr>
            <w:tcW w:w="4480" w:type="dxa"/>
            <w:vAlign w:val="bottom"/>
            <w:tcBorders>
              <w:bottom w:val="single" w:sz="8" w:color="auto"/>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Dividends paid per share to Former Parent</w:t>
            </w: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auto"/>
            </w:tcBorders>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rPr>
              <w:t>3.54</w:t>
            </w: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493"/>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1.21</w:t>
            </w: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rPr>
              <w:t>2.19</w:t>
            </w:r>
          </w:p>
        </w:tc>
      </w:tr>
      <w:tr>
        <w:trPr>
          <w:trHeight w:val="446"/>
        </w:trPr>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Balance sheet data</w:t>
            </w:r>
          </w:p>
        </w:tc>
        <w:tc>
          <w:tcPr>
            <w:tcW w:w="42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w w:val="96"/>
              </w:rPr>
              <w:t>3,637.9</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w w:val="96"/>
              </w:rPr>
              <w:t>4,257.6</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3"/>
              <w:spacing w:after="0" w:line="202" w:lineRule="exact"/>
              <w:rPr>
                <w:sz w:val="20"/>
                <w:szCs w:val="20"/>
                <w:color w:val="auto"/>
              </w:rPr>
            </w:pPr>
            <w:r>
              <w:rPr>
                <w:rFonts w:ascii="Arial" w:cs="Arial" w:eastAsia="Arial" w:hAnsi="Arial"/>
                <w:sz w:val="18"/>
                <w:szCs w:val="18"/>
                <w:color w:val="auto"/>
                <w:w w:val="96"/>
              </w:rPr>
              <w:t>4,190.0</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w w:val="96"/>
              </w:rPr>
              <w:t>4,272.7</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w w:val="96"/>
              </w:rPr>
              <w:t>5,431.6</w:t>
            </w:r>
          </w:p>
        </w:tc>
      </w:tr>
      <w:tr>
        <w:trPr>
          <w:trHeight w:val="214"/>
        </w:trPr>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Short-term loans to Former Parent (included in total</w:t>
            </w:r>
          </w:p>
        </w:tc>
        <w:tc>
          <w:tcPr>
            <w:tcW w:w="4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2"/>
        </w:trPr>
        <w:tc>
          <w:tcPr>
            <w:tcW w:w="44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assets above)</w:t>
            </w:r>
            <w:r>
              <w:rPr>
                <w:rFonts w:ascii="Arial" w:cs="Arial" w:eastAsia="Arial" w:hAnsi="Arial"/>
                <w:sz w:val="11"/>
                <w:szCs w:val="11"/>
                <w:color w:val="auto"/>
              </w:rPr>
              <w:t>(d )</w:t>
            </w:r>
          </w:p>
        </w:tc>
        <w:tc>
          <w:tcPr>
            <w:tcW w:w="420" w:type="dxa"/>
            <w:vAlign w:val="bottom"/>
          </w:tcPr>
          <w:p>
            <w:pPr>
              <w:spacing w:after="0"/>
              <w:rPr>
                <w:sz w:val="20"/>
                <w:szCs w:val="20"/>
                <w:color w:val="auto"/>
              </w:rPr>
            </w:pPr>
          </w:p>
        </w:tc>
        <w:tc>
          <w:tcPr>
            <w:tcW w:w="960" w:type="dxa"/>
            <w:vAlign w:val="bottom"/>
            <w:tcBorders>
              <w:right w:val="single" w:sz="8" w:color="auto"/>
            </w:tcBorders>
          </w:tcPr>
          <w:p>
            <w:pPr>
              <w:jc w:val="right"/>
              <w:ind w:right="27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571.7</w:t>
            </w:r>
          </w:p>
        </w:tc>
        <w:tc>
          <w:tcPr>
            <w:tcW w:w="660" w:type="dxa"/>
            <w:vAlign w:val="bottom"/>
          </w:tcPr>
          <w:p>
            <w:pPr>
              <w:spacing w:after="0"/>
              <w:rPr>
                <w:sz w:val="20"/>
                <w:szCs w:val="20"/>
                <w:color w:val="auto"/>
              </w:rPr>
            </w:pPr>
          </w:p>
        </w:tc>
        <w:tc>
          <w:tcPr>
            <w:tcW w:w="1180" w:type="dxa"/>
            <w:vAlign w:val="bottom"/>
          </w:tcPr>
          <w:p>
            <w:pPr>
              <w:jc w:val="right"/>
              <w:ind w:right="493"/>
              <w:spacing w:after="0"/>
              <w:rPr>
                <w:sz w:val="20"/>
                <w:szCs w:val="20"/>
                <w:color w:val="auto"/>
              </w:rPr>
            </w:pPr>
            <w:r>
              <w:rPr>
                <w:rFonts w:ascii="Arial" w:cs="Arial" w:eastAsia="Arial" w:hAnsi="Arial"/>
                <w:sz w:val="18"/>
                <w:szCs w:val="18"/>
                <w:color w:val="auto"/>
              </w:rPr>
              <w:t>523.4</w:t>
            </w:r>
          </w:p>
        </w:tc>
        <w:tc>
          <w:tcPr>
            <w:tcW w:w="200" w:type="dxa"/>
            <w:vAlign w:val="bottom"/>
          </w:tcPr>
          <w:p>
            <w:pPr>
              <w:spacing w:after="0"/>
              <w:rPr>
                <w:sz w:val="20"/>
                <w:szCs w:val="20"/>
                <w:color w:val="auto"/>
              </w:rPr>
            </w:pPr>
          </w:p>
        </w:tc>
        <w:tc>
          <w:tcPr>
            <w:tcW w:w="980" w:type="dxa"/>
            <w:vAlign w:val="bottom"/>
          </w:tcPr>
          <w:p>
            <w:pPr>
              <w:jc w:val="right"/>
              <w:ind w:right="293"/>
              <w:spacing w:after="0"/>
              <w:rPr>
                <w:sz w:val="20"/>
                <w:szCs w:val="20"/>
                <w:color w:val="auto"/>
              </w:rPr>
            </w:pPr>
            <w:r>
              <w:rPr>
                <w:rFonts w:ascii="Arial" w:cs="Arial" w:eastAsia="Arial" w:hAnsi="Arial"/>
                <w:sz w:val="18"/>
                <w:szCs w:val="18"/>
                <w:color w:val="auto"/>
              </w:rPr>
              <w:t>430.6</w:t>
            </w:r>
          </w:p>
        </w:tc>
        <w:tc>
          <w:tcPr>
            <w:tcW w:w="420" w:type="dxa"/>
            <w:vAlign w:val="bottom"/>
          </w:tcPr>
          <w:p>
            <w:pPr>
              <w:spacing w:after="0"/>
              <w:rPr>
                <w:sz w:val="20"/>
                <w:szCs w:val="20"/>
                <w:color w:val="auto"/>
              </w:rPr>
            </w:pPr>
          </w:p>
        </w:tc>
        <w:tc>
          <w:tcPr>
            <w:tcW w:w="960" w:type="dxa"/>
            <w:vAlign w:val="bottom"/>
          </w:tcPr>
          <w:p>
            <w:pPr>
              <w:jc w:val="right"/>
              <w:ind w:right="273"/>
              <w:spacing w:after="0"/>
              <w:rPr>
                <w:sz w:val="20"/>
                <w:szCs w:val="20"/>
                <w:color w:val="auto"/>
              </w:rPr>
            </w:pPr>
            <w:r>
              <w:rPr>
                <w:rFonts w:ascii="Arial" w:cs="Arial" w:eastAsia="Arial" w:hAnsi="Arial"/>
                <w:sz w:val="18"/>
                <w:szCs w:val="18"/>
                <w:color w:val="auto"/>
              </w:rPr>
              <w:t>373.8</w:t>
            </w:r>
          </w:p>
        </w:tc>
      </w:tr>
      <w:tr>
        <w:trPr>
          <w:trHeight w:val="243"/>
        </w:trPr>
        <w:tc>
          <w:tcPr>
            <w:tcW w:w="44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loans from Former Parent</w:t>
            </w:r>
            <w:r>
              <w:rPr>
                <w:rFonts w:ascii="Arial" w:cs="Arial" w:eastAsia="Arial" w:hAnsi="Arial"/>
                <w:sz w:val="11"/>
                <w:szCs w:val="11"/>
                <w:color w:val="auto"/>
              </w:rPr>
              <w:t>(d )</w:t>
            </w:r>
          </w:p>
        </w:tc>
        <w:tc>
          <w:tcPr>
            <w:tcW w:w="420" w:type="dxa"/>
            <w:vAlign w:val="bottom"/>
            <w:shd w:val="clear" w:color="auto" w:fill="CCEEFF"/>
          </w:tcPr>
          <w:p>
            <w:pPr>
              <w:spacing w:after="0"/>
              <w:rPr>
                <w:sz w:val="21"/>
                <w:szCs w:val="21"/>
                <w:color w:val="auto"/>
              </w:rPr>
            </w:pPr>
          </w:p>
        </w:tc>
        <w:tc>
          <w:tcPr>
            <w:tcW w:w="960" w:type="dxa"/>
            <w:vAlign w:val="bottom"/>
            <w:tcBorders>
              <w:right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6"/>
              </w:rPr>
              <w:t>3,214.0</w:t>
            </w:r>
          </w:p>
        </w:tc>
        <w:tc>
          <w:tcPr>
            <w:tcW w:w="6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w w:val="96"/>
              </w:rPr>
              <w:t>3,224.9</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w w:val="96"/>
              </w:rPr>
              <w:t>3,376.2</w:t>
            </w: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w w:val="96"/>
              </w:rPr>
              <w:t>3,411.5</w:t>
            </w:r>
          </w:p>
        </w:tc>
      </w:tr>
      <w:tr>
        <w:trPr>
          <w:trHeight w:val="203"/>
        </w:trPr>
        <w:tc>
          <w:tcPr>
            <w:tcW w:w="4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Third party long-term debt</w:t>
            </w:r>
          </w:p>
        </w:tc>
        <w:tc>
          <w:tcPr>
            <w:tcW w:w="420" w:type="dxa"/>
            <w:vAlign w:val="bottom"/>
          </w:tcPr>
          <w:p>
            <w:pPr>
              <w:spacing w:after="0"/>
              <w:rPr>
                <w:sz w:val="17"/>
                <w:szCs w:val="17"/>
                <w:color w:val="auto"/>
              </w:rPr>
            </w:pPr>
          </w:p>
        </w:tc>
        <w:tc>
          <w:tcPr>
            <w:tcW w:w="960" w:type="dxa"/>
            <w:vAlign w:val="bottom"/>
            <w:tcBorders>
              <w:right w:val="single" w:sz="8" w:color="auto"/>
            </w:tcBorders>
          </w:tcPr>
          <w:p>
            <w:pPr>
              <w:jc w:val="right"/>
              <w:ind w:right="273"/>
              <w:spacing w:after="0" w:line="202" w:lineRule="exact"/>
              <w:rPr>
                <w:sz w:val="20"/>
                <w:szCs w:val="20"/>
                <w:color w:val="auto"/>
              </w:rPr>
            </w:pPr>
            <w:r>
              <w:rPr>
                <w:rFonts w:ascii="Arial" w:cs="Arial" w:eastAsia="Arial" w:hAnsi="Arial"/>
                <w:sz w:val="18"/>
                <w:szCs w:val="18"/>
                <w:color w:val="auto"/>
              </w:rPr>
              <w:t>389.3</w:t>
            </w:r>
          </w:p>
        </w:tc>
        <w:tc>
          <w:tcPr>
            <w:tcW w:w="420" w:type="dxa"/>
            <w:vAlign w:val="bottom"/>
          </w:tcPr>
          <w:p>
            <w:pPr>
              <w:spacing w:after="0"/>
              <w:rPr>
                <w:sz w:val="17"/>
                <w:szCs w:val="17"/>
                <w:color w:val="auto"/>
              </w:rPr>
            </w:pPr>
          </w:p>
        </w:tc>
        <w:tc>
          <w:tcPr>
            <w:tcW w:w="7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16.8</w:t>
            </w:r>
          </w:p>
        </w:tc>
        <w:tc>
          <w:tcPr>
            <w:tcW w:w="660" w:type="dxa"/>
            <w:vAlign w:val="bottom"/>
          </w:tcPr>
          <w:p>
            <w:pPr>
              <w:spacing w:after="0"/>
              <w:rPr>
                <w:sz w:val="17"/>
                <w:szCs w:val="17"/>
                <w:color w:val="auto"/>
              </w:rPr>
            </w:pPr>
          </w:p>
        </w:tc>
        <w:tc>
          <w:tcPr>
            <w:tcW w:w="1180" w:type="dxa"/>
            <w:vAlign w:val="bottom"/>
          </w:tcPr>
          <w:p>
            <w:pPr>
              <w:jc w:val="right"/>
              <w:ind w:right="493"/>
              <w:spacing w:after="0" w:line="202" w:lineRule="exact"/>
              <w:rPr>
                <w:sz w:val="20"/>
                <w:szCs w:val="20"/>
                <w:color w:val="auto"/>
              </w:rPr>
            </w:pPr>
            <w:r>
              <w:rPr>
                <w:rFonts w:ascii="Arial" w:cs="Arial" w:eastAsia="Arial" w:hAnsi="Arial"/>
                <w:sz w:val="18"/>
                <w:szCs w:val="18"/>
                <w:color w:val="auto"/>
              </w:rPr>
              <w:t>23.9</w:t>
            </w:r>
          </w:p>
        </w:tc>
        <w:tc>
          <w:tcPr>
            <w:tcW w:w="200" w:type="dxa"/>
            <w:vAlign w:val="bottom"/>
          </w:tcPr>
          <w:p>
            <w:pPr>
              <w:spacing w:after="0"/>
              <w:rPr>
                <w:sz w:val="17"/>
                <w:szCs w:val="17"/>
                <w:color w:val="auto"/>
              </w:rPr>
            </w:pPr>
          </w:p>
        </w:tc>
        <w:tc>
          <w:tcPr>
            <w:tcW w:w="98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23.9</w:t>
            </w:r>
          </w:p>
        </w:tc>
        <w:tc>
          <w:tcPr>
            <w:tcW w:w="420" w:type="dxa"/>
            <w:vAlign w:val="bottom"/>
          </w:tcPr>
          <w:p>
            <w:pPr>
              <w:spacing w:after="0"/>
              <w:rPr>
                <w:sz w:val="17"/>
                <w:szCs w:val="17"/>
                <w:color w:val="auto"/>
              </w:rPr>
            </w:pPr>
          </w:p>
        </w:tc>
        <w:tc>
          <w:tcPr>
            <w:tcW w:w="96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28.9</w:t>
            </w:r>
          </w:p>
        </w:tc>
      </w:tr>
      <w:tr>
        <w:trPr>
          <w:trHeight w:val="210"/>
        </w:trPr>
        <w:tc>
          <w:tcPr>
            <w:tcW w:w="4480" w:type="dxa"/>
            <w:vAlign w:val="bottom"/>
            <w:tcBorders>
              <w:bottom w:val="single" w:sz="8" w:color="auto"/>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invested capital</w:t>
            </w:r>
            <w:r>
              <w:rPr>
                <w:rFonts w:ascii="Arial" w:cs="Arial" w:eastAsia="Arial" w:hAnsi="Arial"/>
                <w:sz w:val="11"/>
                <w:szCs w:val="11"/>
                <w:color w:val="auto"/>
              </w:rPr>
              <w:t>(e)</w:t>
            </w: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auto"/>
            </w:tcBorders>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w w:val="96"/>
              </w:rPr>
              <w:t>2,535.2</w:t>
            </w: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w w:val="96"/>
              </w:rPr>
              <w:t>2,605.5</w:t>
            </w:r>
          </w:p>
        </w:tc>
        <w:tc>
          <w:tcPr>
            <w:tcW w:w="6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493"/>
              <w:spacing w:after="0" w:line="202" w:lineRule="exact"/>
              <w:rPr>
                <w:sz w:val="20"/>
                <w:szCs w:val="20"/>
                <w:color w:val="auto"/>
              </w:rPr>
            </w:pPr>
            <w:r>
              <w:rPr>
                <w:rFonts w:ascii="Arial" w:cs="Arial" w:eastAsia="Arial" w:hAnsi="Arial"/>
                <w:sz w:val="18"/>
                <w:szCs w:val="18"/>
                <w:color w:val="auto"/>
                <w:w w:val="96"/>
              </w:rPr>
              <w:t>2,566.0</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w w:val="96"/>
              </w:rPr>
              <w:t>2,793.8</w:t>
            </w: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w w:val="96"/>
              </w:rPr>
              <w:t>3,784.9</w:t>
            </w:r>
          </w:p>
        </w:tc>
      </w:tr>
    </w:tbl>
    <w:p>
      <w:pPr>
        <w:spacing w:after="0" w:line="80" w:lineRule="exact"/>
        <w:rPr>
          <w:sz w:val="20"/>
          <w:szCs w:val="20"/>
          <w:color w:val="auto"/>
        </w:rPr>
      </w:pPr>
    </w:p>
    <w:p>
      <w:pPr>
        <w:jc w:val="both"/>
        <w:ind w:left="220" w:right="40" w:hanging="212"/>
        <w:spacing w:after="0" w:line="191" w:lineRule="auto"/>
        <w:tabs>
          <w:tab w:leader="none" w:pos="220"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Reflects the retrospective change in our method of recognizing defined benefit expense. See Note 2, “Significant Accounting Policies” for a discussion of the change and the impacts of the change for the years ended December 31, 2010 and 2009. The Company’s defined benefit expense included pre-tax actuarial (losses) gains in each of the last five years of $(80.0) million in 2011, $3.5 million in 2010, $5.2 million in 2009, $(98.2) million in 2008 and $7.0 million in 2007.</w:t>
      </w:r>
    </w:p>
    <w:p>
      <w:pPr>
        <w:spacing w:after="0" w:line="69" w:lineRule="exact"/>
        <w:rPr>
          <w:rFonts w:ascii="Arial" w:cs="Arial" w:eastAsia="Arial" w:hAnsi="Arial"/>
          <w:sz w:val="22"/>
          <w:szCs w:val="22"/>
          <w:color w:val="auto"/>
          <w:vertAlign w:val="superscript"/>
        </w:rPr>
      </w:pPr>
    </w:p>
    <w:p>
      <w:pPr>
        <w:ind w:left="220" w:right="100" w:hanging="212"/>
        <w:spacing w:after="0" w:line="180" w:lineRule="auto"/>
        <w:tabs>
          <w:tab w:leader="none" w:pos="220"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For the year ended December 31, 2008 the retrospective change in recognizing defined benefit expense decreased net income attributable to Home &amp; Security by $57.8 million and basic and diluted earnings per share, by $0.37.</w:t>
      </w:r>
    </w:p>
    <w:p>
      <w:pPr>
        <w:spacing w:after="0" w:line="67" w:lineRule="exact"/>
        <w:rPr>
          <w:rFonts w:ascii="Arial" w:cs="Arial" w:eastAsia="Arial" w:hAnsi="Arial"/>
          <w:sz w:val="22"/>
          <w:szCs w:val="22"/>
          <w:color w:val="auto"/>
          <w:vertAlign w:val="superscript"/>
        </w:rPr>
      </w:pPr>
    </w:p>
    <w:p>
      <w:pPr>
        <w:ind w:left="220" w:right="220" w:hanging="212"/>
        <w:spacing w:after="0" w:line="180" w:lineRule="auto"/>
        <w:tabs>
          <w:tab w:leader="none" w:pos="220"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For the year ended December 31, 2007 the retrospective change in recognizing defined benefit expense increased net income attributable to Home &amp; Security by $9.7 million and basic and diluted earnings per share, by $0.06.</w:t>
      </w:r>
    </w:p>
    <w:p>
      <w:pPr>
        <w:ind w:left="220" w:hanging="212"/>
        <w:spacing w:after="0" w:line="217" w:lineRule="auto"/>
        <w:tabs>
          <w:tab w:leader="none" w:pos="220"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In 2011, our Former Parent made equity contributions totaling $2.7 billion to the Company, capitalizing all loan balances with our Former Parent.</w:t>
      </w:r>
    </w:p>
    <w:p>
      <w:pPr>
        <w:spacing w:after="0" w:line="68" w:lineRule="exact"/>
        <w:rPr>
          <w:rFonts w:ascii="Arial" w:cs="Arial" w:eastAsia="Arial" w:hAnsi="Arial"/>
          <w:sz w:val="22"/>
          <w:szCs w:val="22"/>
          <w:color w:val="auto"/>
          <w:vertAlign w:val="superscript"/>
        </w:rPr>
      </w:pPr>
    </w:p>
    <w:p>
      <w:pPr>
        <w:ind w:left="220" w:hanging="212"/>
        <w:spacing w:after="0" w:line="188" w:lineRule="auto"/>
        <w:tabs>
          <w:tab w:leader="none" w:pos="220" w:val="left"/>
        </w:tabs>
        <w:numPr>
          <w:ilvl w:val="0"/>
          <w:numId w:val="10"/>
        </w:numPr>
        <w:rPr>
          <w:rFonts w:ascii="Arial" w:cs="Arial" w:eastAsia="Arial" w:hAnsi="Arial"/>
          <w:sz w:val="18"/>
          <w:szCs w:val="18"/>
          <w:color w:val="auto"/>
          <w:vertAlign w:val="superscript"/>
        </w:rPr>
      </w:pPr>
      <w:r>
        <w:rPr>
          <w:rFonts w:ascii="Arial" w:cs="Arial" w:eastAsia="Arial" w:hAnsi="Arial"/>
          <w:sz w:val="12"/>
          <w:szCs w:val="12"/>
          <w:color w:val="auto"/>
        </w:rPr>
        <w:t>Total invested capital consists of equity and short-term and long-term debt, including loans payable to our Former Parent, net of loans receivable from our Former Parent.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80"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This Management’s Discussion and Analysis of Financial Condition and Results of Operations (“MD&amp;A”) is a supplement to the accompanying consolidated financial statements and provides additional information on our business, recent developments, financial condition, liquidity and capital resources, cash flows and results of operations. MD&amp;A is organized as follows:</w:t>
      </w:r>
    </w:p>
    <w:p>
      <w:pPr>
        <w:spacing w:after="0" w:line="73" w:lineRule="exact"/>
        <w:rPr>
          <w:sz w:val="20"/>
          <w:szCs w:val="20"/>
          <w:color w:val="auto"/>
        </w:rPr>
      </w:pPr>
    </w:p>
    <w:p>
      <w:pPr>
        <w:ind w:left="460" w:right="720" w:hanging="452"/>
        <w:spacing w:after="0" w:line="23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Overview: This section provides a general description of our business, as well as recent developments we believe are important in understanding our results of operations and financial condition or in understanding anticipated future trends.</w:t>
      </w:r>
    </w:p>
    <w:p>
      <w:pPr>
        <w:spacing w:after="0" w:line="73" w:lineRule="exact"/>
        <w:rPr>
          <w:rFonts w:ascii="Arial" w:cs="Arial" w:eastAsia="Arial" w:hAnsi="Arial"/>
          <w:sz w:val="18"/>
          <w:szCs w:val="18"/>
          <w:color w:val="auto"/>
        </w:rPr>
      </w:pPr>
    </w:p>
    <w:p>
      <w:pPr>
        <w:ind w:left="460" w:right="120" w:hanging="452"/>
        <w:spacing w:after="0" w:line="23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Outlook: This section provides a discussion of management’s general outlook about market demand, our competitive position and product development.</w:t>
      </w:r>
    </w:p>
    <w:p>
      <w:pPr>
        <w:spacing w:after="0" w:line="73"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Separation from Former Parent:  This section provides a general discussion of our Separation from our Former Parent.</w:t>
      </w:r>
    </w:p>
    <w:p>
      <w:pPr>
        <w:spacing w:after="0" w:line="76" w:lineRule="exact"/>
        <w:rPr>
          <w:rFonts w:ascii="Arial" w:cs="Arial" w:eastAsia="Arial" w:hAnsi="Arial"/>
          <w:sz w:val="18"/>
          <w:szCs w:val="18"/>
          <w:color w:val="auto"/>
        </w:rPr>
      </w:pPr>
    </w:p>
    <w:p>
      <w:pPr>
        <w:ind w:left="460" w:right="100" w:hanging="452"/>
        <w:spacing w:after="0" w:line="23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Basis of Presentation: This section provides a discussion of the basis on which our consolidated financial statements were prepared, including our historical results of operations and adjustments thereto, primarily related to allocations of general corporate expenses from our Former Parent.</w:t>
      </w:r>
    </w:p>
    <w:p>
      <w:pPr>
        <w:spacing w:after="0" w:line="72" w:lineRule="exact"/>
        <w:rPr>
          <w:rFonts w:ascii="Arial" w:cs="Arial" w:eastAsia="Arial" w:hAnsi="Arial"/>
          <w:sz w:val="18"/>
          <w:szCs w:val="18"/>
          <w:color w:val="auto"/>
        </w:rPr>
      </w:pPr>
    </w:p>
    <w:p>
      <w:pPr>
        <w:ind w:left="460" w:right="220" w:hanging="452"/>
        <w:spacing w:after="0" w:line="23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Results of Operations: This section provides an analysis of our results of operations for the three years ended December 31, 2011, 2010 and 2009.</w:t>
      </w:r>
    </w:p>
    <w:p>
      <w:pPr>
        <w:spacing w:after="0" w:line="73" w:lineRule="exact"/>
        <w:rPr>
          <w:rFonts w:ascii="Arial" w:cs="Arial" w:eastAsia="Arial" w:hAnsi="Arial"/>
          <w:sz w:val="18"/>
          <w:szCs w:val="18"/>
          <w:color w:val="auto"/>
        </w:rPr>
      </w:pPr>
    </w:p>
    <w:p>
      <w:pPr>
        <w:ind w:left="460" w:hanging="452"/>
        <w:spacing w:after="0" w:line="23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Liquidity and Capital Resources: This section provides a discussion of our financial condition and an analysis of our cash flows for the three years ended December 31, 2011, 2010 and 2009. This section also provides a discussion of our contractual obligations, other purchase commitments and customer credit risk that existed at December 31, 2011, as well as a discussion of our ability to fund our future commitments and ongoing operating activities through internal and external sources of capital.</w:t>
      </w:r>
    </w:p>
    <w:p>
      <w:pPr>
        <w:spacing w:after="0" w:line="73" w:lineRule="exact"/>
        <w:rPr>
          <w:rFonts w:ascii="Arial" w:cs="Arial" w:eastAsia="Arial" w:hAnsi="Arial"/>
          <w:sz w:val="18"/>
          <w:szCs w:val="18"/>
          <w:color w:val="auto"/>
        </w:rPr>
      </w:pPr>
    </w:p>
    <w:p>
      <w:pPr>
        <w:ind w:left="460" w:right="140" w:hanging="452"/>
        <w:spacing w:after="0" w:line="299"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Critical Accounting Policies: This section identifies and summarizes those accounting policies that significantly impact our reported results of operations and financial condition and require significant judgment or estimates on the part of management in their application.</w:t>
      </w:r>
    </w:p>
    <w:p>
      <w:pPr>
        <w:spacing w:after="0" w:line="27" w:lineRule="exact"/>
        <w:rPr>
          <w:rFonts w:ascii="Arial" w:cs="Arial" w:eastAsia="Arial" w:hAnsi="Arial"/>
          <w:sz w:val="16"/>
          <w:szCs w:val="16"/>
          <w:color w:val="auto"/>
        </w:rPr>
      </w:pPr>
    </w:p>
    <w:p>
      <w:pPr>
        <w:ind w:left="460" w:right="400" w:hanging="452"/>
        <w:spacing w:after="0" w:line="23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Quantitative and Qualitative Disclosures about Market Risk: This section discusses how we monitor and manage exposure to potential gains and losses associated with changes in interest rates, foreign currency exchange rates and commodity prices.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0"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Company is a leader in home and security products focused on the design, manufacture and sale of market leading branded products in the following categories: kitchen and bath cabinetry, plumbing and accessories, advanced material windows products and entry door systems, and security and storage products.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2011, net sales based on country of destination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123825</wp:posOffset>
            </wp:positionV>
            <wp:extent cx="60801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920"/>
        <w:spacing w:after="0"/>
        <w:rPr>
          <w:sz w:val="20"/>
          <w:szCs w:val="20"/>
          <w:color w:val="auto"/>
        </w:rPr>
      </w:pPr>
      <w:r>
        <w:rPr>
          <w:rFonts w:ascii="Arial" w:cs="Arial" w:eastAsia="Arial" w:hAnsi="Arial"/>
          <w:sz w:val="14"/>
          <w:szCs w:val="14"/>
          <w:i w:val="1"/>
          <w:iCs w:val="1"/>
          <w:color w:val="auto"/>
        </w:rPr>
        <w:t>(In millions)</w:t>
      </w:r>
    </w:p>
    <w:p>
      <w:pPr>
        <w:spacing w:after="0" w:line="2" w:lineRule="exact"/>
        <w:rPr>
          <w:sz w:val="20"/>
          <w:szCs w:val="20"/>
          <w:color w:val="auto"/>
        </w:rPr>
      </w:pPr>
    </w:p>
    <w:tbl>
      <w:tblPr>
        <w:tblLayout w:type="fixed"/>
        <w:tblInd w:w="920" w:type="dxa"/>
        <w:tblCellMar>
          <w:top w:w="0" w:type="dxa"/>
          <w:left w:w="0" w:type="dxa"/>
          <w:bottom w:w="0" w:type="dxa"/>
          <w:right w:w="0" w:type="dxa"/>
        </w:tblCellMar>
      </w:tblPr>
      <w:tr>
        <w:trPr>
          <w:trHeight w:val="196"/>
        </w:trPr>
        <w:tc>
          <w:tcPr>
            <w:tcW w:w="34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4920" w:type="dxa"/>
            <w:vAlign w:val="bottom"/>
            <w:tcBorders>
              <w:top w:val="single" w:sz="8" w:color="auto"/>
            </w:tcBorders>
            <w:shd w:val="clear" w:color="auto" w:fill="CCEEFF"/>
          </w:tcPr>
          <w:p>
            <w:pPr>
              <w:jc w:val="right"/>
              <w:ind w:right="252"/>
              <w:spacing w:after="0" w:line="196" w:lineRule="exact"/>
              <w:rPr>
                <w:sz w:val="20"/>
                <w:szCs w:val="20"/>
                <w:color w:val="auto"/>
              </w:rPr>
            </w:pPr>
            <w:r>
              <w:rPr>
                <w:rFonts w:ascii="Arial" w:cs="Arial" w:eastAsia="Arial" w:hAnsi="Arial"/>
                <w:sz w:val="18"/>
                <w:szCs w:val="18"/>
                <w:color w:val="auto"/>
              </w:rPr>
              <w:t>$2,755.0</w:t>
            </w:r>
          </w:p>
        </w:tc>
        <w:tc>
          <w:tcPr>
            <w:tcW w:w="1180" w:type="dxa"/>
            <w:vAlign w:val="bottom"/>
            <w:tcBorders>
              <w:top w:val="single" w:sz="8" w:color="auto"/>
            </w:tcBorders>
            <w:shd w:val="clear" w:color="auto" w:fill="CCEEFF"/>
          </w:tcPr>
          <w:p>
            <w:pPr>
              <w:jc w:val="right"/>
              <w:ind w:right="292"/>
              <w:spacing w:after="0" w:line="196" w:lineRule="exact"/>
              <w:rPr>
                <w:sz w:val="20"/>
                <w:szCs w:val="20"/>
                <w:color w:val="auto"/>
              </w:rPr>
            </w:pPr>
            <w:r>
              <w:rPr>
                <w:rFonts w:ascii="Arial" w:cs="Arial" w:eastAsia="Arial" w:hAnsi="Arial"/>
                <w:sz w:val="18"/>
                <w:szCs w:val="18"/>
                <w:color w:val="auto"/>
              </w:rPr>
              <w:t>83%</w:t>
            </w:r>
          </w:p>
        </w:tc>
      </w:tr>
      <w:tr>
        <w:trPr>
          <w:trHeight w:val="203"/>
        </w:trPr>
        <w:tc>
          <w:tcPr>
            <w:tcW w:w="3480" w:type="dxa"/>
            <w:vAlign w:val="bottom"/>
          </w:tcPr>
          <w:p>
            <w:pPr>
              <w:spacing w:after="0" w:line="202" w:lineRule="exact"/>
              <w:rPr>
                <w:sz w:val="20"/>
                <w:szCs w:val="20"/>
                <w:color w:val="auto"/>
              </w:rPr>
            </w:pPr>
            <w:r>
              <w:rPr>
                <w:rFonts w:ascii="Arial" w:cs="Arial" w:eastAsia="Arial" w:hAnsi="Arial"/>
                <w:sz w:val="18"/>
                <w:szCs w:val="18"/>
                <w:color w:val="auto"/>
              </w:rPr>
              <w:t>Canada</w:t>
            </w:r>
          </w:p>
        </w:tc>
        <w:tc>
          <w:tcPr>
            <w:tcW w:w="492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390.3</w:t>
            </w:r>
          </w:p>
        </w:tc>
        <w:tc>
          <w:tcPr>
            <w:tcW w:w="1180" w:type="dxa"/>
            <w:vAlign w:val="bottom"/>
          </w:tcPr>
          <w:p>
            <w:pPr>
              <w:jc w:val="right"/>
              <w:ind w:right="452"/>
              <w:spacing w:after="0" w:line="202" w:lineRule="exact"/>
              <w:rPr>
                <w:sz w:val="20"/>
                <w:szCs w:val="20"/>
                <w:color w:val="auto"/>
              </w:rPr>
            </w:pPr>
            <w:r>
              <w:rPr>
                <w:rFonts w:ascii="Arial" w:cs="Arial" w:eastAsia="Arial" w:hAnsi="Arial"/>
                <w:sz w:val="18"/>
                <w:szCs w:val="18"/>
                <w:color w:val="auto"/>
              </w:rPr>
              <w:t>12</w:t>
            </w:r>
          </w:p>
        </w:tc>
      </w:tr>
      <w:tr>
        <w:trPr>
          <w:trHeight w:val="203"/>
        </w:trPr>
        <w:tc>
          <w:tcPr>
            <w:tcW w:w="34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China and other international</w:t>
            </w:r>
          </w:p>
        </w:tc>
        <w:tc>
          <w:tcPr>
            <w:tcW w:w="4920" w:type="dxa"/>
            <w:vAlign w:val="bottom"/>
            <w:tcBorders>
              <w:bottom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183.3</w:t>
            </w:r>
          </w:p>
        </w:tc>
        <w:tc>
          <w:tcPr>
            <w:tcW w:w="1180" w:type="dxa"/>
            <w:vAlign w:val="bottom"/>
            <w:tcBorders>
              <w:bottom w:val="single" w:sz="8" w:color="auto"/>
            </w:tcBorders>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rPr>
              <w:t>5</w:t>
            </w:r>
          </w:p>
        </w:tc>
      </w:tr>
      <w:tr>
        <w:trPr>
          <w:trHeight w:val="203"/>
        </w:trPr>
        <w:tc>
          <w:tcPr>
            <w:tcW w:w="348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auto"/>
              </w:rPr>
              <w:t>Total</w:t>
            </w:r>
          </w:p>
        </w:tc>
        <w:tc>
          <w:tcPr>
            <w:tcW w:w="4920" w:type="dxa"/>
            <w:vAlign w:val="bottom"/>
            <w:tcBorders>
              <w:bottom w:val="single" w:sz="8" w:color="auto"/>
            </w:tcBorders>
          </w:tcPr>
          <w:p>
            <w:pPr>
              <w:jc w:val="right"/>
              <w:ind w:right="252"/>
              <w:spacing w:after="0" w:line="196" w:lineRule="exact"/>
              <w:rPr>
                <w:sz w:val="20"/>
                <w:szCs w:val="20"/>
                <w:color w:val="auto"/>
              </w:rPr>
            </w:pPr>
            <w:r>
              <w:rPr>
                <w:rFonts w:ascii="Arial" w:cs="Arial" w:eastAsia="Arial" w:hAnsi="Arial"/>
                <w:sz w:val="18"/>
                <w:szCs w:val="18"/>
                <w:color w:val="auto"/>
              </w:rPr>
              <w:t>$3,328.6</w:t>
            </w:r>
          </w:p>
        </w:tc>
        <w:tc>
          <w:tcPr>
            <w:tcW w:w="1180" w:type="dxa"/>
            <w:vAlign w:val="bottom"/>
            <w:tcBorders>
              <w:bottom w:val="single" w:sz="8" w:color="auto"/>
            </w:tcBorders>
          </w:tcPr>
          <w:p>
            <w:pPr>
              <w:jc w:val="right"/>
              <w:ind w:right="292"/>
              <w:spacing w:after="0" w:line="196" w:lineRule="exact"/>
              <w:rPr>
                <w:sz w:val="20"/>
                <w:szCs w:val="20"/>
                <w:color w:val="auto"/>
              </w:rPr>
            </w:pPr>
            <w:r>
              <w:rPr>
                <w:rFonts w:ascii="Arial" w:cs="Arial" w:eastAsia="Arial" w:hAnsi="Arial"/>
                <w:sz w:val="18"/>
                <w:szCs w:val="18"/>
                <w:color w:val="auto"/>
              </w:rPr>
              <w:t>100%</w:t>
            </w:r>
          </w:p>
        </w:tc>
      </w:tr>
      <w:tr>
        <w:trPr>
          <w:trHeight w:val="363"/>
        </w:trPr>
        <w:tc>
          <w:tcPr>
            <w:tcW w:w="3480" w:type="dxa"/>
            <w:vAlign w:val="bottom"/>
          </w:tcPr>
          <w:p>
            <w:pPr>
              <w:spacing w:after="0"/>
              <w:rPr>
                <w:sz w:val="24"/>
                <w:szCs w:val="24"/>
                <w:color w:val="auto"/>
              </w:rPr>
            </w:pPr>
          </w:p>
        </w:tc>
        <w:tc>
          <w:tcPr>
            <w:tcW w:w="4920" w:type="dxa"/>
            <w:vAlign w:val="bottom"/>
          </w:tcPr>
          <w:p>
            <w:pPr>
              <w:jc w:val="right"/>
              <w:ind w:right="3412"/>
              <w:spacing w:after="0"/>
              <w:rPr>
                <w:sz w:val="20"/>
                <w:szCs w:val="20"/>
                <w:color w:val="auto"/>
              </w:rPr>
            </w:pPr>
            <w:r>
              <w:rPr>
                <w:rFonts w:ascii="Arial" w:cs="Arial" w:eastAsia="Arial" w:hAnsi="Arial"/>
                <w:sz w:val="18"/>
                <w:szCs w:val="18"/>
                <w:color w:val="auto"/>
              </w:rPr>
              <w:t>25</w:t>
            </w:r>
          </w:p>
        </w:tc>
        <w:tc>
          <w:tcPr>
            <w:tcW w:w="118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Consumer confidence, general economic conditions, existing home sales, new home sales, home prices and credit availability significantly influence demand for our products. During 2008 and 2009, the U.S. home products market declined substantially due to the U.S. recession, resulting in a decrease in home sales and a contraction in new home construction. As a result, our sales and operating income declined substantially, and we implemented initiatives to reduce costs and streamline our supply chains by reducing manufacturing facilities and headcount by approximately 40%.</w:t>
      </w:r>
    </w:p>
    <w:p>
      <w:pPr>
        <w:spacing w:after="0" w:line="157"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During 2010 and 2011, market conditions stabilized and our sales increased as a result of growth with new and existing customers. In 2010, our operating income increased significantly compared to 2009 due to favorable operating leverage on higher sales, the benefit of reduced cost structures, and lower restructuring and other charges. In 2011, operating income decreased, primarily due to asset impairment charges, recognition of defined benefit plan actuarial losses, increased raw material and transportation costs, higher restructuring and other charges, and cabinet promotional activity.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8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expect that a U.S. home products market recovery from the current low levels will be gradual and uneven. The recovery of the U.S. home products market will largely depend on consumer confidence, employment, home prices and credit availability. Over the long term, we believe that the U.S. home products market will benefit from favorable population and immigration trends, which will drive demand for new housing units, and from aging existing housing stock that will continue to need to be repaired and remodeled.</w:t>
      </w:r>
    </w:p>
    <w:p>
      <w:pPr>
        <w:spacing w:after="0" w:line="155"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We remain focused on our initiatives designed to outperform our markets. We believe our strong brand positions, consumer focused innovation, flexible and efficient supply chains, and excellent customer service will position our business to perform well in the marketplace. However, we expect that near term results will continue to be challenging as consumers remain cautious. In addition, we expect costs may be higher for raw materials and transportation, a consumer preference for lower-priced valued oriented products will persist, and a heavy promotional environment for large ticket discretionary purchases such as kitchen cabinets will continue through 2012 but remain at about the same level as we experienced in 2011. We strive to offset the unfavorable impact of these items with productivity initiatives and price increases.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from Former Parent</w:t>
      </w:r>
    </w:p>
    <w:p>
      <w:pPr>
        <w:spacing w:after="0" w:line="18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September 27, 2011, the board of directors of our Former Parent approved the Separation. The Separation was accomplished by increasing the total number of issued and outstanding shares of Home &amp; Security common stock such that 155,052,629 shares of Home &amp; Security common stock were available for distribution to holders of common stock of our Former Parent. In accordance with the Separation and Distribution Agreement between our Former Parent and the Company, the distribution of Home &amp; Security common stock was made on October 3, 2011, with our Former Parent stockholders receiving one share of Home &amp; Security common stock for each share of Former Parent common stock held as of 6:00 p.m. New York City Time on September 20, 2011. In addition, we paid a dividend of $548.9 million to our Former Parent prior to the Separation on October 3, 2011 and made a payment of $6.0 million to our Former Parent on January 3, 2012.</w:t>
      </w:r>
    </w:p>
    <w:p>
      <w:pPr>
        <w:spacing w:after="0" w:line="155"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Following the Separation, our Former Parent changed its name to Beam Inc. and retained no ownership interest in Home &amp; Security. Home &amp; Security and Beam Inc. now have separate public ownership, boards of directors and management.</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A registration statement on Form 10, as amended (the “Form 10”), describing the Separation was filed by Home &amp; Security with the SEC and was declared effective on September 2, 2011. On October 4, 2011, our common stock began trading “regular-way” on the New York Stock Exchange under the ticker symbol “FBHS”.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consolidated financial statements and segment information included in this Annual Report have been derived principally from the consolidated financial statements of the Company, which prior to the Separation was a wholly-owned subsidiary of our Former Parent, using the historical results of operations, and the historical basis of assets and liabilities. Our historical financial statements include allocations of certain general corporate expenses of Former Parent incurred directly by our Former Parent. During the years ended December 31, 2011, 2010 and 2009, these allocations totaled $23.4 million, $32.0 million and $34.2 million, respectively. The 2011 allocation is for nine months only (January 1, 2011 through the date of the Separation) because Home &amp; Security became an independent company on October 3, 2011. These allocated expenses include costs associated with legal, finance, treasury, accounting, internal audit and general management services and are included in “Corporate” in the accompanying segment information. Management believes that the assumptions and methodologies underlying the allocation of these general corporate expenses are reasonable. However, such expenses may not be indicative of the actual level of expense that would have been incurred by the Company if it had operated as an independent company or of the costs expected to be incurred in the future. The consolidated financial statements included in this Annual Report on Form 10-K may not necessarily reflect the Company’s results of operations, financial condition and cash flows in the future or what its results of operations, financial condition and cash flows would have been had the Company been a stand-alone company during the periods presented. In particular:</w:t>
      </w:r>
    </w:p>
    <w:p>
      <w:pPr>
        <w:spacing w:after="0" w:line="80" w:lineRule="exact"/>
        <w:rPr>
          <w:sz w:val="20"/>
          <w:szCs w:val="20"/>
          <w:color w:val="auto"/>
        </w:rPr>
      </w:pPr>
    </w:p>
    <w:p>
      <w:pPr>
        <w:jc w:val="both"/>
        <w:ind w:left="460" w:right="120" w:hanging="452"/>
        <w:spacing w:after="0" w:line="23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Prior to the Separation, substantially all of the Company’s debt was payable to our Former Parent. Following the Separation, the Company has a capital structure with significantly less debt than was reflected in the historical financial statements. In 2011, our Former Parent made equity contributions of $2.7 billion to the Company capitalizing intercompany loans outstanding.</w:t>
      </w:r>
    </w:p>
    <w:p>
      <w:pPr>
        <w:spacing w:after="0" w:line="72" w:lineRule="exact"/>
        <w:rPr>
          <w:rFonts w:ascii="Arial" w:cs="Arial" w:eastAsia="Arial" w:hAnsi="Arial"/>
          <w:sz w:val="18"/>
          <w:szCs w:val="18"/>
          <w:color w:val="auto"/>
        </w:rPr>
      </w:pPr>
    </w:p>
    <w:p>
      <w:pPr>
        <w:ind w:left="460" w:right="120" w:hanging="452"/>
        <w:spacing w:after="0" w:line="23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estimates that it would have incurred approximately $14 million of incremental corporate expenses if it had functioned as an independent stand-alone public company for the year ended December 31, 2011 and approximately $20 million of incremental costs for the years ended December 31, 2010 and 2009.</w:t>
      </w:r>
    </w:p>
    <w:p>
      <w:pPr>
        <w:spacing w:after="0" w:line="72" w:lineRule="exact"/>
        <w:rPr>
          <w:rFonts w:ascii="Arial" w:cs="Arial" w:eastAsia="Arial" w:hAnsi="Arial"/>
          <w:sz w:val="18"/>
          <w:szCs w:val="18"/>
          <w:color w:val="auto"/>
        </w:rPr>
      </w:pPr>
    </w:p>
    <w:p>
      <w:pPr>
        <w:ind w:left="460" w:right="8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effective tax rate historically reflected the impact of certain unusual items including the resolution of taxing authority audits and changes in valuation allowances, as well as recurring factors including changes in geographical mix of income before taxes and the level of pre-tax income or losses. Our effective tax rate has also historically been impacted by a high level of related party interest expense.</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following discussion of both consolidated results of operations and segment results of operations refers to the year ended December 31, 2011 compared to the year ended December 31, 2010, and the year ended December 31, 2010 compared to the year ended December 31, 2009. The discussion of consolidated results of operations should be read in conjunction with the discussion of segment results of operations and our financial statements and notes thereto included in this Annual Report on Form 10-K.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Years Ended December 31, 2011, 2010 and 2009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i w:val="1"/>
                <w:iCs w:val="1"/>
                <w:color w:val="auto"/>
              </w:rPr>
              <w:t>(In millions)</w:t>
            </w:r>
          </w:p>
        </w:tc>
        <w:tc>
          <w:tcPr>
            <w:tcW w:w="5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i w:val="1"/>
                <w:iCs w:val="1"/>
                <w:color w:val="auto"/>
              </w:rPr>
              <w:t>2011</w:t>
            </w:r>
          </w:p>
        </w:tc>
        <w:tc>
          <w:tcPr>
            <w:tcW w:w="148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i w:val="1"/>
                <w:iCs w:val="1"/>
                <w:color w:val="auto"/>
              </w:rPr>
              <w:t>% change</w:t>
            </w:r>
          </w:p>
        </w:tc>
        <w:tc>
          <w:tcPr>
            <w:tcW w:w="5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color w:val="auto"/>
              </w:rPr>
              <w:t>2010</w:t>
            </w:r>
          </w:p>
        </w:tc>
        <w:tc>
          <w:tcPr>
            <w:tcW w:w="14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color w:val="auto"/>
              </w:rPr>
              <w:t>% change</w:t>
            </w:r>
          </w:p>
        </w:tc>
        <w:tc>
          <w:tcPr>
            <w:tcW w:w="5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color w:val="auto"/>
              </w:rPr>
              <w:t>2009</w:t>
            </w:r>
          </w:p>
        </w:tc>
      </w:tr>
      <w:tr>
        <w:trPr>
          <w:trHeight w:val="196"/>
        </w:trPr>
        <w:tc>
          <w:tcPr>
            <w:tcW w:w="3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Kitchen &amp; Bath Cabinetry</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234"/>
              <w:spacing w:after="0" w:line="202" w:lineRule="exact"/>
              <w:rPr>
                <w:sz w:val="20"/>
                <w:szCs w:val="20"/>
                <w:color w:val="auto"/>
              </w:rPr>
            </w:pPr>
            <w:r>
              <w:rPr>
                <w:rFonts w:ascii="Arial" w:cs="Arial" w:eastAsia="Arial" w:hAnsi="Arial"/>
                <w:sz w:val="18"/>
                <w:szCs w:val="18"/>
                <w:color w:val="auto"/>
                <w:w w:val="96"/>
              </w:rPr>
              <w:t>1,256.3</w:t>
            </w:r>
          </w:p>
        </w:tc>
        <w:tc>
          <w:tcPr>
            <w:tcW w:w="1480" w:type="dxa"/>
            <w:vAlign w:val="bottom"/>
          </w:tcPr>
          <w:p>
            <w:pPr>
              <w:jc w:val="right"/>
              <w:ind w:right="374"/>
              <w:spacing w:after="0" w:line="202" w:lineRule="exact"/>
              <w:rPr>
                <w:sz w:val="20"/>
                <w:szCs w:val="20"/>
                <w:color w:val="auto"/>
              </w:rPr>
            </w:pPr>
            <w:r>
              <w:rPr>
                <w:rFonts w:ascii="Arial" w:cs="Arial" w:eastAsia="Arial" w:hAnsi="Arial"/>
                <w:sz w:val="18"/>
                <w:szCs w:val="18"/>
                <w:color w:val="auto"/>
              </w:rPr>
              <w:t>5.7%</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234"/>
              <w:spacing w:after="0" w:line="202" w:lineRule="exact"/>
              <w:rPr>
                <w:sz w:val="20"/>
                <w:szCs w:val="20"/>
                <w:color w:val="auto"/>
              </w:rPr>
            </w:pPr>
            <w:r>
              <w:rPr>
                <w:rFonts w:ascii="Arial" w:cs="Arial" w:eastAsia="Arial" w:hAnsi="Arial"/>
                <w:sz w:val="18"/>
                <w:szCs w:val="18"/>
                <w:color w:val="auto"/>
                <w:w w:val="96"/>
              </w:rPr>
              <w:t>1,188.8</w:t>
            </w:r>
          </w:p>
        </w:tc>
        <w:tc>
          <w:tcPr>
            <w:tcW w:w="1440" w:type="dxa"/>
            <w:vAlign w:val="bottom"/>
          </w:tcPr>
          <w:p>
            <w:pPr>
              <w:jc w:val="right"/>
              <w:ind w:right="334"/>
              <w:spacing w:after="0" w:line="202" w:lineRule="exact"/>
              <w:rPr>
                <w:sz w:val="20"/>
                <w:szCs w:val="20"/>
                <w:color w:val="auto"/>
              </w:rPr>
            </w:pPr>
            <w:r>
              <w:rPr>
                <w:rFonts w:ascii="Arial" w:cs="Arial" w:eastAsia="Arial" w:hAnsi="Arial"/>
                <w:sz w:val="18"/>
                <w:szCs w:val="18"/>
                <w:color w:val="auto"/>
              </w:rPr>
              <w:t>5.6%</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414"/>
              <w:spacing w:after="0" w:line="202" w:lineRule="exact"/>
              <w:rPr>
                <w:sz w:val="20"/>
                <w:szCs w:val="20"/>
                <w:color w:val="auto"/>
              </w:rPr>
            </w:pPr>
            <w:r>
              <w:rPr>
                <w:rFonts w:ascii="Arial" w:cs="Arial" w:eastAsia="Arial" w:hAnsi="Arial"/>
                <w:sz w:val="18"/>
                <w:szCs w:val="18"/>
                <w:color w:val="auto"/>
                <w:w w:val="96"/>
              </w:rPr>
              <w:t>1,125.7</w:t>
            </w: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Plumbing &amp; Accessories</w:t>
            </w: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962.8</w:t>
            </w:r>
          </w:p>
        </w:tc>
        <w:tc>
          <w:tcPr>
            <w:tcW w:w="1480" w:type="dxa"/>
            <w:vAlign w:val="bottom"/>
            <w:shd w:val="clear" w:color="auto" w:fill="CCEEFF"/>
          </w:tcPr>
          <w:p>
            <w:pPr>
              <w:jc w:val="right"/>
              <w:ind w:right="534"/>
              <w:spacing w:after="0" w:line="202" w:lineRule="exact"/>
              <w:rPr>
                <w:sz w:val="20"/>
                <w:szCs w:val="20"/>
                <w:color w:val="auto"/>
              </w:rPr>
            </w:pPr>
            <w:r>
              <w:rPr>
                <w:rFonts w:ascii="Arial" w:cs="Arial" w:eastAsia="Arial" w:hAnsi="Arial"/>
                <w:sz w:val="18"/>
                <w:szCs w:val="18"/>
                <w:color w:val="auto"/>
              </w:rPr>
              <w:t>4.2</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923.8</w:t>
            </w:r>
          </w:p>
        </w:tc>
        <w:tc>
          <w:tcPr>
            <w:tcW w:w="1440" w:type="dxa"/>
            <w:vAlign w:val="bottom"/>
            <w:shd w:val="clear" w:color="auto" w:fill="CCEEFF"/>
          </w:tcPr>
          <w:p>
            <w:pPr>
              <w:jc w:val="right"/>
              <w:ind w:right="494"/>
              <w:spacing w:after="0" w:line="202" w:lineRule="exact"/>
              <w:rPr>
                <w:sz w:val="20"/>
                <w:szCs w:val="20"/>
                <w:color w:val="auto"/>
              </w:rPr>
            </w:pPr>
            <w:r>
              <w:rPr>
                <w:rFonts w:ascii="Arial" w:cs="Arial" w:eastAsia="Arial" w:hAnsi="Arial"/>
                <w:sz w:val="18"/>
                <w:szCs w:val="18"/>
                <w:color w:val="auto"/>
              </w:rPr>
              <w:t>10.6</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14"/>
              <w:spacing w:after="0" w:line="202" w:lineRule="exact"/>
              <w:rPr>
                <w:sz w:val="20"/>
                <w:szCs w:val="20"/>
                <w:color w:val="auto"/>
              </w:rPr>
            </w:pPr>
            <w:r>
              <w:rPr>
                <w:rFonts w:ascii="Arial" w:cs="Arial" w:eastAsia="Arial" w:hAnsi="Arial"/>
                <w:sz w:val="18"/>
                <w:szCs w:val="18"/>
                <w:color w:val="auto"/>
              </w:rPr>
              <w:t>835.0</w:t>
            </w: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Advanced Material Windows &amp; Door Systems</w:t>
            </w:r>
          </w:p>
        </w:tc>
        <w:tc>
          <w:tcPr>
            <w:tcW w:w="540" w:type="dxa"/>
            <w:vAlign w:val="bottom"/>
          </w:tcPr>
          <w:p>
            <w:pPr>
              <w:spacing w:after="0"/>
              <w:rPr>
                <w:sz w:val="17"/>
                <w:szCs w:val="17"/>
                <w:color w:val="auto"/>
              </w:rPr>
            </w:pPr>
          </w:p>
        </w:tc>
        <w:tc>
          <w:tcPr>
            <w:tcW w:w="92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552.9</w:t>
            </w:r>
          </w:p>
        </w:tc>
        <w:tc>
          <w:tcPr>
            <w:tcW w:w="1480" w:type="dxa"/>
            <w:vAlign w:val="bottom"/>
          </w:tcPr>
          <w:p>
            <w:pPr>
              <w:jc w:val="right"/>
              <w:ind w:right="474"/>
              <w:spacing w:after="0" w:line="202" w:lineRule="exact"/>
              <w:rPr>
                <w:sz w:val="20"/>
                <w:szCs w:val="20"/>
                <w:color w:val="auto"/>
              </w:rPr>
            </w:pPr>
            <w:r>
              <w:rPr>
                <w:rFonts w:ascii="Arial" w:cs="Arial" w:eastAsia="Arial" w:hAnsi="Arial"/>
                <w:sz w:val="18"/>
                <w:szCs w:val="18"/>
                <w:color w:val="auto"/>
              </w:rPr>
              <w:t>(8.0)</w:t>
            </w:r>
          </w:p>
        </w:tc>
        <w:tc>
          <w:tcPr>
            <w:tcW w:w="520" w:type="dxa"/>
            <w:vAlign w:val="bottom"/>
          </w:tcPr>
          <w:p>
            <w:pPr>
              <w:spacing w:after="0"/>
              <w:rPr>
                <w:sz w:val="17"/>
                <w:szCs w:val="17"/>
                <w:color w:val="auto"/>
              </w:rPr>
            </w:pPr>
          </w:p>
        </w:tc>
        <w:tc>
          <w:tcPr>
            <w:tcW w:w="92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600.7</w:t>
            </w:r>
          </w:p>
        </w:tc>
        <w:tc>
          <w:tcPr>
            <w:tcW w:w="1440" w:type="dxa"/>
            <w:vAlign w:val="bottom"/>
          </w:tcPr>
          <w:p>
            <w:pPr>
              <w:jc w:val="right"/>
              <w:ind w:right="494"/>
              <w:spacing w:after="0" w:line="202" w:lineRule="exact"/>
              <w:rPr>
                <w:sz w:val="20"/>
                <w:szCs w:val="20"/>
                <w:color w:val="auto"/>
              </w:rPr>
            </w:pPr>
            <w:r>
              <w:rPr>
                <w:rFonts w:ascii="Arial" w:cs="Arial" w:eastAsia="Arial" w:hAnsi="Arial"/>
                <w:sz w:val="18"/>
                <w:szCs w:val="18"/>
                <w:color w:val="auto"/>
              </w:rPr>
              <w:t>9.1</w:t>
            </w:r>
          </w:p>
        </w:tc>
        <w:tc>
          <w:tcPr>
            <w:tcW w:w="540" w:type="dxa"/>
            <w:vAlign w:val="bottom"/>
          </w:tcPr>
          <w:p>
            <w:pPr>
              <w:spacing w:after="0"/>
              <w:rPr>
                <w:sz w:val="17"/>
                <w:szCs w:val="17"/>
                <w:color w:val="auto"/>
              </w:rPr>
            </w:pPr>
          </w:p>
        </w:tc>
        <w:tc>
          <w:tcPr>
            <w:tcW w:w="1100" w:type="dxa"/>
            <w:vAlign w:val="bottom"/>
          </w:tcPr>
          <w:p>
            <w:pPr>
              <w:jc w:val="right"/>
              <w:ind w:right="414"/>
              <w:spacing w:after="0" w:line="202" w:lineRule="exact"/>
              <w:rPr>
                <w:sz w:val="20"/>
                <w:szCs w:val="20"/>
                <w:color w:val="auto"/>
              </w:rPr>
            </w:pPr>
            <w:r>
              <w:rPr>
                <w:rFonts w:ascii="Arial" w:cs="Arial" w:eastAsia="Arial" w:hAnsi="Arial"/>
                <w:sz w:val="18"/>
                <w:szCs w:val="18"/>
                <w:color w:val="auto"/>
              </w:rPr>
              <w:t>550.8</w:t>
            </w:r>
          </w:p>
        </w:tc>
      </w:tr>
      <w:tr>
        <w:trPr>
          <w:trHeight w:val="203"/>
        </w:trPr>
        <w:tc>
          <w:tcPr>
            <w:tcW w:w="39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Security &amp; Storage</w:t>
            </w:r>
          </w:p>
        </w:tc>
        <w:tc>
          <w:tcPr>
            <w:tcW w:w="5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556.6</w:t>
            </w:r>
          </w:p>
        </w:tc>
        <w:tc>
          <w:tcPr>
            <w:tcW w:w="1480" w:type="dxa"/>
            <w:vAlign w:val="bottom"/>
            <w:tcBorders>
              <w:bottom w:val="single" w:sz="8" w:color="auto"/>
            </w:tcBorders>
            <w:shd w:val="clear" w:color="auto" w:fill="CCEEFF"/>
          </w:tcPr>
          <w:p>
            <w:pPr>
              <w:jc w:val="right"/>
              <w:ind w:right="534"/>
              <w:spacing w:after="0" w:line="202" w:lineRule="exact"/>
              <w:rPr>
                <w:sz w:val="20"/>
                <w:szCs w:val="20"/>
                <w:color w:val="auto"/>
              </w:rPr>
            </w:pPr>
            <w:r>
              <w:rPr>
                <w:rFonts w:ascii="Arial" w:cs="Arial" w:eastAsia="Arial" w:hAnsi="Arial"/>
                <w:sz w:val="18"/>
                <w:szCs w:val="18"/>
                <w:color w:val="auto"/>
              </w:rPr>
              <w:t>7.0</w:t>
            </w:r>
          </w:p>
        </w:tc>
        <w:tc>
          <w:tcPr>
            <w:tcW w:w="5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520.2</w:t>
            </w:r>
          </w:p>
        </w:tc>
        <w:tc>
          <w:tcPr>
            <w:tcW w:w="1440" w:type="dxa"/>
            <w:vAlign w:val="bottom"/>
            <w:tcBorders>
              <w:bottom w:val="single" w:sz="8" w:color="auto"/>
            </w:tcBorders>
            <w:shd w:val="clear" w:color="auto" w:fill="CCEEFF"/>
          </w:tcPr>
          <w:p>
            <w:pPr>
              <w:jc w:val="right"/>
              <w:ind w:right="494"/>
              <w:spacing w:after="0" w:line="202" w:lineRule="exact"/>
              <w:rPr>
                <w:sz w:val="20"/>
                <w:szCs w:val="20"/>
                <w:color w:val="auto"/>
              </w:rPr>
            </w:pPr>
            <w:r>
              <w:rPr>
                <w:rFonts w:ascii="Arial" w:cs="Arial" w:eastAsia="Arial" w:hAnsi="Arial"/>
                <w:sz w:val="18"/>
                <w:szCs w:val="18"/>
                <w:color w:val="auto"/>
              </w:rPr>
              <w:t>5.0</w:t>
            </w:r>
          </w:p>
        </w:tc>
        <w:tc>
          <w:tcPr>
            <w:tcW w:w="5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14"/>
              <w:spacing w:after="0" w:line="202" w:lineRule="exact"/>
              <w:rPr>
                <w:sz w:val="20"/>
                <w:szCs w:val="20"/>
                <w:color w:val="auto"/>
              </w:rPr>
            </w:pPr>
            <w:r>
              <w:rPr>
                <w:rFonts w:ascii="Arial" w:cs="Arial" w:eastAsia="Arial" w:hAnsi="Arial"/>
                <w:sz w:val="18"/>
                <w:szCs w:val="18"/>
                <w:color w:val="auto"/>
              </w:rPr>
              <w:t>495.3</w:t>
            </w:r>
          </w:p>
        </w:tc>
      </w:tr>
      <w:tr>
        <w:trPr>
          <w:trHeight w:val="203"/>
        </w:trPr>
        <w:tc>
          <w:tcPr>
            <w:tcW w:w="396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auto"/>
              </w:rPr>
              <w:t>Total Home &amp; Security</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234"/>
              <w:spacing w:after="0" w:line="196" w:lineRule="exact"/>
              <w:rPr>
                <w:sz w:val="20"/>
                <w:szCs w:val="20"/>
                <w:color w:val="auto"/>
              </w:rPr>
            </w:pPr>
            <w:r>
              <w:rPr>
                <w:rFonts w:ascii="Arial" w:cs="Arial" w:eastAsia="Arial" w:hAnsi="Arial"/>
                <w:sz w:val="18"/>
                <w:szCs w:val="18"/>
                <w:color w:val="auto"/>
                <w:w w:val="96"/>
              </w:rPr>
              <w:t>3,328.6</w:t>
            </w:r>
          </w:p>
        </w:tc>
        <w:tc>
          <w:tcPr>
            <w:tcW w:w="1480" w:type="dxa"/>
            <w:vAlign w:val="bottom"/>
            <w:tcBorders>
              <w:bottom w:val="single" w:sz="8" w:color="auto"/>
            </w:tcBorders>
          </w:tcPr>
          <w:p>
            <w:pPr>
              <w:jc w:val="right"/>
              <w:ind w:right="374"/>
              <w:spacing w:after="0" w:line="196" w:lineRule="exact"/>
              <w:rPr>
                <w:sz w:val="20"/>
                <w:szCs w:val="20"/>
                <w:color w:val="auto"/>
              </w:rPr>
            </w:pPr>
            <w:r>
              <w:rPr>
                <w:rFonts w:ascii="Arial" w:cs="Arial" w:eastAsia="Arial" w:hAnsi="Arial"/>
                <w:sz w:val="18"/>
                <w:szCs w:val="18"/>
                <w:color w:val="auto"/>
              </w:rPr>
              <w:t>2.9%</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234"/>
              <w:spacing w:after="0" w:line="196" w:lineRule="exact"/>
              <w:rPr>
                <w:sz w:val="20"/>
                <w:szCs w:val="20"/>
                <w:color w:val="auto"/>
              </w:rPr>
            </w:pPr>
            <w:r>
              <w:rPr>
                <w:rFonts w:ascii="Arial" w:cs="Arial" w:eastAsia="Arial" w:hAnsi="Arial"/>
                <w:sz w:val="18"/>
                <w:szCs w:val="18"/>
                <w:color w:val="auto"/>
                <w:w w:val="96"/>
              </w:rPr>
              <w:t>3,233.5</w:t>
            </w:r>
          </w:p>
        </w:tc>
        <w:tc>
          <w:tcPr>
            <w:tcW w:w="1440" w:type="dxa"/>
            <w:vAlign w:val="bottom"/>
            <w:tcBorders>
              <w:bottom w:val="single" w:sz="8" w:color="auto"/>
            </w:tcBorders>
          </w:tcPr>
          <w:p>
            <w:pPr>
              <w:jc w:val="right"/>
              <w:ind w:right="334"/>
              <w:spacing w:after="0" w:line="196" w:lineRule="exact"/>
              <w:rPr>
                <w:sz w:val="20"/>
                <w:szCs w:val="20"/>
                <w:color w:val="auto"/>
              </w:rPr>
            </w:pPr>
            <w:r>
              <w:rPr>
                <w:rFonts w:ascii="Arial" w:cs="Arial" w:eastAsia="Arial" w:hAnsi="Arial"/>
                <w:sz w:val="18"/>
                <w:szCs w:val="18"/>
                <w:color w:val="auto"/>
              </w:rPr>
              <w:t>7.5%</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414"/>
              <w:spacing w:after="0" w:line="196" w:lineRule="exact"/>
              <w:rPr>
                <w:sz w:val="20"/>
                <w:szCs w:val="20"/>
                <w:color w:val="auto"/>
              </w:rPr>
            </w:pPr>
            <w:r>
              <w:rPr>
                <w:rFonts w:ascii="Arial" w:cs="Arial" w:eastAsia="Arial" w:hAnsi="Arial"/>
                <w:sz w:val="18"/>
                <w:szCs w:val="18"/>
                <w:color w:val="auto"/>
                <w:w w:val="96"/>
              </w:rPr>
              <w:t>3,006.8</w:t>
            </w: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(Loss) Income:</w:t>
            </w: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Kitchen &amp; Bath Cabinetry</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5.7</w:t>
            </w:r>
          </w:p>
        </w:tc>
        <w:tc>
          <w:tcPr>
            <w:tcW w:w="148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(79.8)%</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28.2</w:t>
            </w:r>
          </w:p>
        </w:tc>
        <w:tc>
          <w:tcPr>
            <w:tcW w:w="1440" w:type="dxa"/>
            <w:vAlign w:val="bottom"/>
          </w:tcPr>
          <w:p>
            <w:pPr>
              <w:jc w:val="right"/>
              <w:ind w:right="334"/>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354"/>
              <w:spacing w:after="0" w:line="202" w:lineRule="exact"/>
              <w:rPr>
                <w:sz w:val="20"/>
                <w:szCs w:val="20"/>
                <w:color w:val="auto"/>
              </w:rPr>
            </w:pPr>
            <w:r>
              <w:rPr>
                <w:rFonts w:ascii="Arial" w:cs="Arial" w:eastAsia="Arial" w:hAnsi="Arial"/>
                <w:sz w:val="18"/>
                <w:szCs w:val="18"/>
                <w:color w:val="auto"/>
              </w:rPr>
              <w:t>(25.1)</w:t>
            </w: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Plumbing &amp; Accessories</w:t>
            </w: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138.0</w:t>
            </w:r>
          </w:p>
        </w:tc>
        <w:tc>
          <w:tcPr>
            <w:tcW w:w="1480" w:type="dxa"/>
            <w:vAlign w:val="bottom"/>
            <w:shd w:val="clear" w:color="auto" w:fill="CCEEFF"/>
          </w:tcPr>
          <w:p>
            <w:pPr>
              <w:jc w:val="right"/>
              <w:ind w:right="534"/>
              <w:spacing w:after="0" w:line="202" w:lineRule="exact"/>
              <w:rPr>
                <w:sz w:val="20"/>
                <w:szCs w:val="20"/>
                <w:color w:val="auto"/>
              </w:rPr>
            </w:pPr>
            <w:r>
              <w:rPr>
                <w:rFonts w:ascii="Arial" w:cs="Arial" w:eastAsia="Arial" w:hAnsi="Arial"/>
                <w:sz w:val="18"/>
                <w:szCs w:val="18"/>
                <w:color w:val="auto"/>
              </w:rPr>
              <w:t>4.2</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132.5</w:t>
            </w:r>
          </w:p>
        </w:tc>
        <w:tc>
          <w:tcPr>
            <w:tcW w:w="1440" w:type="dxa"/>
            <w:vAlign w:val="bottom"/>
            <w:shd w:val="clear" w:color="auto" w:fill="CCEEFF"/>
          </w:tcPr>
          <w:p>
            <w:pPr>
              <w:jc w:val="right"/>
              <w:ind w:right="494"/>
              <w:spacing w:after="0" w:line="202" w:lineRule="exact"/>
              <w:rPr>
                <w:sz w:val="20"/>
                <w:szCs w:val="20"/>
                <w:color w:val="auto"/>
              </w:rPr>
            </w:pPr>
            <w:r>
              <w:rPr>
                <w:rFonts w:ascii="Arial" w:cs="Arial" w:eastAsia="Arial" w:hAnsi="Arial"/>
                <w:sz w:val="18"/>
                <w:szCs w:val="18"/>
                <w:color w:val="auto"/>
              </w:rPr>
              <w:t>16.0</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14"/>
              <w:spacing w:after="0" w:line="202" w:lineRule="exact"/>
              <w:rPr>
                <w:sz w:val="20"/>
                <w:szCs w:val="20"/>
                <w:color w:val="auto"/>
              </w:rPr>
            </w:pPr>
            <w:r>
              <w:rPr>
                <w:rFonts w:ascii="Arial" w:cs="Arial" w:eastAsia="Arial" w:hAnsi="Arial"/>
                <w:sz w:val="18"/>
                <w:szCs w:val="18"/>
                <w:color w:val="auto"/>
              </w:rPr>
              <w:t>114.2</w:t>
            </w: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Advanced Material Windows &amp; Door Systems</w:t>
            </w:r>
          </w:p>
        </w:tc>
        <w:tc>
          <w:tcPr>
            <w:tcW w:w="540" w:type="dxa"/>
            <w:vAlign w:val="bottom"/>
          </w:tcPr>
          <w:p>
            <w:pPr>
              <w:spacing w:after="0"/>
              <w:rPr>
                <w:sz w:val="17"/>
                <w:szCs w:val="17"/>
                <w:color w:val="auto"/>
              </w:rPr>
            </w:pPr>
          </w:p>
        </w:tc>
        <w:tc>
          <w:tcPr>
            <w:tcW w:w="9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(101.2)</w:t>
            </w:r>
          </w:p>
        </w:tc>
        <w:tc>
          <w:tcPr>
            <w:tcW w:w="1480" w:type="dxa"/>
            <w:vAlign w:val="bottom"/>
          </w:tcPr>
          <w:p>
            <w:pPr>
              <w:jc w:val="right"/>
              <w:ind w:right="534"/>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92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17.6</w:t>
            </w:r>
          </w:p>
        </w:tc>
        <w:tc>
          <w:tcPr>
            <w:tcW w:w="1440" w:type="dxa"/>
            <w:vAlign w:val="bottom"/>
          </w:tcPr>
          <w:p>
            <w:pPr>
              <w:jc w:val="right"/>
              <w:ind w:right="494"/>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100" w:type="dxa"/>
            <w:vAlign w:val="bottom"/>
          </w:tcPr>
          <w:p>
            <w:pPr>
              <w:jc w:val="right"/>
              <w:ind w:right="354"/>
              <w:spacing w:after="0" w:line="202" w:lineRule="exact"/>
              <w:rPr>
                <w:sz w:val="20"/>
                <w:szCs w:val="20"/>
                <w:color w:val="auto"/>
              </w:rPr>
            </w:pPr>
            <w:r>
              <w:rPr>
                <w:rFonts w:ascii="Arial" w:cs="Arial" w:eastAsia="Arial" w:hAnsi="Arial"/>
                <w:sz w:val="18"/>
                <w:szCs w:val="18"/>
                <w:color w:val="auto"/>
              </w:rPr>
              <w:t>(37.5)</w:t>
            </w: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Security &amp; Storage</w:t>
            </w: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62.6</w:t>
            </w:r>
          </w:p>
        </w:tc>
        <w:tc>
          <w:tcPr>
            <w:tcW w:w="1480" w:type="dxa"/>
            <w:vAlign w:val="bottom"/>
            <w:shd w:val="clear" w:color="auto" w:fill="CCEEFF"/>
          </w:tcPr>
          <w:p>
            <w:pPr>
              <w:jc w:val="right"/>
              <w:ind w:right="534"/>
              <w:spacing w:after="0" w:line="202" w:lineRule="exact"/>
              <w:rPr>
                <w:sz w:val="20"/>
                <w:szCs w:val="20"/>
                <w:color w:val="auto"/>
              </w:rPr>
            </w:pPr>
            <w:r>
              <w:rPr>
                <w:rFonts w:ascii="Arial" w:cs="Arial" w:eastAsia="Arial" w:hAnsi="Arial"/>
                <w:sz w:val="18"/>
                <w:szCs w:val="18"/>
                <w:color w:val="auto"/>
              </w:rPr>
              <w:t>15.9</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54.0</w:t>
            </w:r>
          </w:p>
        </w:tc>
        <w:tc>
          <w:tcPr>
            <w:tcW w:w="1440" w:type="dxa"/>
            <w:vAlign w:val="bottom"/>
            <w:shd w:val="clear" w:color="auto" w:fill="CCEEFF"/>
          </w:tcPr>
          <w:p>
            <w:pPr>
              <w:jc w:val="right"/>
              <w:ind w:right="494"/>
              <w:spacing w:after="0" w:line="202" w:lineRule="exact"/>
              <w:rPr>
                <w:sz w:val="20"/>
                <w:szCs w:val="20"/>
                <w:color w:val="auto"/>
              </w:rPr>
            </w:pPr>
            <w:r>
              <w:rPr>
                <w:rFonts w:ascii="Arial" w:cs="Arial" w:eastAsia="Arial" w:hAnsi="Arial"/>
                <w:sz w:val="18"/>
                <w:szCs w:val="18"/>
                <w:color w:val="auto"/>
              </w:rPr>
              <w:t>32.7</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14"/>
              <w:spacing w:after="0" w:line="202" w:lineRule="exact"/>
              <w:rPr>
                <w:sz w:val="20"/>
                <w:szCs w:val="20"/>
                <w:color w:val="auto"/>
              </w:rPr>
            </w:pPr>
            <w:r>
              <w:rPr>
                <w:rFonts w:ascii="Arial" w:cs="Arial" w:eastAsia="Arial" w:hAnsi="Arial"/>
                <w:sz w:val="18"/>
                <w:szCs w:val="18"/>
                <w:color w:val="auto"/>
              </w:rPr>
              <w:t>40.7</w:t>
            </w:r>
          </w:p>
        </w:tc>
      </w:tr>
      <w:tr>
        <w:trPr>
          <w:trHeight w:val="203"/>
        </w:trPr>
        <w:tc>
          <w:tcPr>
            <w:tcW w:w="39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Corporate</w:t>
            </w:r>
            <w:r>
              <w:rPr>
                <w:rFonts w:ascii="Arial" w:cs="Arial" w:eastAsia="Arial" w:hAnsi="Arial"/>
                <w:sz w:val="11"/>
                <w:szCs w:val="11"/>
                <w:color w:val="auto"/>
              </w:rPr>
              <w:t>(a)</w:t>
            </w:r>
          </w:p>
        </w:tc>
        <w:tc>
          <w:tcPr>
            <w:tcW w:w="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4"/>
              <w:spacing w:after="0" w:line="202" w:lineRule="exact"/>
              <w:rPr>
                <w:sz w:val="20"/>
                <w:szCs w:val="20"/>
                <w:color w:val="auto"/>
              </w:rPr>
            </w:pPr>
            <w:r>
              <w:rPr>
                <w:rFonts w:ascii="Arial" w:cs="Arial" w:eastAsia="Arial" w:hAnsi="Arial"/>
                <w:sz w:val="18"/>
                <w:szCs w:val="18"/>
                <w:color w:val="auto"/>
              </w:rPr>
              <w:t>(120.7)</w:t>
            </w:r>
          </w:p>
        </w:tc>
        <w:tc>
          <w:tcPr>
            <w:tcW w:w="1480" w:type="dxa"/>
            <w:vAlign w:val="bottom"/>
            <w:tcBorders>
              <w:bottom w:val="single" w:sz="8" w:color="auto"/>
            </w:tcBorders>
          </w:tcPr>
          <w:p>
            <w:pPr>
              <w:jc w:val="right"/>
              <w:ind w:right="534"/>
              <w:spacing w:after="0" w:line="202"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4"/>
              <w:spacing w:after="0" w:line="202" w:lineRule="exact"/>
              <w:rPr>
                <w:sz w:val="20"/>
                <w:szCs w:val="20"/>
                <w:color w:val="auto"/>
              </w:rPr>
            </w:pPr>
            <w:r>
              <w:rPr>
                <w:rFonts w:ascii="Arial" w:cs="Arial" w:eastAsia="Arial" w:hAnsi="Arial"/>
                <w:sz w:val="18"/>
                <w:szCs w:val="18"/>
                <w:color w:val="auto"/>
              </w:rPr>
              <w:t>(33.9)</w:t>
            </w:r>
          </w:p>
        </w:tc>
        <w:tc>
          <w:tcPr>
            <w:tcW w:w="1440" w:type="dxa"/>
            <w:vAlign w:val="bottom"/>
            <w:tcBorders>
              <w:bottom w:val="single" w:sz="8" w:color="auto"/>
            </w:tcBorders>
          </w:tcPr>
          <w:p>
            <w:pPr>
              <w:jc w:val="right"/>
              <w:ind w:right="494"/>
              <w:spacing w:after="0" w:line="202" w:lineRule="exact"/>
              <w:rPr>
                <w:sz w:val="20"/>
                <w:szCs w:val="20"/>
                <w:color w:val="auto"/>
              </w:rPr>
            </w:pPr>
            <w:r>
              <w:rPr>
                <w:rFonts w:ascii="Arial" w:cs="Arial" w:eastAsia="Arial" w:hAnsi="Arial"/>
                <w:sz w:val="18"/>
                <w:szCs w:val="18"/>
                <w:color w:val="auto"/>
              </w:rPr>
              <w:t>11.3</w:t>
            </w: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4"/>
              <w:spacing w:after="0" w:line="202" w:lineRule="exact"/>
              <w:rPr>
                <w:sz w:val="20"/>
                <w:szCs w:val="20"/>
                <w:color w:val="auto"/>
              </w:rPr>
            </w:pPr>
            <w:r>
              <w:rPr>
                <w:rFonts w:ascii="Arial" w:cs="Arial" w:eastAsia="Arial" w:hAnsi="Arial"/>
                <w:sz w:val="18"/>
                <w:szCs w:val="18"/>
                <w:color w:val="auto"/>
              </w:rPr>
              <w:t>(38.2)</w:t>
            </w:r>
          </w:p>
        </w:tc>
      </w:tr>
      <w:tr>
        <w:trPr>
          <w:trHeight w:val="203"/>
        </w:trPr>
        <w:tc>
          <w:tcPr>
            <w:tcW w:w="3960" w:type="dxa"/>
            <w:vAlign w:val="bottom"/>
            <w:tcBorders>
              <w:bottom w:val="single" w:sz="8" w:color="auto"/>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Home &amp; Security</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74"/>
              <w:spacing w:after="0" w:line="196" w:lineRule="exact"/>
              <w:rPr>
                <w:sz w:val="20"/>
                <w:szCs w:val="20"/>
                <w:color w:val="auto"/>
              </w:rPr>
            </w:pPr>
            <w:r>
              <w:rPr>
                <w:rFonts w:ascii="Arial" w:cs="Arial" w:eastAsia="Arial" w:hAnsi="Arial"/>
                <w:sz w:val="18"/>
                <w:szCs w:val="18"/>
                <w:color w:val="auto"/>
              </w:rPr>
              <w:t>(15.6)</w:t>
            </w:r>
          </w:p>
        </w:tc>
        <w:tc>
          <w:tcPr>
            <w:tcW w:w="1480" w:type="dxa"/>
            <w:vAlign w:val="bottom"/>
            <w:tcBorders>
              <w:bottom w:val="single" w:sz="8" w:color="auto"/>
            </w:tcBorders>
            <w:shd w:val="clear" w:color="auto" w:fill="CCEEFF"/>
          </w:tcPr>
          <w:p>
            <w:pPr>
              <w:jc w:val="right"/>
              <w:ind w:right="314"/>
              <w:spacing w:after="0" w:line="196" w:lineRule="exact"/>
              <w:rPr>
                <w:sz w:val="20"/>
                <w:szCs w:val="20"/>
                <w:color w:val="auto"/>
              </w:rPr>
            </w:pPr>
            <w:r>
              <w:rPr>
                <w:rFonts w:ascii="Arial" w:cs="Arial" w:eastAsia="Arial" w:hAnsi="Arial"/>
                <w:sz w:val="18"/>
                <w:szCs w:val="18"/>
                <w:color w:val="auto"/>
              </w:rPr>
              <w:t>(107.9)%</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234"/>
              <w:spacing w:after="0" w:line="196" w:lineRule="exact"/>
              <w:rPr>
                <w:sz w:val="20"/>
                <w:szCs w:val="20"/>
                <w:color w:val="auto"/>
              </w:rPr>
            </w:pPr>
            <w:r>
              <w:rPr>
                <w:rFonts w:ascii="Arial" w:cs="Arial" w:eastAsia="Arial" w:hAnsi="Arial"/>
                <w:sz w:val="18"/>
                <w:szCs w:val="18"/>
                <w:color w:val="auto"/>
              </w:rPr>
              <w:t>198.4</w:t>
            </w:r>
          </w:p>
        </w:tc>
        <w:tc>
          <w:tcPr>
            <w:tcW w:w="1440" w:type="dxa"/>
            <w:vAlign w:val="bottom"/>
            <w:tcBorders>
              <w:bottom w:val="single" w:sz="8" w:color="auto"/>
            </w:tcBorders>
            <w:shd w:val="clear" w:color="auto" w:fill="CCEEFF"/>
          </w:tcPr>
          <w:p>
            <w:pPr>
              <w:jc w:val="right"/>
              <w:ind w:right="494"/>
              <w:spacing w:after="0" w:line="196" w:lineRule="exact"/>
              <w:rPr>
                <w:sz w:val="20"/>
                <w:szCs w:val="20"/>
                <w:color w:val="auto"/>
              </w:rPr>
            </w:pPr>
            <w:r>
              <w:rPr>
                <w:rFonts w:ascii="Arial" w:cs="Arial" w:eastAsia="Arial" w:hAnsi="Arial"/>
                <w:sz w:val="18"/>
                <w:szCs w:val="18"/>
                <w:color w:val="auto"/>
              </w:rPr>
              <w:t>266.7</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414"/>
              <w:spacing w:after="0" w:line="196" w:lineRule="exact"/>
              <w:rPr>
                <w:sz w:val="20"/>
                <w:szCs w:val="20"/>
                <w:color w:val="auto"/>
              </w:rPr>
            </w:pPr>
            <w:r>
              <w:rPr>
                <w:rFonts w:ascii="Arial" w:cs="Arial" w:eastAsia="Arial" w:hAnsi="Arial"/>
                <w:sz w:val="18"/>
                <w:szCs w:val="18"/>
                <w:color w:val="auto"/>
              </w:rPr>
              <w:t>54.1</w:t>
            </w:r>
          </w:p>
        </w:tc>
      </w:tr>
    </w:tbl>
    <w:p>
      <w:pPr>
        <w:spacing w:after="0" w:line="80" w:lineRule="exact"/>
        <w:rPr>
          <w:sz w:val="20"/>
          <w:szCs w:val="20"/>
          <w:color w:val="auto"/>
        </w:rPr>
      </w:pPr>
    </w:p>
    <w:p>
      <w:pPr>
        <w:ind w:left="220" w:right="100" w:hanging="212"/>
        <w:spacing w:after="0" w:line="198" w:lineRule="auto"/>
        <w:tabs>
          <w:tab w:leader="none" w:pos="22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Corporate expenses include allocations of certain Former Parent general corporate expenses incurred directly by our Former Parent. These allocated expenses include costs associated with legal, finance, treasury, accounting, internal audit and general management services. Corporate expenses also include the components of defined benefit plan expense other than service cost which totaled expense (income) of $74.2 million, $(4.8) million and $(1.2) million for the years ended December 31, 2011, 2010 and 2009, respectively. There are no amounts that are the elimination or reversal of transactions between reportable segments.</w:t>
      </w:r>
    </w:p>
    <w:p>
      <w:pPr>
        <w:spacing w:after="0" w:line="153"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Certain items had a significant impact on our results in 2011, 2010 and 2009. These included defined benefit plan recognition of actuarial losses and gains, asset impairment charges, restructuring and other charges and the impact of changes in foreign currency exchange rates.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In 2011, financial results included:</w:t>
      </w:r>
    </w:p>
    <w:p>
      <w:pPr>
        <w:spacing w:after="0" w:line="77" w:lineRule="exact"/>
        <w:rPr>
          <w:sz w:val="20"/>
          <w:szCs w:val="20"/>
          <w:color w:val="auto"/>
        </w:rPr>
      </w:pPr>
    </w:p>
    <w:p>
      <w:pPr>
        <w:ind w:left="460" w:right="520" w:hanging="452"/>
        <w:spacing w:after="0" w:line="23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defined benefit plan recognition of actuarial losses in 2011 of $80.0 million compared to gains of $3.5 million in 2010, primarily due to a decrease in the discount rate as well as a lower than expected rate of return on pension plan assets,</w:t>
      </w:r>
    </w:p>
    <w:p>
      <w:pPr>
        <w:spacing w:after="0" w:line="73" w:lineRule="exact"/>
        <w:rPr>
          <w:rFonts w:ascii="Arial" w:cs="Arial" w:eastAsia="Arial" w:hAnsi="Arial"/>
          <w:sz w:val="18"/>
          <w:szCs w:val="18"/>
          <w:color w:val="auto"/>
        </w:rPr>
      </w:pPr>
    </w:p>
    <w:p>
      <w:pPr>
        <w:ind w:left="460" w:right="40" w:hanging="452"/>
        <w:spacing w:after="0" w:line="236"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asset impairment charges of $90.0 million before tax ($55.3 million after tax) associated with the Advanced Material Windows &amp; Door Systems segment, primarily as the result of reduced revenue growth and profit margin expectations associated with our Simonton tradename over the next two to three years. Our revenue and profit margin expectations were lowered based upon the results of our annual planning process that was completed in the fourth quarter and included consideration of our actual fourth quarter 2011 results, including lower 2011 sales due to the expiration of U.S. tax incentives for purchases of energy-efficient home products, as well as our projection of the recovery of the U.S. home products market,</w:t>
      </w:r>
    </w:p>
    <w:p>
      <w:pPr>
        <w:spacing w:after="0" w:line="75" w:lineRule="exact"/>
        <w:rPr>
          <w:rFonts w:ascii="Arial" w:cs="Arial" w:eastAsia="Arial" w:hAnsi="Arial"/>
          <w:sz w:val="18"/>
          <w:szCs w:val="18"/>
          <w:color w:val="auto"/>
        </w:rPr>
      </w:pPr>
    </w:p>
    <w:p>
      <w:pPr>
        <w:ind w:left="460" w:right="100" w:hanging="452"/>
        <w:spacing w:after="0" w:line="23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restructuring and other charges of $20.0 million before tax ($12.5 million after tax) associated with cabinet and window manufacturing facility closures,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separation costs of $2.4 million and</w:t>
      </w:r>
    </w:p>
    <w:p>
      <w:pPr>
        <w:spacing w:after="0" w:line="76" w:lineRule="exact"/>
        <w:rPr>
          <w:rFonts w:ascii="Arial" w:cs="Arial" w:eastAsia="Arial" w:hAnsi="Arial"/>
          <w:sz w:val="18"/>
          <w:szCs w:val="18"/>
          <w:color w:val="auto"/>
        </w:rPr>
      </w:pPr>
    </w:p>
    <w:p>
      <w:pPr>
        <w:ind w:left="460" w:hanging="452"/>
        <w:spacing w:after="0" w:line="23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foreign exchange, which had a favorable impact compared to 2010, of approximately $20 million on net sales, approximately $5 million on operating income and approximately $1 million on net income. The effects of foreign exchange on the Company’s results are principally associated with movements in the Canadian dollar and the Euro.</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 2010, financial results included:</w:t>
      </w:r>
    </w:p>
    <w:p>
      <w:pPr>
        <w:spacing w:after="0" w:line="77" w:lineRule="exact"/>
        <w:rPr>
          <w:sz w:val="20"/>
          <w:szCs w:val="20"/>
          <w:color w:val="auto"/>
        </w:rPr>
      </w:pPr>
    </w:p>
    <w:p>
      <w:pPr>
        <w:ind w:left="460" w:right="760" w:hanging="452"/>
        <w:spacing w:after="0" w:line="23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restructuring and other charges of $12.5 million before tax ($8.5 million after tax) associated with product line integration and facility consolidations and</w:t>
      </w:r>
    </w:p>
    <w:p>
      <w:pPr>
        <w:spacing w:after="0" w:line="73" w:lineRule="exact"/>
        <w:rPr>
          <w:rFonts w:ascii="Arial" w:cs="Arial" w:eastAsia="Arial" w:hAnsi="Arial"/>
          <w:sz w:val="18"/>
          <w:szCs w:val="18"/>
          <w:color w:val="auto"/>
        </w:rPr>
      </w:pPr>
    </w:p>
    <w:p>
      <w:pPr>
        <w:ind w:left="460" w:right="60" w:hanging="452"/>
        <w:spacing w:after="0" w:line="23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foreign exchange, which had a favorable impact compared to 2009, of approximately $40 million on net sales, approximately $15 million on operating income and approximately $10 million on net income. The effects of foreign exchange on the Company’s results are principally associated with movements in the Canadian dollar and the Euro.</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 2009, financial results included:</w:t>
      </w:r>
    </w:p>
    <w:p>
      <w:pPr>
        <w:spacing w:after="0" w:line="77" w:lineRule="exact"/>
        <w:rPr>
          <w:sz w:val="20"/>
          <w:szCs w:val="20"/>
          <w:color w:val="auto"/>
        </w:rPr>
      </w:pPr>
    </w:p>
    <w:p>
      <w:pPr>
        <w:ind w:left="460" w:hanging="452"/>
        <w:spacing w:after="0" w:line="23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restructuring and other charges of $52.0 million before tax ($27.5 million after tax) associated with supply chain realignment and capacity and cost reduction initiatives, including the announced closure of seven U.S. manufacturing facilities, as well as workforce reductions.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2011 Compared to 2010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Home &amp; Security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76"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Net sales increased $95.1 million, or 3%, to $3,328.6 million. The increase was primarily due to expanding relationships with key customers, new product introductions, the impact of price increases to help mitigate raw material and transportation cost increases, and an approximately $20 million impact of favorable foreign currency. These increases were partially offset by weaker market conditions, including the impact of expiring governmental tax incentives in the U.S. and Canada in 2010, and higher promotional spending.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products sold</w:t>
      </w:r>
    </w:p>
    <w:p>
      <w:pPr>
        <w:spacing w:after="0" w:line="176"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Cost of products sold increased $155.0 million, or 7%, primarily due to recognition of actuarial losses related to defined benefit plans (a $41.0 million loss in 2011 compared to a $2.5 million gain in 2010), higher sales, increased raw material costs (mainly for brass, steel, wood and resins) and costs to support new product introductions. The increase was partially offset by the benefit of productivity initiatives.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6" w:lineRule="exact"/>
        <w:rPr>
          <w:sz w:val="20"/>
          <w:szCs w:val="20"/>
          <w:color w:val="auto"/>
        </w:rPr>
      </w:pPr>
    </w:p>
    <w:p>
      <w:pPr>
        <w:ind w:right="420"/>
        <w:spacing w:after="0" w:line="236" w:lineRule="auto"/>
        <w:rPr>
          <w:sz w:val="20"/>
          <w:szCs w:val="20"/>
          <w:color w:val="auto"/>
        </w:rPr>
      </w:pPr>
      <w:r>
        <w:rPr>
          <w:rFonts w:ascii="Arial" w:cs="Arial" w:eastAsia="Arial" w:hAnsi="Arial"/>
          <w:sz w:val="18"/>
          <w:szCs w:val="18"/>
          <w:color w:val="auto"/>
        </w:rPr>
        <w:t>Selling, general and administrative expenses increased $66.3 million, or 8%, primarily due to recognition of actuarial losses related to defined benefit plans (a $39.0 million loss in 2011 compared to a $1.0 million gain in 2010), planned increases in strategic spending to support growth initiatives and new product introductions, as well as higher transportation costs. These increases were partially offset by a lower allocation of general administrative expenses from our Former Parent and other expense reductions. In addition, expense comparisons were unfavorably impacted by the 2010 favorable resolution of litigation (approximately $8 million).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 assets</w:t>
      </w:r>
    </w:p>
    <w:p>
      <w:pPr>
        <w:spacing w:after="0" w:line="176"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Amortization of intangible assets decreased $1.3 million due to a customer relationship intangible that was fully amortized in the third quarter of 2010.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176"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Restructuring charges were $4.7 million and $8.0 million in the year ended December 31, 2011 and 2010, respectively. The 2011 charges related to cabinet and window manufacturing facility closures.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 charges</w:t>
      </w:r>
    </w:p>
    <w:p>
      <w:pPr>
        <w:spacing w:after="0" w:line="176"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In the fourth quarter of 2011, we recorded asset impairment charges of $90.0 million ($55.3 million after tax) related to indefinite-lived tradenames in the Advanced Material Windows &amp; Door Systems segment. These charges were primarily the result of reduced revenue growth and profit margin expectations associated with our Simonton tradename over the next two to three years. Our revenue and profit margin expectations were lowered based upon the results of our annual planning process that was completed in the fourth quarter and included consideration of our actual fourth quarter 2011 results, including lower 2011 sales due to the expiration of U.S. tax incentives for purchases of energy-efficient home products, as well as our projection of the recovery of the U.S. home products market. We did not record asset impairment charges in 2010.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separation costs</w:t>
      </w:r>
    </w:p>
    <w:p>
      <w:pPr>
        <w:spacing w:after="0" w:line="176" w:lineRule="exact"/>
        <w:rPr>
          <w:sz w:val="20"/>
          <w:szCs w:val="20"/>
          <w:color w:val="auto"/>
        </w:rPr>
      </w:pPr>
    </w:p>
    <w:p>
      <w:pPr>
        <w:ind w:right="760"/>
        <w:spacing w:after="0" w:line="239" w:lineRule="auto"/>
        <w:rPr>
          <w:sz w:val="20"/>
          <w:szCs w:val="20"/>
          <w:color w:val="auto"/>
        </w:rPr>
      </w:pPr>
      <w:r>
        <w:rPr>
          <w:rFonts w:ascii="Arial" w:cs="Arial" w:eastAsia="Arial" w:hAnsi="Arial"/>
          <w:sz w:val="18"/>
          <w:szCs w:val="18"/>
          <w:color w:val="auto"/>
        </w:rPr>
        <w:t>We recorded $2.4 million of business separation costs during the year ended December 31, 2011 related to non-cash non-recurring costs associated with the modification of outstanding share-based compensation awards as a result of the Separation.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(loss) income</w:t>
      </w:r>
    </w:p>
    <w:p>
      <w:pPr>
        <w:spacing w:after="0" w:line="17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Operating (loss) income decreased $214.0 million, to a loss of $15.6 million, primarily due to asset impairment charges of $90.0 million, recognition of actuarial losses related to defined benefit plans ($80.0 million), and higher raw material and transportation costs (approximately $75 million). Operating income also decreased due to higher promotional spending and business separation costs, and an unfavorable comparison to the 2010 favorable resolution of litigation (approximately $8 million). Operating income benefited from higher sales, price increases and productivity initiatives.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interest expense, net</w:t>
      </w:r>
    </w:p>
    <w:p>
      <w:pPr>
        <w:spacing w:after="0" w:line="176"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Related party interest expense, net, was $23.2 million in the year ended December 31, 2011 compared to $116.0 million in 2010. The decrease of $92.8 million was predominantly due to the capitalization of a substantial majority of intercompany loans with our Former Parent in the first quarter of 2011.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interest expense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External interest expense increased $2.9 million due to external borrowings in the fourth quarter of 2011 as a stand-alone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176" w:lineRule="exact"/>
        <w:rPr>
          <w:sz w:val="20"/>
          <w:szCs w:val="20"/>
          <w:color w:val="auto"/>
        </w:rPr>
      </w:pPr>
    </w:p>
    <w:p>
      <w:pPr>
        <w:jc w:val="both"/>
        <w:ind w:right="140"/>
        <w:spacing w:after="0" w:line="281" w:lineRule="auto"/>
        <w:rPr>
          <w:sz w:val="20"/>
          <w:szCs w:val="20"/>
          <w:color w:val="auto"/>
        </w:rPr>
      </w:pPr>
      <w:r>
        <w:rPr>
          <w:rFonts w:ascii="Arial" w:cs="Arial" w:eastAsia="Arial" w:hAnsi="Arial"/>
          <w:sz w:val="16"/>
          <w:szCs w:val="16"/>
          <w:color w:val="auto"/>
        </w:rPr>
        <w:t>Other expense (income), net, was expense of $1.6 million in the year ended December 31, 2011 compared to income of $1.0 million in 2010. The $2.6 million change was primarily due to net foreign currency transaction losses in 2011 compared to gains in 2010. Other expense, net includes non-operating income and expense, such as interest income and transaction gains/losses related to foreign currency-denominated transactions.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76"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The effective income tax rates, calculated as if the Company were a separate taxpayer, for the years ended December 31, 2011 and 2010 were 20.6% and 21.8%, respectively. The effective tax rate in 2011 was unfavorably impacted due to the recording of valuation allowances related to state and foreign net operating loss carryforwards and an income tax expense on foreign dividends, $9.1 million of which related to foreign dividends received in preparation for the Separation. The 2011 effective rate was favorably impacted by a tax benefit related to the conclusion of foreign and state income tax audits and enacted changes in state tax laws. The effective tax rate in 2010 was favorably impacted by a tax benefit related to final settlement of a U.S. federal income tax audit covering the 2004 to 2007 years. See Note 13, “Income Taxes,” for further detail.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Noncontrolling interest expense was $1.0 million in the year ended December 31, 2011 compared to $1.2 million in 2010.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income attributable to Home &amp; Security</w:t>
      </w:r>
    </w:p>
    <w:p>
      <w:pPr>
        <w:spacing w:after="0" w:line="176"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net (loss) income attributable to Home &amp; Security was a net loss of $35.6 million in the year ended December 31, 2011 compared to net income of $63.8 million in 2010. The $99.4 million decrease in net income was primarily due to recognition of defined benefit plan actuarial losses in 2011 (approximately $52 million net impact) and lower operating income, at least in part due to tradename impairment charges ($55.3 million), as well as a higher effective income tax rate. Net income benefited from lower related party interest expense (net).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Kitchen &amp; Bath Cabinetry</w:t>
      </w:r>
    </w:p>
    <w:p>
      <w:pPr>
        <w:spacing w:after="0" w:line="180"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Net sales increased $67.5 million, or 6%, primarily due to higher sales volume as a result of new business with key customers awarded in 2010, new product introductions and approximately $10 million of favorable foreign exchange. Net sales were unfavorably impacted by a weak market for big-ticket remodeling and new construction, due in part to the absence of first-time new homebuyer tax credits that expired on April 30, 2010.</w:t>
      </w:r>
    </w:p>
    <w:p>
      <w:pPr>
        <w:spacing w:after="0" w:line="12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Operating income decreased $22.5 million, or 80%, primarily due to higher promotional spending, increased costs for raw materials (wood-related) and transportation, and $10.2 million of higher restructuring and other charges. These increased expenses were partially offset by higher sales volume and the benefit of price increases. Increased costs to support new business and long-term growth initiatives were partially offset by productivity initiatives.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Plumbing &amp; Accessories</w:t>
      </w:r>
    </w:p>
    <w:p>
      <w:pPr>
        <w:spacing w:after="0" w:line="18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Net sales increased $39.0 million, or 4%, primarily due to new product introductions in the U.S., higher sales in China and approximately $10 million of favorable foreign exchange. Net sales were unfavorably impacted by market weakness caused in part by the expiration of governmental tax incentives in 2010 in the U.S. and Canada, as well as lower year-over-year customer inventory levels.</w:t>
      </w:r>
    </w:p>
    <w:p>
      <w:pPr>
        <w:spacing w:after="0" w:line="15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Operating income increased $5.5 million, or 4%, primarily due to higher sales. Operating income was unfavorably impacted by higher costs for raw materials (brass, zinc, stainless steel and resins), net of price increases. Strategic investments to support new business and long-term growth initiatives were offset by the benefit of productivity improvements.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Material Windows &amp; Door Systems</w:t>
      </w:r>
    </w:p>
    <w:p>
      <w:pPr>
        <w:spacing w:after="0" w:line="180"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Net sales decreased $47.8 million, or 8%, primarily due to market weakness caused by the expiration in December 2010 of U.S. tax incentives for purchases of energy-efficient home products.</w:t>
      </w:r>
    </w:p>
    <w:p>
      <w:pPr>
        <w:spacing w:after="0" w:line="155"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Operating income decreased $118.8 million to a loss of $101.2 million, primarily due to asset impairment charges of $90.0 million recorded in the fourth quarter of 2011. These charges were primarily the result of reduced revenue growth and profit margin expectations associated with our Simonton tradename over the next two to three years. Our revenue and profit margin expectations were lowered based upon the results of our annual planning process that was completed in the fourth quarter and included consideration of our actual fourth quarter 2011 results, including lower 2011 sales due to the expiration of U.S. tax incentives for purchases of energy-efficient home products, as well as our projection of the recovery of the U.S. home products market. In addition, operating income decreased due to lower sales, unfavorable mix and higher raw material (steel and resins) and transportation costs, which were partially offset by the benefit of price increases. Operating income benefited from productivity initiatives.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&amp; Storage</w:t>
      </w:r>
    </w:p>
    <w:p>
      <w:pPr>
        <w:spacing w:after="0" w:line="180"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Net sales increased $36.4 million, or 7%, primarily due to strong growth in the safety and international padlock categories and new garage organization product introductions, partially offset by lower sales of tool storage products.</w:t>
      </w:r>
    </w:p>
    <w:p>
      <w:pPr>
        <w:spacing w:after="0" w:line="15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Operating income increased $8.6 million, or 16%, primarily due to productivity initiatives, increased volume and the absence of $7.0 million of 2010 restructuring and other charges. Higher steel and brass costs were largely offset through price increases. In addition, the operating income comparison in 2011 was unfavorably impacted by the 2010 favorable resolution of litigation (approximately $8 million).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18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Corporate expenses increased $86.8 million, primarily due to the recognition of defined benefit plan actuarial losses of $80.0 million. In addition, we recorded $2.4 million of non-cash non-recurring costs associated with the modification of share-based compensation awards as a result of the Separation and expenses related to transitioning to a stand-alone company.</w:t>
      </w:r>
    </w:p>
    <w:p>
      <w:pPr>
        <w:spacing w:after="0" w:line="154"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In future periods the Company may record material expense or income associated with actuarial gains and losses arising from periodic remeasurement of its liabilities for defined benefit plans. In 2011 such actuarial losses totaled $80.0 million. At a minimum the Company will remeasure its defined benefit plan liabilities in the fourth quarter of each year. Remeasurement of these liabilities in the fourth quarter attributable to updating liability discount rate and expected return on pension plan assets may, in particular, result in material income or expense recognition.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Corporate expenses include allocations of certain Former Parent general corporate expenses incurred directly by our Former Parent. These allocated expenses include costs associated with legal, finance, treasury, accounting, internal audit and general management services. During the years ended December 31, 2011, 2010 and 2009, these allocations totaled $23.4 million, $32.0 million and $34.2 million, respectively. The 2011 allocation is for nine months only (January 1, 2011 through the date of the Separation) because Home &amp; Security became an independent company on October 3, 2011. Corporate expenses also include the components of defined benefit plan expense other than service cost. The Company estimates that it would have incurred approximately $14 million of incremental corporate expenses if it had functioned as an independent stand-alone public company for the year ended December 31, 2011 and approximately $20 million of incremental costs for the year ended December 31, 2010.</w:t>
      </w:r>
    </w:p>
    <w:p>
      <w:pPr>
        <w:spacing w:after="0" w:line="172" w:lineRule="exact"/>
        <w:rPr>
          <w:sz w:val="20"/>
          <w:szCs w:val="20"/>
          <w:color w:val="auto"/>
        </w:rPr>
      </w:pPr>
    </w:p>
    <w:tbl>
      <w:tblPr>
        <w:tblLayout w:type="fixed"/>
        <w:tblInd w:w="1380" w:type="dxa"/>
        <w:tblCellMar>
          <w:top w:w="0" w:type="dxa"/>
          <w:left w:w="0" w:type="dxa"/>
          <w:bottom w:w="0" w:type="dxa"/>
          <w:right w:w="0" w:type="dxa"/>
        </w:tblCellMar>
      </w:tblPr>
      <w:tr>
        <w:trPr>
          <w:trHeight w:val="405"/>
        </w:trPr>
        <w:tc>
          <w:tcPr>
            <w:tcW w:w="5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i w:val="1"/>
                <w:iCs w:val="1"/>
                <w:color w:val="auto"/>
              </w:rPr>
              <w:t>(In millions)</w:t>
            </w:r>
          </w:p>
        </w:tc>
        <w:tc>
          <w:tcPr>
            <w:tcW w:w="9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right w:val="single" w:sz="8" w:color="auto"/>
            </w:tcBorders>
          </w:tcPr>
          <w:p>
            <w:pPr>
              <w:jc w:val="right"/>
              <w:ind w:right="455"/>
              <w:spacing w:after="0"/>
              <w:rPr>
                <w:sz w:val="20"/>
                <w:szCs w:val="20"/>
                <w:color w:val="auto"/>
              </w:rPr>
            </w:pPr>
            <w:r>
              <w:rPr>
                <w:rFonts w:ascii="Arial" w:cs="Arial" w:eastAsia="Arial" w:hAnsi="Arial"/>
                <w:sz w:val="14"/>
                <w:szCs w:val="14"/>
                <w:i w:val="1"/>
                <w:iCs w:val="1"/>
                <w:color w:val="auto"/>
              </w:rPr>
              <w:t>2011</w:t>
            </w:r>
          </w:p>
        </w:tc>
        <w:tc>
          <w:tcPr>
            <w:tcW w:w="68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color w:val="auto"/>
              </w:rPr>
              <w:t>2010</w:t>
            </w:r>
          </w:p>
        </w:tc>
      </w:tr>
      <w:tr>
        <w:trPr>
          <w:trHeight w:val="196"/>
        </w:trPr>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Corporate expenses:</w:t>
            </w:r>
          </w:p>
        </w:tc>
        <w:tc>
          <w:tcPr>
            <w:tcW w:w="90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395"/>
              <w:spacing w:after="0" w:line="202" w:lineRule="exact"/>
              <w:rPr>
                <w:sz w:val="20"/>
                <w:szCs w:val="20"/>
                <w:color w:val="auto"/>
              </w:rPr>
            </w:pPr>
            <w:r>
              <w:rPr>
                <w:rFonts w:ascii="Arial" w:cs="Arial" w:eastAsia="Arial" w:hAnsi="Arial"/>
                <w:sz w:val="18"/>
                <w:szCs w:val="18"/>
                <w:color w:val="auto"/>
              </w:rPr>
              <w:t>(20.7)</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(6.7)</w:t>
            </w: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Business separation costs</w:t>
            </w:r>
          </w:p>
        </w:tc>
        <w:tc>
          <w:tcPr>
            <w:tcW w:w="90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395"/>
              <w:spacing w:after="0" w:line="202" w:lineRule="exact"/>
              <w:rPr>
                <w:sz w:val="20"/>
                <w:szCs w:val="20"/>
                <w:color w:val="auto"/>
              </w:rPr>
            </w:pPr>
            <w:r>
              <w:rPr>
                <w:rFonts w:ascii="Arial" w:cs="Arial" w:eastAsia="Arial" w:hAnsi="Arial"/>
                <w:sz w:val="18"/>
                <w:szCs w:val="18"/>
                <w:color w:val="auto"/>
              </w:rPr>
              <w:t>(2.4)</w:t>
            </w: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w:t>
            </w: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Former Parent general &amp; administrative expense allocation</w:t>
            </w:r>
          </w:p>
        </w:tc>
        <w:tc>
          <w:tcPr>
            <w:tcW w:w="900" w:type="dxa"/>
            <w:vAlign w:val="bottom"/>
          </w:tcPr>
          <w:p>
            <w:pPr>
              <w:spacing w:after="0"/>
              <w:rPr>
                <w:sz w:val="17"/>
                <w:szCs w:val="17"/>
                <w:color w:val="auto"/>
              </w:rPr>
            </w:pPr>
          </w:p>
        </w:tc>
        <w:tc>
          <w:tcPr>
            <w:tcW w:w="1060" w:type="dxa"/>
            <w:vAlign w:val="bottom"/>
            <w:tcBorders>
              <w:right w:val="single" w:sz="8" w:color="auto"/>
            </w:tcBorders>
          </w:tcPr>
          <w:p>
            <w:pPr>
              <w:jc w:val="right"/>
              <w:ind w:right="395"/>
              <w:spacing w:after="0" w:line="202" w:lineRule="exact"/>
              <w:rPr>
                <w:sz w:val="20"/>
                <w:szCs w:val="20"/>
                <w:color w:val="auto"/>
              </w:rPr>
            </w:pPr>
            <w:r>
              <w:rPr>
                <w:rFonts w:ascii="Arial" w:cs="Arial" w:eastAsia="Arial" w:hAnsi="Arial"/>
                <w:sz w:val="18"/>
                <w:szCs w:val="18"/>
                <w:color w:val="auto"/>
              </w:rPr>
              <w:t>(23.4)</w:t>
            </w:r>
          </w:p>
        </w:tc>
        <w:tc>
          <w:tcPr>
            <w:tcW w:w="680" w:type="dxa"/>
            <w:vAlign w:val="bottom"/>
          </w:tcPr>
          <w:p>
            <w:pPr>
              <w:spacing w:after="0"/>
              <w:rPr>
                <w:sz w:val="17"/>
                <w:szCs w:val="17"/>
                <w:color w:val="auto"/>
              </w:rPr>
            </w:pPr>
          </w:p>
        </w:tc>
        <w:tc>
          <w:tcPr>
            <w:tcW w:w="660" w:type="dxa"/>
            <w:vAlign w:val="bottom"/>
          </w:tcPr>
          <w:p>
            <w:pPr>
              <w:jc w:val="right"/>
              <w:ind w:right="115"/>
              <w:spacing w:after="0" w:line="202" w:lineRule="exact"/>
              <w:rPr>
                <w:sz w:val="20"/>
                <w:szCs w:val="20"/>
                <w:color w:val="auto"/>
              </w:rPr>
            </w:pPr>
            <w:r>
              <w:rPr>
                <w:rFonts w:ascii="Arial" w:cs="Arial" w:eastAsia="Arial" w:hAnsi="Arial"/>
                <w:sz w:val="18"/>
                <w:szCs w:val="18"/>
                <w:color w:val="auto"/>
                <w:w w:val="93"/>
              </w:rPr>
              <w:t>(32.0)</w:t>
            </w: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Defined benefit plan costs</w:t>
            </w:r>
          </w:p>
        </w:tc>
        <w:tc>
          <w:tcPr>
            <w:tcW w:w="90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455"/>
              <w:spacing w:after="0" w:line="202" w:lineRule="exact"/>
              <w:rPr>
                <w:sz w:val="20"/>
                <w:szCs w:val="20"/>
                <w:color w:val="auto"/>
              </w:rPr>
            </w:pPr>
            <w:r>
              <w:rPr>
                <w:rFonts w:ascii="Arial" w:cs="Arial" w:eastAsia="Arial" w:hAnsi="Arial"/>
                <w:sz w:val="18"/>
                <w:szCs w:val="18"/>
                <w:color w:val="auto"/>
              </w:rPr>
              <w:t>5.8</w:t>
            </w: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1.3</w:t>
            </w:r>
          </w:p>
        </w:tc>
      </w:tr>
      <w:tr>
        <w:trPr>
          <w:trHeight w:val="203"/>
        </w:trPr>
        <w:tc>
          <w:tcPr>
            <w:tcW w:w="53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Defined benefit plan recognition of actuarial (losses) gains</w:t>
            </w:r>
          </w:p>
        </w:tc>
        <w:tc>
          <w:tcPr>
            <w:tcW w:w="9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jc w:val="right"/>
              <w:ind w:right="395"/>
              <w:spacing w:after="0" w:line="202" w:lineRule="exact"/>
              <w:rPr>
                <w:sz w:val="20"/>
                <w:szCs w:val="20"/>
                <w:color w:val="auto"/>
              </w:rPr>
            </w:pPr>
            <w:r>
              <w:rPr>
                <w:rFonts w:ascii="Arial" w:cs="Arial" w:eastAsia="Arial" w:hAnsi="Arial"/>
                <w:sz w:val="18"/>
                <w:szCs w:val="18"/>
                <w:color w:val="auto"/>
              </w:rPr>
              <w:t>(80.0)</w:t>
            </w:r>
          </w:p>
        </w:tc>
        <w:tc>
          <w:tcPr>
            <w:tcW w:w="6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5"/>
              <w:spacing w:after="0" w:line="202" w:lineRule="exact"/>
              <w:rPr>
                <w:sz w:val="20"/>
                <w:szCs w:val="20"/>
                <w:color w:val="auto"/>
              </w:rPr>
            </w:pPr>
            <w:r>
              <w:rPr>
                <w:rFonts w:ascii="Arial" w:cs="Arial" w:eastAsia="Arial" w:hAnsi="Arial"/>
                <w:sz w:val="18"/>
                <w:szCs w:val="18"/>
                <w:color w:val="auto"/>
              </w:rPr>
              <w:t>3.5</w:t>
            </w:r>
          </w:p>
        </w:tc>
      </w:tr>
      <w:tr>
        <w:trPr>
          <w:trHeight w:val="203"/>
        </w:trPr>
        <w:tc>
          <w:tcPr>
            <w:tcW w:w="5380" w:type="dxa"/>
            <w:vAlign w:val="bottom"/>
            <w:tcBorders>
              <w:bottom w:val="single" w:sz="8" w:color="auto"/>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Corporate expenses</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shd w:val="clear" w:color="auto" w:fill="CCEEFF"/>
          </w:tcPr>
          <w:p>
            <w:pPr>
              <w:jc w:val="right"/>
              <w:ind w:right="395"/>
              <w:spacing w:after="0" w:line="196" w:lineRule="exact"/>
              <w:rPr>
                <w:sz w:val="20"/>
                <w:szCs w:val="20"/>
                <w:color w:val="auto"/>
              </w:rPr>
            </w:pPr>
            <w:r>
              <w:rPr>
                <w:rFonts w:ascii="Arial" w:cs="Arial" w:eastAsia="Arial" w:hAnsi="Arial"/>
                <w:sz w:val="18"/>
                <w:szCs w:val="18"/>
                <w:color w:val="auto"/>
                <w:w w:val="98"/>
              </w:rPr>
              <w:t>(120.7)</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15"/>
              <w:spacing w:after="0" w:line="196" w:lineRule="exact"/>
              <w:rPr>
                <w:sz w:val="20"/>
                <w:szCs w:val="20"/>
                <w:color w:val="auto"/>
              </w:rPr>
            </w:pPr>
            <w:r>
              <w:rPr>
                <w:rFonts w:ascii="Arial" w:cs="Arial" w:eastAsia="Arial" w:hAnsi="Arial"/>
                <w:sz w:val="18"/>
                <w:szCs w:val="18"/>
                <w:color w:val="auto"/>
                <w:w w:val="93"/>
              </w:rPr>
              <w:t>(33.9)</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2010 Compared to 2009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Home &amp; Security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76"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Net sales increased $226.7 million, or 8%, to $3.2 billion, predominantly volume driven due to expanding relationships with key customers, new product introductions, higher international sales and relatively flat market conditions in the U.S. Net sales also benefited from favorable foreign exchange (approximately $40 million). Net sales were unfavorably impacted by one less shipping week in the Kitchen &amp; Bath Cabinetry and Advanced Material Windows &amp; Door Systems segments (approximately $13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products sold</w:t>
      </w:r>
    </w:p>
    <w:p>
      <w:pPr>
        <w:spacing w:after="0" w:line="17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Cost of products sold increased $75.4 million, or 4%, primarily due to higher sales across all segments, as well as increased raw material and transportation costs. These increases were partially offset by favorable operating leverage, lower other charges related to restructuring programs in 2010 compared to 2009 ($25.1 million, primarily in the Kitchen &amp; Bath Cabinetry and Advanced Material Windows &amp; Door Systems segments), and the impact of cost reduction initiatives across all segments.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6"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Selling, general and administrative expenses increased $21.2 million, or 3%, primarily due to increased sales and higher levels of advertising and promotional spending to support long-term growth, new product launches and new business, particularly in the Kitchen &amp; Bath Cabinetry and Plumbing &amp; Accessories segments, as well as higher compensation and benefit costs. This increase was partially offset by the favorable impact from resolution of litigation (approximately $8 million of income in 2010 compared to approximately $8 million of expense in 2009).</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17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2010, we recorded restructuring charges of $8.0 million compared to $21.8 million in 2009. Restructuring charges in 2010 primarily related to product line integration and facility consolidation in the Security &amp; Storage segment. These charges primarily consisted of $4.9 million for workforce reductions compared to $11.7 million in 2009. Restructuring charges in 2009 primarily related to workforce reductions, including the announced closure of seven manufacturing facilities. We did not announce any additional manufacturing facility closures in 2010.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7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Operating income increased $144.3 million to $198.4 million, primarily due to higher net sales in all segments and related favorable operating leverage, lower restructuring and other charges ($39.5 million), favorable foreign exchange (approximately $15 million) and reduced cost structures in all of the segments. Operating income was unfavorably impacted by higher advertising and promotional spending, strategic spending to support new business wins and product launches, as well as higher raw material and transportation costs.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interest expense, net</w:t>
      </w:r>
    </w:p>
    <w:p>
      <w:pPr>
        <w:spacing w:after="0" w:line="176"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Related party interest expense, net, increased $31.1 million, or 37%, due to higher variable interest rates on borrowings from our Former Parent, which were based on our Former Parent’s interest rates on short-term debt, partially offset by lower average debt.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Other expense (income), net, was flat from 2009 to 2010 and primarily consisted of gains related to foreign currency-denominated transactions.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76"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The effective income tax rates, calculated as if the Company were a separate taxpayer, for the years ended December 31, 2010 and 2009 were 21.8% and (26.9)%, respectively. The effective tax rate in 2010 was favorably impacted by a tax benefit related to the final settlement of U.S. federal income tax audits covering the 2004 to 2007 years and unfavorably impacted by a higher proportion of domestic income in 2010, which is taxed at a higher rate relative to foreign income. Our effective income tax rate in 2009 was unfavorably impacted by income tax expense on foreign dividends and favorably impacted by tax benefits from restructuring and other charges relative to the lower taxed income before these charges.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176"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Noncontrolling interest expense increased $0.4 million, due to higher earnings in a consolidated subsidiary for which there is a noncontrolling interest.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income attributable to Home &amp; Security</w:t>
      </w:r>
    </w:p>
    <w:p>
      <w:pPr>
        <w:spacing w:after="0" w:line="176" w:lineRule="exact"/>
        <w:rPr>
          <w:sz w:val="20"/>
          <w:szCs w:val="20"/>
          <w:color w:val="auto"/>
        </w:rPr>
      </w:pPr>
    </w:p>
    <w:p>
      <w:pPr>
        <w:jc w:val="both"/>
        <w:ind w:right="360"/>
        <w:spacing w:after="0" w:line="238" w:lineRule="auto"/>
        <w:rPr>
          <w:sz w:val="20"/>
          <w:szCs w:val="20"/>
          <w:color w:val="auto"/>
        </w:rPr>
      </w:pPr>
      <w:r>
        <w:rPr>
          <w:rFonts w:ascii="Arial" w:cs="Arial" w:eastAsia="Arial" w:hAnsi="Arial"/>
          <w:sz w:val="18"/>
          <w:szCs w:val="18"/>
          <w:color w:val="auto"/>
        </w:rPr>
        <w:t>Net (loss) income attributable to Home &amp; Security was income of $63.8 million in 2010 compared to a loss of $39.0 million in 2009. The $102.8 million increase in net income was primarily due to higher operating income and tax benefits related to tax audit settlements, partially offset by higher interest expense.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Kitchen &amp; Bath Cabinetry</w:t>
      </w:r>
    </w:p>
    <w:p>
      <w:pPr>
        <w:spacing w:after="0" w:line="18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Net sales increased $63.1 million, or 6%, on higher sales volume due to new business wins and new product introductions, as well as approximately $20 million of favorable foreign exchange. Net sales were unfavorably impacted by a further decline in the market due to continued pressure on big-ticket remodeling, as well as an approximately $9 million impact of one less shipping week in 2010.</w:t>
      </w:r>
    </w:p>
    <w:p>
      <w:pPr>
        <w:spacing w:after="0" w:line="154"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Operating income increased $53.3 million to $28.2 million, primarily due to higher net sales and related favorable operating leverage, as well as lower restructuring and other charges ($26.8 million) and the benefit of cost reduction initiatives. Operating income was unfavorably impacted by strategic investments to drive growth, as well as higher raw material and transportation costs.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Plumbing &amp; Accessories</w:t>
      </w:r>
    </w:p>
    <w:p>
      <w:pPr>
        <w:spacing w:after="0" w:line="180"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Net sales increased $88.8 million, or 11%, primarily on higher volume due to expanded customer penetration, new product introductions and international growth, as well as customer inventory replenishment as market conditions stabilized. In addition, foreign exchange had a favorable impact of approximately $15 million.</w:t>
      </w:r>
    </w:p>
    <w:p>
      <w:pPr>
        <w:spacing w:after="0" w:line="15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Operating income increased $18.3 million, or 16%, primarily due to higher sales and the related favorable operating leverage, the impact of cost reduction projects, favorable foreign exchange (approximately $10 million) and lower restructuring and other charges ($3.0 million). These benefits were significantly offset by higher raw material costs (primarily brass, zinc and steel), increased transportation costs, unfavorable product mix and higher advertising and promotional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Material Windows &amp; Door Systems</w:t>
      </w:r>
    </w:p>
    <w:p>
      <w:pPr>
        <w:spacing w:after="0" w:line="18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Net sales increased $49.9 million, or 9%, on higher sales volume across product categories and favorable mix of products in entry doors. Sales of windows increased in part due to the impact of the U.S. government tax credit on energy-efficient windows that expired at the end of 2010. Net sales were unfavorably affected by one less shipping week in 2010 (approximately $4 million).</w:t>
      </w:r>
    </w:p>
    <w:p>
      <w:pPr>
        <w:spacing w:after="0" w:line="15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Operating income increased $55.1 million to income of $17.6 million on increased operating efficiencies from manufacturing facility consolidation and other cost reduction projects, higher sales, favorable mix, and $15.9 million of lower restructuring and other charges. These benefits were partially offset by higher raw material costs.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&amp; Storage</w:t>
      </w:r>
    </w:p>
    <w:p>
      <w:pPr>
        <w:spacing w:after="0" w:line="18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Net sales increased $24.9 million, or 5%, primarily on volume growth in international security markets and safety products, as well as higher sales of tool storage products due to new product placement, partially offset by lower volume at a major customer.</w:t>
      </w:r>
    </w:p>
    <w:p>
      <w:pPr>
        <w:spacing w:after="0" w:line="155"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Operating income increased $13.3 million, or 33%, as a result of the impact of the resolution of litigation (approximately $8 million of income in 2010 compared to approximately $8 million of expense in 2009) as well as higher sales, the benefit of productivity improvement projects and approximately $5 million of favorable foreign exchange. These benefits were more than offset by higher raw material costs (primarily steel) and higher restructuring and other charges ($6.2 million) related to facility consolidations.</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Corporate expenses decreased $4.3 million, or 11%, to $33.9 million, primarily on lower defined benefit plan-related costs.</w:t>
      </w:r>
    </w:p>
    <w:p>
      <w:pPr>
        <w:spacing w:after="0" w:line="15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Corporate expenses include allocations of certain Former Parent general corporate expenses incurred directly by our Former Parent. These allocated expenses include costs associated with legal, finance, treasury, accounting, internal audit and general management services. Corporate expenses also include the components of defined benefit plan expense other than service cost. The Company estimates that it would have incurred approximately $20 million of incremental corporate expenses annually if it had functioned as an independent stand-alone public company for the years ended December 31, 2010 and 2009.</w:t>
      </w:r>
    </w:p>
    <w:p>
      <w:pPr>
        <w:spacing w:after="0" w:line="175" w:lineRule="exact"/>
        <w:rPr>
          <w:sz w:val="20"/>
          <w:szCs w:val="20"/>
          <w:color w:val="auto"/>
        </w:rPr>
      </w:pPr>
    </w:p>
    <w:tbl>
      <w:tblPr>
        <w:tblLayout w:type="fixed"/>
        <w:tblInd w:w="920" w:type="dxa"/>
        <w:tblCellMar>
          <w:top w:w="0" w:type="dxa"/>
          <w:left w:w="0" w:type="dxa"/>
          <w:bottom w:w="0" w:type="dxa"/>
          <w:right w:w="0" w:type="dxa"/>
        </w:tblCellMar>
      </w:tblPr>
      <w:tr>
        <w:trPr>
          <w:trHeight w:val="405"/>
        </w:trPr>
        <w:tc>
          <w:tcPr>
            <w:tcW w:w="5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i w:val="1"/>
                <w:iCs w:val="1"/>
                <w:color w:val="auto"/>
              </w:rPr>
              <w:t>(In millions)</w:t>
            </w:r>
          </w:p>
        </w:tc>
        <w:tc>
          <w:tcPr>
            <w:tcW w:w="14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right w:val="single" w:sz="8" w:color="auto"/>
            </w:tcBorders>
          </w:tcPr>
          <w:p>
            <w:pPr>
              <w:jc w:val="right"/>
              <w:ind w:right="515"/>
              <w:spacing w:after="0"/>
              <w:rPr>
                <w:sz w:val="20"/>
                <w:szCs w:val="20"/>
                <w:color w:val="auto"/>
              </w:rPr>
            </w:pPr>
            <w:r>
              <w:rPr>
                <w:rFonts w:ascii="Arial" w:cs="Arial" w:eastAsia="Arial" w:hAnsi="Arial"/>
                <w:sz w:val="14"/>
                <w:szCs w:val="14"/>
                <w:color w:val="auto"/>
              </w:rPr>
              <w:t>2010</w:t>
            </w:r>
          </w:p>
        </w:tc>
        <w:tc>
          <w:tcPr>
            <w:tcW w:w="76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4"/>
                <w:szCs w:val="14"/>
                <w:color w:val="auto"/>
              </w:rPr>
              <w:t>2009</w:t>
            </w:r>
          </w:p>
        </w:tc>
      </w:tr>
      <w:tr>
        <w:trPr>
          <w:trHeight w:val="196"/>
        </w:trPr>
        <w:tc>
          <w:tcPr>
            <w:tcW w:w="5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Corporate expenses:</w:t>
            </w:r>
          </w:p>
        </w:tc>
        <w:tc>
          <w:tcPr>
            <w:tcW w:w="14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tcPr>
          <w:p>
            <w:pPr>
              <w:jc w:val="right"/>
              <w:ind w:right="475"/>
              <w:spacing w:after="0" w:line="202" w:lineRule="exact"/>
              <w:rPr>
                <w:sz w:val="20"/>
                <w:szCs w:val="20"/>
                <w:color w:val="auto"/>
              </w:rPr>
            </w:pPr>
            <w:r>
              <w:rPr>
                <w:rFonts w:ascii="Arial" w:cs="Arial" w:eastAsia="Arial" w:hAnsi="Arial"/>
                <w:sz w:val="18"/>
                <w:szCs w:val="18"/>
                <w:color w:val="auto"/>
              </w:rPr>
              <w:t>(6.7)</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r>
      <w:tr>
        <w:trPr>
          <w:trHeight w:val="203"/>
        </w:trPr>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Business separation costs</w:t>
            </w:r>
          </w:p>
        </w:tc>
        <w:tc>
          <w:tcPr>
            <w:tcW w:w="14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515"/>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Former Parent general &amp; administrative expense allocation</w:t>
            </w:r>
          </w:p>
        </w:tc>
        <w:tc>
          <w:tcPr>
            <w:tcW w:w="1400" w:type="dxa"/>
            <w:vAlign w:val="bottom"/>
          </w:tcPr>
          <w:p>
            <w:pPr>
              <w:spacing w:after="0"/>
              <w:rPr>
                <w:sz w:val="17"/>
                <w:szCs w:val="17"/>
                <w:color w:val="auto"/>
              </w:rPr>
            </w:pPr>
          </w:p>
        </w:tc>
        <w:tc>
          <w:tcPr>
            <w:tcW w:w="1020" w:type="dxa"/>
            <w:vAlign w:val="bottom"/>
            <w:tcBorders>
              <w:right w:val="single" w:sz="8" w:color="auto"/>
            </w:tcBorders>
          </w:tcPr>
          <w:p>
            <w:pPr>
              <w:jc w:val="right"/>
              <w:ind w:right="475"/>
              <w:spacing w:after="0" w:line="202" w:lineRule="exact"/>
              <w:rPr>
                <w:sz w:val="20"/>
                <w:szCs w:val="20"/>
                <w:color w:val="auto"/>
              </w:rPr>
            </w:pPr>
            <w:r>
              <w:rPr>
                <w:rFonts w:ascii="Arial" w:cs="Arial" w:eastAsia="Arial" w:hAnsi="Arial"/>
                <w:sz w:val="18"/>
                <w:szCs w:val="18"/>
                <w:color w:val="auto"/>
                <w:w w:val="93"/>
              </w:rPr>
              <w:t>(32.0)</w:t>
            </w:r>
          </w:p>
        </w:tc>
        <w:tc>
          <w:tcPr>
            <w:tcW w:w="7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7"/>
              </w:rPr>
              <w:t>(34.2)</w:t>
            </w:r>
          </w:p>
        </w:tc>
      </w:tr>
      <w:tr>
        <w:trPr>
          <w:trHeight w:val="203"/>
        </w:trPr>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Defined benefit plan costs</w:t>
            </w:r>
          </w:p>
        </w:tc>
        <w:tc>
          <w:tcPr>
            <w:tcW w:w="14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515"/>
              <w:spacing w:after="0" w:line="202" w:lineRule="exact"/>
              <w:rPr>
                <w:sz w:val="20"/>
                <w:szCs w:val="20"/>
                <w:color w:val="auto"/>
              </w:rPr>
            </w:pPr>
            <w:r>
              <w:rPr>
                <w:rFonts w:ascii="Arial" w:cs="Arial" w:eastAsia="Arial" w:hAnsi="Arial"/>
                <w:sz w:val="18"/>
                <w:szCs w:val="18"/>
                <w:color w:val="auto"/>
              </w:rPr>
              <w:t>1.3</w:t>
            </w: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r>
      <w:tr>
        <w:trPr>
          <w:trHeight w:val="203"/>
        </w:trPr>
        <w:tc>
          <w:tcPr>
            <w:tcW w:w="58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Defined benefit plan recognition of actuarial gains</w:t>
            </w:r>
          </w:p>
        </w:tc>
        <w:tc>
          <w:tcPr>
            <w:tcW w:w="140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jc w:val="right"/>
              <w:ind w:right="515"/>
              <w:spacing w:after="0" w:line="202" w:lineRule="exact"/>
              <w:rPr>
                <w:sz w:val="20"/>
                <w:szCs w:val="20"/>
                <w:color w:val="auto"/>
              </w:rPr>
            </w:pPr>
            <w:r>
              <w:rPr>
                <w:rFonts w:ascii="Arial" w:cs="Arial" w:eastAsia="Arial" w:hAnsi="Arial"/>
                <w:sz w:val="18"/>
                <w:szCs w:val="18"/>
                <w:color w:val="auto"/>
              </w:rPr>
              <w:t>3.5</w:t>
            </w:r>
          </w:p>
        </w:tc>
        <w:tc>
          <w:tcPr>
            <w:tcW w:w="7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5.2</w:t>
            </w:r>
          </w:p>
        </w:tc>
      </w:tr>
      <w:tr>
        <w:trPr>
          <w:trHeight w:val="203"/>
        </w:trPr>
        <w:tc>
          <w:tcPr>
            <w:tcW w:w="5880" w:type="dxa"/>
            <w:vAlign w:val="bottom"/>
            <w:tcBorders>
              <w:bottom w:val="single" w:sz="8" w:color="auto"/>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Corporate expenses</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CCEEFF"/>
          </w:tcPr>
          <w:p>
            <w:pPr>
              <w:jc w:val="right"/>
              <w:ind w:right="475"/>
              <w:spacing w:after="0" w:line="196" w:lineRule="exact"/>
              <w:rPr>
                <w:sz w:val="20"/>
                <w:szCs w:val="20"/>
                <w:color w:val="auto"/>
              </w:rPr>
            </w:pPr>
            <w:r>
              <w:rPr>
                <w:rFonts w:ascii="Arial" w:cs="Arial" w:eastAsia="Arial" w:hAnsi="Arial"/>
                <w:sz w:val="18"/>
                <w:szCs w:val="18"/>
                <w:color w:val="auto"/>
                <w:w w:val="93"/>
              </w:rPr>
              <w:t>(33.9)</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(38.2)</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Our primary liquidity needs are to support working capital requirements and fund capital expenditures. We may have liquidity needs to finance acquisitions, repurchase common stock and pay dividends, when appropriate. Our principal sources of liquidity have been cash on hand, cash flows from operating activities and, historically, financial support from our Former Parent. Following the Separation, we no longer have financial support from our Former Parent. Our operating income is generated by our subsidiaries. There are no restrictions on the ability of our subsidiaries to pay dividends or make other distributions to Home &amp; Security. We expect that our Board of Directors will periodically evaluate establishing a dividend and/or share repurchase program. We periodically review our portfolio of brands and evaluate potential strategic transactions to increase shareholder value. However, we cannot predict whether or when we may enter into acquisitions, joint ventures or dispositions, undertake share repurchases, or pay dividends, or what impact any such transactions could have on our results of operations, cash flows or financial condition, whether as a result of the issuance of debt or equity securities, or otherwise. Our cash flows from operations, borrowing availability and overall liquidity are subject to certain risks and uncertainties, including those described in the section “Item 1A. Risk Factors.”</w:t>
      </w:r>
    </w:p>
    <w:p>
      <w:pPr>
        <w:spacing w:after="0" w:line="133"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Immediately prior to the Separation, on October 3, 2011, Home &amp; Security paid a dividend to our Former Parent in the amount of $500 million. In addition, we also paid a dividend of $48.9 million to our Former Parent on October 3, 2011 and made a payment of $6.0 million to our Former Parent on January 3, 2012. These two payments represented U.S. cash balances generated from August 26, 2011, the date of the conversion of Fortune Brands Home &amp; Security LLC from a Delaware limited liability company to a Delaware corporation through the date of the Separation. In 2011, our Former Parent made equity contributions totaling $2.7 billion to the Company, capitalizing our loan balances with our Former Parent.</w:t>
      </w:r>
    </w:p>
    <w:p>
      <w:pPr>
        <w:spacing w:after="0" w:line="129"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On December 31, 2011, we had cash and cash equivalents of $120.8 million, about half of which was held in foreign currencies at non-U.S. subsidiaries. We manage our global cash requirements</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20"/>
          </w:cols>
          <w:pgMar w:left="24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considering (i) available funds among the many subsidiaries through which we conduct business, (ii) the geographic location of our liquidity needs, and (iii) the cost to access international cash balances. The permanent repatriation of non-U.S. cash balances from certain subsidiaries could have adverse tax consequences as we may be required to pay and record income tax expense on those funds to the extent they were previously considered permanently reinvested.</w:t>
      </w:r>
    </w:p>
    <w:p>
      <w:pPr>
        <w:spacing w:after="0" w:line="155"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On August 22, 2011, we signed a $650 million, 5-year committed revolving credit facility as well as a $350 million, 5-year term loan. Both facilities are to be used for general corporate purposes including for financing the $500 million dividend we paid to our Former Parent immediately prior to the Separation. On October 4, 2011, Home &amp; Security made an initial borrowing of $510 million under these facilities. On December 31, 2011, the balance outstanding was $400 million. The interest rates under these facilities are variable based on LIBOR at the time of the borrowing and the Company’s leverage as measured by a debt to Adjusted EBITDA ratio. Based upon the Company’s debt to Adjusted EBITDA ratio, the Company’s borrowing rate could range from LIBOR + 1.0% to LIBOR + 2.0%. The credit facilities also include a minimum Consolidated Interest Coverage Ratio requirement of 3.0 to 1.0. The Consolidated Interest Coverage Ratio is defined as the ratio of Adjusted EBITDA to Consolidated Interest Expense. Adjusted EBITDA is defined as consolidated net income before interest expense, income taxes, and depreciation and amortization of intangible assets, losses from asset impairments, and certain other adjustments. Consolidated Interest Expense is as disclosed in our financial statements. The credit facility also includes a Maximum Leverage Ratio of 3.5 to 1.0 as measured by the ratio of our debt to Adjusted EBITDA. The Maximum Leverage Ratio is permitted to increase to 3.75 to 1.0 for three succeeding quarters in the event of an acquisition. At December 31, 2011, we were in compliance with these ratios. We believe our operating cash flows, availability under the new credit facility and access to capital markets will provide sufficient liquidity to support the Company’s financing needs.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cash flows for the years ended December 31, 2011, 2010 and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1" w:lineRule="exact"/>
        <w:rPr>
          <w:sz w:val="20"/>
          <w:szCs w:val="20"/>
          <w:color w:val="auto"/>
        </w:rPr>
      </w:pPr>
    </w:p>
    <w:p>
      <w:pPr>
        <w:ind w:left="8460"/>
        <w:spacing w:after="0"/>
        <w:rPr>
          <w:sz w:val="20"/>
          <w:szCs w:val="20"/>
          <w:color w:val="auto"/>
        </w:rPr>
      </w:pPr>
      <w:r>
        <w:rPr>
          <w:rFonts w:ascii="Arial" w:cs="Arial" w:eastAsia="Arial" w:hAnsi="Arial"/>
          <w:sz w:val="14"/>
          <w:szCs w:val="14"/>
          <w:color w:val="auto"/>
        </w:rPr>
        <w:t>For years ended 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6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28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right w:val="single" w:sz="8" w:color="auto"/>
            </w:tcBorders>
          </w:tcPr>
          <w:p>
            <w:pPr>
              <w:jc w:val="right"/>
              <w:ind w:right="536"/>
              <w:spacing w:after="0" w:line="142" w:lineRule="exact"/>
              <w:rPr>
                <w:sz w:val="20"/>
                <w:szCs w:val="20"/>
                <w:color w:val="auto"/>
              </w:rPr>
            </w:pPr>
            <w:r>
              <w:rPr>
                <w:rFonts w:ascii="Arial" w:cs="Arial" w:eastAsia="Arial" w:hAnsi="Arial"/>
                <w:sz w:val="14"/>
                <w:szCs w:val="14"/>
                <w:i w:val="1"/>
                <w:iCs w:val="1"/>
                <w:color w:val="auto"/>
                <w:w w:val="96"/>
              </w:rPr>
              <w:t>2011</w:t>
            </w:r>
          </w:p>
        </w:tc>
        <w:tc>
          <w:tcPr>
            <w:tcW w:w="6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596"/>
              <w:spacing w:after="0" w:line="142" w:lineRule="exact"/>
              <w:rPr>
                <w:sz w:val="20"/>
                <w:szCs w:val="20"/>
                <w:color w:val="auto"/>
              </w:rPr>
            </w:pPr>
            <w:r>
              <w:rPr>
                <w:rFonts w:ascii="Arial" w:cs="Arial" w:eastAsia="Arial" w:hAnsi="Arial"/>
                <w:sz w:val="14"/>
                <w:szCs w:val="14"/>
                <w:color w:val="auto"/>
                <w:w w:val="96"/>
              </w:rPr>
              <w:t>2010</w:t>
            </w:r>
          </w:p>
        </w:tc>
        <w:tc>
          <w:tcPr>
            <w:tcW w:w="6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color w:val="auto"/>
              </w:rPr>
              <w:t>2009</w:t>
            </w:r>
          </w:p>
        </w:tc>
      </w:tr>
      <w:tr>
        <w:trPr>
          <w:trHeight w:val="196"/>
        </w:trPr>
        <w:tc>
          <w:tcPr>
            <w:tcW w:w="20" w:type="dxa"/>
            <w:vAlign w:val="bottom"/>
          </w:tcPr>
          <w:p>
            <w:pPr>
              <w:spacing w:after="0"/>
              <w:rPr>
                <w:sz w:val="17"/>
                <w:szCs w:val="17"/>
                <w:color w:val="auto"/>
              </w:rPr>
            </w:pPr>
          </w:p>
        </w:tc>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2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shd w:val="clear" w:color="auto" w:fill="CCEEFF"/>
          </w:tcPr>
          <w:p>
            <w:pPr>
              <w:jc w:val="right"/>
              <w:ind w:right="416"/>
              <w:spacing w:after="0" w:line="196" w:lineRule="exact"/>
              <w:rPr>
                <w:sz w:val="20"/>
                <w:szCs w:val="20"/>
                <w:color w:val="auto"/>
              </w:rPr>
            </w:pPr>
            <w:r>
              <w:rPr>
                <w:rFonts w:ascii="Arial" w:cs="Arial" w:eastAsia="Arial" w:hAnsi="Arial"/>
                <w:sz w:val="18"/>
                <w:szCs w:val="18"/>
                <w:color w:val="auto"/>
                <w:w w:val="93"/>
              </w:rPr>
              <w:t>175.4</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76"/>
              <w:spacing w:after="0" w:line="196" w:lineRule="exact"/>
              <w:rPr>
                <w:sz w:val="20"/>
                <w:szCs w:val="20"/>
                <w:color w:val="auto"/>
              </w:rPr>
            </w:pPr>
            <w:r>
              <w:rPr>
                <w:rFonts w:ascii="Arial" w:cs="Arial" w:eastAsia="Arial" w:hAnsi="Arial"/>
                <w:sz w:val="18"/>
                <w:szCs w:val="18"/>
                <w:color w:val="auto"/>
                <w:w w:val="93"/>
              </w:rPr>
              <w:t>138.9</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rPr>
              <w:t>269.3</w:t>
            </w:r>
          </w:p>
        </w:tc>
      </w:tr>
      <w:tr>
        <w:trPr>
          <w:trHeight w:val="203"/>
        </w:trPr>
        <w:tc>
          <w:tcPr>
            <w:tcW w:w="4700" w:type="dxa"/>
            <w:vAlign w:val="bottom"/>
            <w:gridSpan w:val="2"/>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2860" w:type="dxa"/>
            <w:vAlign w:val="bottom"/>
          </w:tcPr>
          <w:p>
            <w:pPr>
              <w:spacing w:after="0"/>
              <w:rPr>
                <w:sz w:val="17"/>
                <w:szCs w:val="17"/>
                <w:color w:val="auto"/>
              </w:rPr>
            </w:pPr>
          </w:p>
        </w:tc>
        <w:tc>
          <w:tcPr>
            <w:tcW w:w="940" w:type="dxa"/>
            <w:vAlign w:val="bottom"/>
            <w:tcBorders>
              <w:right w:val="single" w:sz="8" w:color="auto"/>
            </w:tcBorders>
          </w:tcPr>
          <w:p>
            <w:pPr>
              <w:jc w:val="right"/>
              <w:ind w:right="356"/>
              <w:spacing w:after="0" w:line="202" w:lineRule="exact"/>
              <w:rPr>
                <w:sz w:val="20"/>
                <w:szCs w:val="20"/>
                <w:color w:val="auto"/>
              </w:rPr>
            </w:pPr>
            <w:r>
              <w:rPr>
                <w:rFonts w:ascii="Arial" w:cs="Arial" w:eastAsia="Arial" w:hAnsi="Arial"/>
                <w:sz w:val="18"/>
                <w:szCs w:val="18"/>
                <w:color w:val="auto"/>
              </w:rPr>
              <w:t>(71.0)</w:t>
            </w:r>
          </w:p>
        </w:tc>
        <w:tc>
          <w:tcPr>
            <w:tcW w:w="680" w:type="dxa"/>
            <w:vAlign w:val="bottom"/>
          </w:tcPr>
          <w:p>
            <w:pPr>
              <w:spacing w:after="0"/>
              <w:rPr>
                <w:sz w:val="17"/>
                <w:szCs w:val="17"/>
                <w:color w:val="auto"/>
              </w:rPr>
            </w:pPr>
          </w:p>
        </w:tc>
        <w:tc>
          <w:tcPr>
            <w:tcW w:w="1000" w:type="dxa"/>
            <w:vAlign w:val="bottom"/>
          </w:tcPr>
          <w:p>
            <w:pPr>
              <w:jc w:val="right"/>
              <w:ind w:right="416"/>
              <w:spacing w:after="0" w:line="202" w:lineRule="exact"/>
              <w:rPr>
                <w:sz w:val="20"/>
                <w:szCs w:val="20"/>
                <w:color w:val="auto"/>
              </w:rPr>
            </w:pPr>
            <w:r>
              <w:rPr>
                <w:rFonts w:ascii="Arial" w:cs="Arial" w:eastAsia="Arial" w:hAnsi="Arial"/>
                <w:sz w:val="18"/>
                <w:szCs w:val="18"/>
                <w:color w:val="auto"/>
              </w:rPr>
              <w:t>(55.7)</w:t>
            </w:r>
          </w:p>
        </w:tc>
        <w:tc>
          <w:tcPr>
            <w:tcW w:w="6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(32.0)</w:t>
            </w: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financing activities</w:t>
            </w:r>
          </w:p>
        </w:tc>
        <w:tc>
          <w:tcPr>
            <w:tcW w:w="2860" w:type="dxa"/>
            <w:vAlign w:val="bottom"/>
            <w:shd w:val="clear" w:color="auto" w:fill="CCEEFF"/>
          </w:tcPr>
          <w:p>
            <w:pPr>
              <w:spacing w:after="0"/>
              <w:rPr>
                <w:sz w:val="17"/>
                <w:szCs w:val="17"/>
                <w:color w:val="auto"/>
              </w:rPr>
            </w:pPr>
          </w:p>
        </w:tc>
        <w:tc>
          <w:tcPr>
            <w:tcW w:w="940" w:type="dxa"/>
            <w:vAlign w:val="bottom"/>
            <w:tcBorders>
              <w:right w:val="single" w:sz="8" w:color="auto"/>
            </w:tcBorders>
            <w:shd w:val="clear" w:color="auto" w:fill="CCEEFF"/>
          </w:tcPr>
          <w:p>
            <w:pPr>
              <w:jc w:val="right"/>
              <w:ind w:right="356"/>
              <w:spacing w:after="0" w:line="202" w:lineRule="exact"/>
              <w:rPr>
                <w:sz w:val="20"/>
                <w:szCs w:val="20"/>
                <w:color w:val="auto"/>
              </w:rPr>
            </w:pPr>
            <w:r>
              <w:rPr>
                <w:rFonts w:ascii="Arial" w:cs="Arial" w:eastAsia="Arial" w:hAnsi="Arial"/>
                <w:sz w:val="18"/>
                <w:szCs w:val="18"/>
                <w:color w:val="auto"/>
              </w:rPr>
              <w:t>(43.5)</w:t>
            </w:r>
          </w:p>
        </w:tc>
        <w:tc>
          <w:tcPr>
            <w:tcW w:w="6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16"/>
              <w:spacing w:after="0" w:line="202" w:lineRule="exact"/>
              <w:rPr>
                <w:sz w:val="20"/>
                <w:szCs w:val="20"/>
                <w:color w:val="auto"/>
              </w:rPr>
            </w:pPr>
            <w:r>
              <w:rPr>
                <w:rFonts w:ascii="Arial" w:cs="Arial" w:eastAsia="Arial" w:hAnsi="Arial"/>
                <w:sz w:val="18"/>
                <w:szCs w:val="18"/>
                <w:color w:val="auto"/>
              </w:rPr>
              <w:t>(81.4)</w:t>
            </w: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(221.8)</w:t>
            </w:r>
          </w:p>
        </w:tc>
      </w:tr>
      <w:tr>
        <w:trPr>
          <w:trHeight w:val="203"/>
        </w:trPr>
        <w:tc>
          <w:tcPr>
            <w:tcW w:w="4700" w:type="dxa"/>
            <w:vAlign w:val="bottom"/>
            <w:gridSpan w:val="2"/>
          </w:tcPr>
          <w:p>
            <w:pPr>
              <w:spacing w:after="0" w:line="202" w:lineRule="exact"/>
              <w:rPr>
                <w:sz w:val="20"/>
                <w:szCs w:val="20"/>
                <w:color w:val="auto"/>
              </w:rPr>
            </w:pPr>
            <w:r>
              <w:rPr>
                <w:rFonts w:ascii="Arial" w:cs="Arial" w:eastAsia="Arial" w:hAnsi="Arial"/>
                <w:sz w:val="18"/>
                <w:szCs w:val="18"/>
                <w:color w:val="auto"/>
              </w:rPr>
              <w:t>Effect of foreign exchange rate changes on cash</w:t>
            </w:r>
          </w:p>
        </w:tc>
        <w:tc>
          <w:tcPr>
            <w:tcW w:w="2860" w:type="dxa"/>
            <w:vAlign w:val="bottom"/>
          </w:tcPr>
          <w:p>
            <w:pPr>
              <w:spacing w:after="0"/>
              <w:rPr>
                <w:sz w:val="17"/>
                <w:szCs w:val="17"/>
                <w:color w:val="auto"/>
              </w:rPr>
            </w:pPr>
          </w:p>
        </w:tc>
        <w:tc>
          <w:tcPr>
            <w:tcW w:w="940" w:type="dxa"/>
            <w:vAlign w:val="bottom"/>
            <w:tcBorders>
              <w:right w:val="single" w:sz="8" w:color="auto"/>
            </w:tcBorders>
          </w:tcPr>
          <w:p>
            <w:pPr>
              <w:jc w:val="right"/>
              <w:ind w:right="356"/>
              <w:spacing w:after="0" w:line="202" w:lineRule="exact"/>
              <w:rPr>
                <w:sz w:val="20"/>
                <w:szCs w:val="20"/>
                <w:color w:val="auto"/>
              </w:rPr>
            </w:pPr>
            <w:r>
              <w:rPr>
                <w:rFonts w:ascii="Arial" w:cs="Arial" w:eastAsia="Arial" w:hAnsi="Arial"/>
                <w:sz w:val="18"/>
                <w:szCs w:val="18"/>
                <w:color w:val="auto"/>
              </w:rPr>
              <w:t>(0.8)</w:t>
            </w:r>
          </w:p>
        </w:tc>
        <w:tc>
          <w:tcPr>
            <w:tcW w:w="680" w:type="dxa"/>
            <w:vAlign w:val="bottom"/>
          </w:tcPr>
          <w:p>
            <w:pPr>
              <w:spacing w:after="0"/>
              <w:rPr>
                <w:sz w:val="17"/>
                <w:szCs w:val="17"/>
                <w:color w:val="auto"/>
              </w:rPr>
            </w:pPr>
          </w:p>
        </w:tc>
        <w:tc>
          <w:tcPr>
            <w:tcW w:w="1000" w:type="dxa"/>
            <w:vAlign w:val="bottom"/>
          </w:tcPr>
          <w:p>
            <w:pPr>
              <w:jc w:val="right"/>
              <w:ind w:right="476"/>
              <w:spacing w:after="0" w:line="202" w:lineRule="exact"/>
              <w:rPr>
                <w:sz w:val="20"/>
                <w:szCs w:val="20"/>
                <w:color w:val="auto"/>
              </w:rPr>
            </w:pPr>
            <w:r>
              <w:rPr>
                <w:rFonts w:ascii="Arial" w:cs="Arial" w:eastAsia="Arial" w:hAnsi="Arial"/>
                <w:sz w:val="18"/>
                <w:szCs w:val="18"/>
                <w:color w:val="auto"/>
              </w:rPr>
              <w:t>1.1</w:t>
            </w:r>
          </w:p>
        </w:tc>
        <w:tc>
          <w:tcPr>
            <w:tcW w:w="6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r>
      <w:tr>
        <w:trPr>
          <w:trHeight w:val="203"/>
        </w:trPr>
        <w:tc>
          <w:tcPr>
            <w:tcW w:w="20" w:type="dxa"/>
            <w:vAlign w:val="bottom"/>
          </w:tcPr>
          <w:p>
            <w:pPr>
              <w:spacing w:after="0"/>
              <w:rPr>
                <w:sz w:val="17"/>
                <w:szCs w:val="17"/>
                <w:color w:val="auto"/>
              </w:rPr>
            </w:pPr>
          </w:p>
        </w:tc>
        <w:tc>
          <w:tcPr>
            <w:tcW w:w="4680" w:type="dxa"/>
            <w:vAlign w:val="bottom"/>
            <w:tcBorders>
              <w:top w:val="single" w:sz="8" w:color="auto"/>
              <w:bottom w:val="single" w:sz="8" w:color="auto"/>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Net increase in cash and cash equivalents</w:t>
            </w:r>
          </w:p>
        </w:tc>
        <w:tc>
          <w:tcPr>
            <w:tcW w:w="2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auto"/>
            </w:tcBorders>
            <w:shd w:val="clear" w:color="auto" w:fill="CCEEFF"/>
          </w:tcPr>
          <w:p>
            <w:pPr>
              <w:jc w:val="right"/>
              <w:ind w:right="416"/>
              <w:spacing w:after="0" w:line="196" w:lineRule="exact"/>
              <w:rPr>
                <w:sz w:val="20"/>
                <w:szCs w:val="20"/>
                <w:color w:val="auto"/>
              </w:rPr>
            </w:pPr>
            <w:r>
              <w:rPr>
                <w:rFonts w:ascii="Arial" w:cs="Arial" w:eastAsia="Arial" w:hAnsi="Arial"/>
                <w:sz w:val="18"/>
                <w:szCs w:val="18"/>
                <w:color w:val="auto"/>
              </w:rPr>
              <w:t>60.1</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ind w:right="476"/>
              <w:spacing w:after="0" w:line="196" w:lineRule="exact"/>
              <w:rPr>
                <w:sz w:val="20"/>
                <w:szCs w:val="20"/>
                <w:color w:val="auto"/>
              </w:rPr>
            </w:pPr>
            <w:r>
              <w:rPr>
                <w:rFonts w:ascii="Arial" w:cs="Arial" w:eastAsia="Arial" w:hAnsi="Arial"/>
                <w:sz w:val="18"/>
                <w:szCs w:val="18"/>
                <w:color w:val="auto"/>
              </w:rPr>
              <w:t>2.9</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rPr>
              <w:t>8.7</w:t>
            </w:r>
          </w:p>
        </w:tc>
      </w:tr>
      <w:tr>
        <w:trPr>
          <w:trHeight w:val="363"/>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860" w:type="dxa"/>
            <w:vAlign w:val="bottom"/>
          </w:tcPr>
          <w:p>
            <w:pPr>
              <w:jc w:val="right"/>
              <w:ind w:right="1652"/>
              <w:spacing w:after="0"/>
              <w:rPr>
                <w:sz w:val="20"/>
                <w:szCs w:val="20"/>
                <w:color w:val="auto"/>
              </w:rPr>
            </w:pPr>
            <w:r>
              <w:rPr>
                <w:rFonts w:ascii="Arial" w:cs="Arial" w:eastAsia="Arial" w:hAnsi="Arial"/>
                <w:sz w:val="18"/>
                <w:szCs w:val="18"/>
                <w:color w:val="auto"/>
              </w:rPr>
              <w:t>37</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Management believes that free cash flow provides investors with useful supplemental information about our ability to fund internal growth, make acquisitions, repay debt, pay dividends and repurchase common stock. Free cash flow, as shown below, is cash from operating activities less net capital expenditures (capital expenditures less proceeds from the sale of assets, including property, plant and equipment) plus proceeds from the exercise of stock options. Free cash flow is not a measure derived in accordance with U.S. generally accepted accounting principles (“GAAP”) and may not be consistent with similar measures presented by other companies. A reconciliation of free cash flow to net cash provided by operating activities, the most comparable measure derived in accordance with GAAP,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9" w:lineRule="exact"/>
        <w:rPr>
          <w:sz w:val="20"/>
          <w:szCs w:val="20"/>
          <w:color w:val="auto"/>
        </w:rPr>
      </w:pPr>
    </w:p>
    <w:p>
      <w:pPr>
        <w:ind w:left="8480"/>
        <w:spacing w:after="0"/>
        <w:rPr>
          <w:sz w:val="20"/>
          <w:szCs w:val="20"/>
          <w:color w:val="auto"/>
        </w:rPr>
      </w:pPr>
      <w:r>
        <w:rPr>
          <w:rFonts w:ascii="Arial" w:cs="Arial" w:eastAsia="Arial" w:hAnsi="Arial"/>
          <w:sz w:val="14"/>
          <w:szCs w:val="14"/>
          <w:color w:val="auto"/>
        </w:rPr>
        <w:t>For years ended 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4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3100" w:type="dxa"/>
            <w:vAlign w:val="bottom"/>
            <w:tcBorders>
              <w:top w:val="single" w:sz="8" w:color="auto"/>
              <w:bottom w:val="single" w:sz="8" w:color="auto"/>
              <w:right w:val="single" w:sz="8" w:color="auto"/>
            </w:tcBorders>
          </w:tcPr>
          <w:p>
            <w:pPr>
              <w:jc w:val="right"/>
              <w:ind w:right="556"/>
              <w:spacing w:after="0" w:line="142" w:lineRule="exact"/>
              <w:rPr>
                <w:sz w:val="20"/>
                <w:szCs w:val="20"/>
                <w:color w:val="auto"/>
              </w:rPr>
            </w:pPr>
            <w:r>
              <w:rPr>
                <w:rFonts w:ascii="Arial" w:cs="Arial" w:eastAsia="Arial" w:hAnsi="Arial"/>
                <w:sz w:val="14"/>
                <w:szCs w:val="14"/>
                <w:i w:val="1"/>
                <w:iCs w:val="1"/>
                <w:color w:val="auto"/>
              </w:rPr>
              <w:t>2011</w:t>
            </w:r>
          </w:p>
        </w:tc>
        <w:tc>
          <w:tcPr>
            <w:tcW w:w="6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596"/>
              <w:spacing w:after="0" w:line="142" w:lineRule="exact"/>
              <w:rPr>
                <w:sz w:val="20"/>
                <w:szCs w:val="20"/>
                <w:color w:val="auto"/>
              </w:rPr>
            </w:pPr>
            <w:r>
              <w:rPr>
                <w:rFonts w:ascii="Arial" w:cs="Arial" w:eastAsia="Arial" w:hAnsi="Arial"/>
                <w:sz w:val="14"/>
                <w:szCs w:val="14"/>
                <w:color w:val="auto"/>
                <w:w w:val="96"/>
              </w:rPr>
              <w:t>2010</w:t>
            </w:r>
          </w:p>
        </w:tc>
        <w:tc>
          <w:tcPr>
            <w:tcW w:w="11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rPr>
              <w:t>2009</w:t>
            </w:r>
          </w:p>
        </w:tc>
      </w:tr>
      <w:tr>
        <w:trPr>
          <w:trHeight w:val="196"/>
        </w:trPr>
        <w:tc>
          <w:tcPr>
            <w:tcW w:w="20" w:type="dxa"/>
            <w:vAlign w:val="bottom"/>
          </w:tcPr>
          <w:p>
            <w:pPr>
              <w:spacing w:after="0"/>
              <w:rPr>
                <w:sz w:val="17"/>
                <w:szCs w:val="17"/>
                <w:color w:val="auto"/>
              </w:rPr>
            </w:pPr>
          </w:p>
        </w:tc>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3100" w:type="dxa"/>
            <w:vAlign w:val="bottom"/>
            <w:tcBorders>
              <w:right w:val="single" w:sz="8" w:color="auto"/>
            </w:tcBorders>
            <w:shd w:val="clear" w:color="auto" w:fill="CCEEFF"/>
          </w:tcPr>
          <w:p>
            <w:pPr>
              <w:jc w:val="right"/>
              <w:ind w:right="436"/>
              <w:spacing w:after="0" w:line="196" w:lineRule="exact"/>
              <w:rPr>
                <w:sz w:val="20"/>
                <w:szCs w:val="20"/>
                <w:color w:val="auto"/>
              </w:rPr>
            </w:pPr>
            <w:r>
              <w:rPr>
                <w:rFonts w:ascii="Arial" w:cs="Arial" w:eastAsia="Arial" w:hAnsi="Arial"/>
                <w:sz w:val="18"/>
                <w:szCs w:val="18"/>
                <w:color w:val="auto"/>
              </w:rPr>
              <w:t>$175.4</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76"/>
              <w:spacing w:after="0" w:line="196" w:lineRule="exact"/>
              <w:rPr>
                <w:sz w:val="20"/>
                <w:szCs w:val="20"/>
                <w:color w:val="auto"/>
              </w:rPr>
            </w:pPr>
            <w:r>
              <w:rPr>
                <w:rFonts w:ascii="Arial" w:cs="Arial" w:eastAsia="Arial" w:hAnsi="Arial"/>
                <w:sz w:val="18"/>
                <w:szCs w:val="18"/>
                <w:color w:val="auto"/>
                <w:w w:val="93"/>
              </w:rPr>
              <w:t>138.9</w:t>
            </w:r>
          </w:p>
        </w:tc>
        <w:tc>
          <w:tcPr>
            <w:tcW w:w="1180" w:type="dxa"/>
            <w:vAlign w:val="bottom"/>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rPr>
              <w:t>$269.3</w:t>
            </w:r>
          </w:p>
        </w:tc>
      </w:tr>
      <w:tr>
        <w:trPr>
          <w:trHeight w:val="203"/>
        </w:trPr>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Capital expenditures</w:t>
            </w:r>
          </w:p>
        </w:tc>
        <w:tc>
          <w:tcPr>
            <w:tcW w:w="3100" w:type="dxa"/>
            <w:vAlign w:val="bottom"/>
            <w:tcBorders>
              <w:right w:val="single" w:sz="8" w:color="auto"/>
            </w:tcBorders>
          </w:tcPr>
          <w:p>
            <w:pPr>
              <w:jc w:val="right"/>
              <w:ind w:right="376"/>
              <w:spacing w:after="0" w:line="202" w:lineRule="exact"/>
              <w:rPr>
                <w:sz w:val="20"/>
                <w:szCs w:val="20"/>
                <w:color w:val="auto"/>
              </w:rPr>
            </w:pPr>
            <w:r>
              <w:rPr>
                <w:rFonts w:ascii="Arial" w:cs="Arial" w:eastAsia="Arial" w:hAnsi="Arial"/>
                <w:sz w:val="18"/>
                <w:szCs w:val="18"/>
                <w:color w:val="auto"/>
              </w:rPr>
              <w:t>(68.5)</w:t>
            </w:r>
          </w:p>
        </w:tc>
        <w:tc>
          <w:tcPr>
            <w:tcW w:w="680" w:type="dxa"/>
            <w:vAlign w:val="bottom"/>
          </w:tcPr>
          <w:p>
            <w:pPr>
              <w:spacing w:after="0"/>
              <w:rPr>
                <w:sz w:val="17"/>
                <w:szCs w:val="17"/>
                <w:color w:val="auto"/>
              </w:rPr>
            </w:pPr>
          </w:p>
        </w:tc>
        <w:tc>
          <w:tcPr>
            <w:tcW w:w="1000" w:type="dxa"/>
            <w:vAlign w:val="bottom"/>
          </w:tcPr>
          <w:p>
            <w:pPr>
              <w:jc w:val="right"/>
              <w:ind w:right="416"/>
              <w:spacing w:after="0" w:line="202" w:lineRule="exact"/>
              <w:rPr>
                <w:sz w:val="20"/>
                <w:szCs w:val="20"/>
                <w:color w:val="auto"/>
              </w:rPr>
            </w:pPr>
            <w:r>
              <w:rPr>
                <w:rFonts w:ascii="Arial" w:cs="Arial" w:eastAsia="Arial" w:hAnsi="Arial"/>
                <w:sz w:val="18"/>
                <w:szCs w:val="18"/>
                <w:color w:val="auto"/>
              </w:rPr>
              <w:t>(58.3)</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(43.3)</w:t>
            </w: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the exercise of stock options</w:t>
            </w:r>
          </w:p>
        </w:tc>
        <w:tc>
          <w:tcPr>
            <w:tcW w:w="3100" w:type="dxa"/>
            <w:vAlign w:val="bottom"/>
            <w:tcBorders>
              <w:right w:val="single" w:sz="8" w:color="auto"/>
            </w:tcBorders>
            <w:shd w:val="clear" w:color="auto" w:fill="CCEEFF"/>
          </w:tcPr>
          <w:p>
            <w:pPr>
              <w:jc w:val="right"/>
              <w:ind w:right="436"/>
              <w:spacing w:after="0" w:line="202" w:lineRule="exact"/>
              <w:rPr>
                <w:sz w:val="20"/>
                <w:szCs w:val="20"/>
                <w:color w:val="auto"/>
              </w:rPr>
            </w:pPr>
            <w:r>
              <w:rPr>
                <w:rFonts w:ascii="Arial" w:cs="Arial" w:eastAsia="Arial" w:hAnsi="Arial"/>
                <w:sz w:val="18"/>
                <w:szCs w:val="18"/>
                <w:color w:val="auto"/>
              </w:rPr>
              <w:t>11.0</w:t>
            </w:r>
          </w:p>
        </w:tc>
        <w:tc>
          <w:tcPr>
            <w:tcW w:w="6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76"/>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rPr>
              <w:t>—</w:t>
            </w:r>
          </w:p>
        </w:tc>
      </w:tr>
      <w:tr>
        <w:trPr>
          <w:trHeight w:val="203"/>
        </w:trPr>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Proceeds from the disposition of assets</w:t>
            </w:r>
          </w:p>
        </w:tc>
        <w:tc>
          <w:tcPr>
            <w:tcW w:w="3100" w:type="dxa"/>
            <w:vAlign w:val="bottom"/>
            <w:tcBorders>
              <w:right w:val="single" w:sz="8" w:color="auto"/>
            </w:tcBorders>
          </w:tcPr>
          <w:p>
            <w:pPr>
              <w:jc w:val="right"/>
              <w:ind w:right="436"/>
              <w:spacing w:after="0" w:line="202" w:lineRule="exact"/>
              <w:rPr>
                <w:sz w:val="20"/>
                <w:szCs w:val="20"/>
                <w:color w:val="auto"/>
              </w:rPr>
            </w:pPr>
            <w:r>
              <w:rPr>
                <w:rFonts w:ascii="Arial" w:cs="Arial" w:eastAsia="Arial" w:hAnsi="Arial"/>
                <w:sz w:val="18"/>
                <w:szCs w:val="18"/>
                <w:color w:val="auto"/>
              </w:rPr>
              <w:t>3.5</w:t>
            </w:r>
          </w:p>
        </w:tc>
        <w:tc>
          <w:tcPr>
            <w:tcW w:w="680" w:type="dxa"/>
            <w:vAlign w:val="bottom"/>
          </w:tcPr>
          <w:p>
            <w:pPr>
              <w:spacing w:after="0"/>
              <w:rPr>
                <w:sz w:val="17"/>
                <w:szCs w:val="17"/>
                <w:color w:val="auto"/>
              </w:rPr>
            </w:pPr>
          </w:p>
        </w:tc>
        <w:tc>
          <w:tcPr>
            <w:tcW w:w="1000" w:type="dxa"/>
            <w:vAlign w:val="bottom"/>
          </w:tcPr>
          <w:p>
            <w:pPr>
              <w:jc w:val="right"/>
              <w:ind w:right="476"/>
              <w:spacing w:after="0" w:line="202" w:lineRule="exact"/>
              <w:rPr>
                <w:sz w:val="20"/>
                <w:szCs w:val="20"/>
                <w:color w:val="auto"/>
              </w:rPr>
            </w:pPr>
            <w:r>
              <w:rPr>
                <w:rFonts w:ascii="Arial" w:cs="Arial" w:eastAsia="Arial" w:hAnsi="Arial"/>
                <w:sz w:val="18"/>
                <w:szCs w:val="18"/>
                <w:color w:val="auto"/>
              </w:rPr>
              <w:t>2.6</w:t>
            </w:r>
          </w:p>
        </w:tc>
        <w:tc>
          <w:tcPr>
            <w:tcW w:w="11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11.3</w:t>
            </w:r>
          </w:p>
        </w:tc>
      </w:tr>
      <w:tr>
        <w:trPr>
          <w:trHeight w:val="203"/>
        </w:trPr>
        <w:tc>
          <w:tcPr>
            <w:tcW w:w="20" w:type="dxa"/>
            <w:vAlign w:val="bottom"/>
          </w:tcPr>
          <w:p>
            <w:pPr>
              <w:spacing w:after="0"/>
              <w:rPr>
                <w:sz w:val="17"/>
                <w:szCs w:val="17"/>
                <w:color w:val="auto"/>
              </w:rPr>
            </w:pPr>
          </w:p>
        </w:tc>
        <w:tc>
          <w:tcPr>
            <w:tcW w:w="5440" w:type="dxa"/>
            <w:vAlign w:val="bottom"/>
            <w:tcBorders>
              <w:top w:val="single" w:sz="8" w:color="auto"/>
              <w:bottom w:val="single" w:sz="8" w:color="auto"/>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Free cash flow</w:t>
            </w:r>
          </w:p>
        </w:tc>
        <w:tc>
          <w:tcPr>
            <w:tcW w:w="3100" w:type="dxa"/>
            <w:vAlign w:val="bottom"/>
            <w:tcBorders>
              <w:top w:val="single" w:sz="8" w:color="auto"/>
              <w:bottom w:val="single" w:sz="8" w:color="auto"/>
              <w:right w:val="single" w:sz="8" w:color="auto"/>
            </w:tcBorders>
            <w:shd w:val="clear" w:color="auto" w:fill="CCEEFF"/>
          </w:tcPr>
          <w:p>
            <w:pPr>
              <w:jc w:val="right"/>
              <w:ind w:right="436"/>
              <w:spacing w:after="0" w:line="196" w:lineRule="exact"/>
              <w:rPr>
                <w:sz w:val="20"/>
                <w:szCs w:val="20"/>
                <w:color w:val="auto"/>
              </w:rPr>
            </w:pPr>
            <w:r>
              <w:rPr>
                <w:rFonts w:ascii="Arial" w:cs="Arial" w:eastAsia="Arial" w:hAnsi="Arial"/>
                <w:sz w:val="18"/>
                <w:szCs w:val="18"/>
                <w:color w:val="auto"/>
              </w:rPr>
              <w:t>$121.4</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ind w:right="476"/>
              <w:spacing w:after="0" w:line="196" w:lineRule="exact"/>
              <w:rPr>
                <w:sz w:val="20"/>
                <w:szCs w:val="20"/>
                <w:color w:val="auto"/>
              </w:rPr>
            </w:pPr>
            <w:r>
              <w:rPr>
                <w:rFonts w:ascii="Arial" w:cs="Arial" w:eastAsia="Arial" w:hAnsi="Arial"/>
                <w:sz w:val="18"/>
                <w:szCs w:val="18"/>
                <w:color w:val="auto"/>
              </w:rPr>
              <w:t>83.2</w:t>
            </w:r>
          </w:p>
        </w:tc>
        <w:tc>
          <w:tcPr>
            <w:tcW w:w="1180" w:type="dxa"/>
            <w:vAlign w:val="bottom"/>
            <w:tcBorders>
              <w:top w:val="single" w:sz="8" w:color="auto"/>
              <w:bottom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rPr>
              <w:t>$237.3</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2011, 2010 and 2009</w:t>
      </w:r>
    </w:p>
    <w:p>
      <w:pPr>
        <w:spacing w:after="0" w:line="18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Net cash provided by operating activities was $175.4 million in 2011, compared to $138.9 million in 2010 and $269.3 million in 2009. The $36.5 million increase in cash provided by operating activities from 2010 to 2011 was primarily due to the higher year-end 2010 sales in advance of the expiration of the energy tax credit and the favorable impact on inventory of the 2010 roll-out of new cabinet programs. The $130.4 million decrease in cash provided by operating activities from 2009 to 2010 was principally due to an increase in working capital due to higher sales and unfavorable comparison to 2009 when we were reducing working capital levels as a result of the weak economy.</w:t>
      </w:r>
    </w:p>
    <w:p>
      <w:pPr>
        <w:spacing w:after="0" w:line="15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Net cash used in investing activities, which was used for capital spending, was $71.0 million in 2011, compared to $55.7 million in 2010 and $32.0 million in 2009. The increase from 2010 to 2011 of $15.3 million was principally due to planned higher capital spending compared to low spending in the prior year (a $10.2 million increase) and the acquisition of a regional windows business for $6.0 million. The increase from 2009 to 2010 reflected investments related to supporting new business and new information technology systems.</w:t>
      </w:r>
    </w:p>
    <w:p>
      <w:pPr>
        <w:spacing w:after="0" w:line="15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Net cash used in financing activities was $43.5 million in 2011, compared to $81.4 million in 2010 and $221.8 million in 2009. The $37.9 million decrease in cash used in financing activities from 2010 to 2011 was due to lower borrowings from our Former Parent. The $140.4 million decrease in cash used in financing activities from 2009 to 2010 was primarily due to repayments of borrowings from our Former Parent.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Credit Risk</w:t>
      </w:r>
    </w:p>
    <w:p>
      <w:pPr>
        <w:spacing w:after="0" w:line="18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routinely grant unsecured credit to customers in the normal course of business. Accounts receivable were $346.1 million and $374.2 million as of December 31, 2011 and 2010, respectively, and are recorded at their stated amount less allowances for discounts, doubtful accounts and returns. Allowances for doubtful accounts include provisions for certain customers where a risk of default has been specifically identified, as well as provisions determined on a general formula basis when it is determined that the risk of some default is probable and estimable but cannot yet be associated with specific customers. The assessment of the likelihood of customer defaults is based on a variety of factors, including the length of time the receivables are past due, the historical collection experience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and existing economic conditions. In accordance with our policy, our allowance for doubtful accounts was $10.6 million and $14.7 million as of December 31, 2011 and 2010, respectively. The conditions in the global economy and credit markets may reduce our customers’ ability to access sufficient liquidity and capital to fund their operations and make our estimation of customer defaults inherently uncertain. While we believe current allowances for doubtful accounts are adequate, it is possible that continued weak economic conditions may cause significantly higher levels of customer defaults and bad debt expense in future periods.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Counterparty Risk</w:t>
      </w:r>
    </w:p>
    <w:p>
      <w:pPr>
        <w:spacing w:after="0" w:line="180"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counterparties to our foreign currency and commodity derivative contracts are major financial institutions. Although our theoretical risk is the replacement cost at the then estimated fair value of these instruments, we believe that the risk of incurring losses is unlikely and that the losses, if any, would be immaterial to our results of operations, cash flows and financial condition. The fair value of our derivative assets at December 31, 2011 was $2.6 million. The estimated fair value of our derivative contracts represents the amount required to enter into offsetting contracts with similar remaining maturities based on quoted market prices.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180"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Subsidiaries of Home &amp; Security sponsor their respective defined benefit pension plans that are funded by a portfolio of investments maintained within our benefit plan trust. We did not make any pension contributions to qualified pension plans in 2011. As of December 31, 2011, the fair value of our total pension plan assets was $477.9 million, representing 77% of the accumulated benefit obligation liability. For the foreseeable future, we believe that we have sufficient liquidity to meet the minimum funding that may be required by the Pension Protection Act of 2006.</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180"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We have investments in various foreign countries, principally Canada, Mexico, China and France. Therefore, changes in the value of the related currencies affect our balance sheet and cash flow statements when translated into U.S. dollars.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Commercial Commitments</w:t>
      </w:r>
    </w:p>
    <w:p>
      <w:pPr>
        <w:spacing w:after="0" w:line="18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following table describes our obligations and commitments to make future payments under contracts, such as debt and lease agreements, and under contingent commitments, such as debt guarantees, as of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millions)</w:t>
            </w:r>
          </w:p>
        </w:tc>
        <w:tc>
          <w:tcPr>
            <w:tcW w:w="2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6"/>
          </w:tcPr>
          <w:p>
            <w:pPr>
              <w:jc w:val="right"/>
              <w:ind w:right="37"/>
              <w:spacing w:after="0"/>
              <w:rPr>
                <w:sz w:val="20"/>
                <w:szCs w:val="20"/>
                <w:color w:val="auto"/>
              </w:rPr>
            </w:pPr>
            <w:r>
              <w:rPr>
                <w:rFonts w:ascii="Arial" w:cs="Arial" w:eastAsia="Arial" w:hAnsi="Arial"/>
                <w:sz w:val="14"/>
                <w:szCs w:val="14"/>
                <w:color w:val="auto"/>
                <w:w w:val="98"/>
              </w:rPr>
              <w:t>Payments Due by Period as of December 31, 2011</w:t>
            </w: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r>
      <w:tr>
        <w:trPr>
          <w:trHeight w:val="236"/>
        </w:trPr>
        <w:tc>
          <w:tcPr>
            <w:tcW w:w="48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gridSpan w:val="2"/>
          </w:tcPr>
          <w:p>
            <w:pPr>
              <w:ind w:left="360"/>
              <w:spacing w:after="0"/>
              <w:rPr>
                <w:sz w:val="20"/>
                <w:szCs w:val="20"/>
                <w:color w:val="auto"/>
              </w:rPr>
            </w:pPr>
            <w:r>
              <w:rPr>
                <w:rFonts w:ascii="Arial" w:cs="Arial" w:eastAsia="Arial" w:hAnsi="Arial"/>
                <w:sz w:val="14"/>
                <w:szCs w:val="14"/>
                <w:color w:val="auto"/>
              </w:rPr>
              <w:t>Less than</w:t>
            </w:r>
          </w:p>
        </w:tc>
        <w:tc>
          <w:tcPr>
            <w:tcW w:w="320" w:type="dxa"/>
            <w:vAlign w:val="bottom"/>
          </w:tcPr>
          <w:p>
            <w:pPr>
              <w:spacing w:after="0"/>
              <w:rPr>
                <w:sz w:val="20"/>
                <w:szCs w:val="20"/>
                <w:color w:val="auto"/>
              </w:rPr>
            </w:pPr>
          </w:p>
        </w:tc>
        <w:tc>
          <w:tcPr>
            <w:tcW w:w="680" w:type="dxa"/>
            <w:vAlign w:val="bottom"/>
          </w:tcPr>
          <w:p>
            <w:pPr>
              <w:jc w:val="right"/>
              <w:ind w:right="137"/>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20"/>
                <w:szCs w:val="20"/>
                <w:color w:val="auto"/>
              </w:rPr>
            </w:pPr>
          </w:p>
        </w:tc>
        <w:tc>
          <w:tcPr>
            <w:tcW w:w="760" w:type="dxa"/>
            <w:vAlign w:val="bottom"/>
          </w:tcPr>
          <w:p>
            <w:pPr>
              <w:jc w:val="right"/>
              <w:ind w:right="237"/>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20"/>
                <w:szCs w:val="20"/>
                <w:color w:val="auto"/>
              </w:rPr>
            </w:pPr>
          </w:p>
        </w:tc>
        <w:tc>
          <w:tcPr>
            <w:tcW w:w="460" w:type="dxa"/>
            <w:vAlign w:val="bottom"/>
          </w:tcPr>
          <w:p>
            <w:pPr>
              <w:jc w:val="right"/>
              <w:ind w:right="15"/>
              <w:spacing w:after="0"/>
              <w:rPr>
                <w:sz w:val="20"/>
                <w:szCs w:val="20"/>
                <w:color w:val="auto"/>
              </w:rPr>
            </w:pPr>
            <w:r>
              <w:rPr>
                <w:rFonts w:ascii="Arial" w:cs="Arial" w:eastAsia="Arial" w:hAnsi="Arial"/>
                <w:sz w:val="14"/>
                <w:szCs w:val="14"/>
                <w:color w:val="auto"/>
              </w:rPr>
              <w:t>After</w:t>
            </w:r>
          </w:p>
        </w:tc>
      </w:tr>
      <w:tr>
        <w:trPr>
          <w:trHeight w:val="149"/>
        </w:trPr>
        <w:tc>
          <w:tcPr>
            <w:tcW w:w="48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Contractual Obligations</w:t>
            </w:r>
          </w:p>
        </w:tc>
        <w:tc>
          <w:tcPr>
            <w:tcW w:w="2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Total</w:t>
            </w:r>
          </w:p>
        </w:tc>
        <w:tc>
          <w:tcPr>
            <w:tcW w:w="4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5"/>
              <w:spacing w:after="0" w:line="149" w:lineRule="exact"/>
              <w:rPr>
                <w:sz w:val="20"/>
                <w:szCs w:val="20"/>
                <w:color w:val="auto"/>
              </w:rPr>
            </w:pPr>
            <w:r>
              <w:rPr>
                <w:rFonts w:ascii="Arial" w:cs="Arial" w:eastAsia="Arial" w:hAnsi="Arial"/>
                <w:sz w:val="14"/>
                <w:szCs w:val="14"/>
                <w:color w:val="auto"/>
              </w:rPr>
              <w:t>1 year</w:t>
            </w: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7"/>
              <w:spacing w:after="0" w:line="149" w:lineRule="exact"/>
              <w:rPr>
                <w:sz w:val="20"/>
                <w:szCs w:val="20"/>
                <w:color w:val="auto"/>
              </w:rPr>
            </w:pPr>
            <w:r>
              <w:rPr>
                <w:rFonts w:ascii="Arial" w:cs="Arial" w:eastAsia="Arial" w:hAnsi="Arial"/>
                <w:sz w:val="14"/>
                <w:szCs w:val="14"/>
                <w:color w:val="auto"/>
                <w:w w:val="95"/>
              </w:rPr>
              <w:t>3 years</w:t>
            </w:r>
          </w:p>
        </w:tc>
        <w:tc>
          <w:tcPr>
            <w:tcW w:w="3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7"/>
              <w:spacing w:after="0" w:line="149" w:lineRule="exact"/>
              <w:rPr>
                <w:sz w:val="20"/>
                <w:szCs w:val="20"/>
                <w:color w:val="auto"/>
              </w:rPr>
            </w:pPr>
            <w:r>
              <w:rPr>
                <w:rFonts w:ascii="Arial" w:cs="Arial" w:eastAsia="Arial" w:hAnsi="Arial"/>
                <w:sz w:val="14"/>
                <w:szCs w:val="14"/>
                <w:color w:val="auto"/>
                <w:w w:val="91"/>
              </w:rPr>
              <w:t>5 years</w:t>
            </w:r>
          </w:p>
        </w:tc>
        <w:tc>
          <w:tcPr>
            <w:tcW w:w="680" w:type="dxa"/>
            <w:vAlign w:val="bottom"/>
            <w:tcBorders>
              <w:bottom w:val="single" w:sz="8" w:color="auto"/>
            </w:tcBorders>
            <w:gridSpan w:val="2"/>
          </w:tcPr>
          <w:p>
            <w:pPr>
              <w:ind w:left="120"/>
              <w:spacing w:after="0" w:line="149" w:lineRule="exact"/>
              <w:rPr>
                <w:sz w:val="20"/>
                <w:szCs w:val="20"/>
                <w:color w:val="auto"/>
              </w:rPr>
            </w:pPr>
            <w:r>
              <w:rPr>
                <w:rFonts w:ascii="Arial" w:cs="Arial" w:eastAsia="Arial" w:hAnsi="Arial"/>
                <w:sz w:val="14"/>
                <w:szCs w:val="14"/>
                <w:color w:val="auto"/>
              </w:rPr>
              <w:t>5 years</w:t>
            </w:r>
          </w:p>
        </w:tc>
      </w:tr>
      <w:tr>
        <w:trPr>
          <w:trHeight w:val="196"/>
        </w:trPr>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External short-term borrowings</w:t>
            </w:r>
          </w:p>
        </w:tc>
        <w:tc>
          <w:tcPr>
            <w:tcW w:w="2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w:t>
            </w:r>
          </w:p>
        </w:tc>
        <w:tc>
          <w:tcPr>
            <w:tcW w:w="48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35"/>
              <w:spacing w:after="0" w:line="196" w:lineRule="exact"/>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7"/>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37"/>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rPr>
              <w:t>—</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Total debt</w:t>
            </w:r>
          </w:p>
        </w:tc>
        <w:tc>
          <w:tcPr>
            <w:tcW w:w="2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3"/>
              </w:rPr>
              <w:t>406.8</w:t>
            </w:r>
          </w:p>
        </w:tc>
        <w:tc>
          <w:tcPr>
            <w:tcW w:w="480" w:type="dxa"/>
            <w:vAlign w:val="bottom"/>
          </w:tcPr>
          <w:p>
            <w:pPr>
              <w:spacing w:after="0"/>
              <w:rPr>
                <w:sz w:val="17"/>
                <w:szCs w:val="17"/>
                <w:color w:val="auto"/>
              </w:rPr>
            </w:pPr>
          </w:p>
        </w:tc>
        <w:tc>
          <w:tcPr>
            <w:tcW w:w="6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17.5</w:t>
            </w:r>
          </w:p>
        </w:tc>
        <w:tc>
          <w:tcPr>
            <w:tcW w:w="320" w:type="dxa"/>
            <w:vAlign w:val="bottom"/>
          </w:tcPr>
          <w:p>
            <w:pPr>
              <w:spacing w:after="0"/>
              <w:rPr>
                <w:sz w:val="17"/>
                <w:szCs w:val="17"/>
                <w:color w:val="auto"/>
              </w:rPr>
            </w:pPr>
          </w:p>
        </w:tc>
        <w:tc>
          <w:tcPr>
            <w:tcW w:w="68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63.2</w:t>
            </w:r>
          </w:p>
        </w:tc>
        <w:tc>
          <w:tcPr>
            <w:tcW w:w="320" w:type="dxa"/>
            <w:vAlign w:val="bottom"/>
          </w:tcPr>
          <w:p>
            <w:pPr>
              <w:spacing w:after="0"/>
              <w:rPr>
                <w:sz w:val="17"/>
                <w:szCs w:val="17"/>
                <w:color w:val="auto"/>
              </w:rPr>
            </w:pPr>
          </w:p>
        </w:tc>
        <w:tc>
          <w:tcPr>
            <w:tcW w:w="760" w:type="dxa"/>
            <w:vAlign w:val="bottom"/>
          </w:tcPr>
          <w:p>
            <w:pPr>
              <w:jc w:val="right"/>
              <w:ind w:right="237"/>
              <w:spacing w:after="0" w:line="202" w:lineRule="exact"/>
              <w:rPr>
                <w:sz w:val="20"/>
                <w:szCs w:val="20"/>
                <w:color w:val="auto"/>
              </w:rPr>
            </w:pPr>
            <w:r>
              <w:rPr>
                <w:rFonts w:ascii="Arial" w:cs="Arial" w:eastAsia="Arial" w:hAnsi="Arial"/>
                <w:sz w:val="18"/>
                <w:szCs w:val="18"/>
                <w:color w:val="auto"/>
                <w:w w:val="93"/>
              </w:rPr>
              <w:t>319.3</w:t>
            </w:r>
          </w:p>
        </w:tc>
        <w:tc>
          <w:tcPr>
            <w:tcW w:w="220" w:type="dxa"/>
            <w:vAlign w:val="bottom"/>
          </w:tcPr>
          <w:p>
            <w:pPr>
              <w:spacing w:after="0"/>
              <w:rPr>
                <w:sz w:val="17"/>
                <w:szCs w:val="17"/>
                <w:color w:val="auto"/>
              </w:rPr>
            </w:pPr>
          </w:p>
        </w:tc>
        <w:tc>
          <w:tcPr>
            <w:tcW w:w="4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6.8</w:t>
            </w: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leases</w:t>
            </w:r>
          </w:p>
        </w:tc>
        <w:tc>
          <w:tcPr>
            <w:tcW w:w="2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84.1</w:t>
            </w: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27.8</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7"/>
              <w:spacing w:after="0" w:line="202" w:lineRule="exact"/>
              <w:rPr>
                <w:sz w:val="20"/>
                <w:szCs w:val="20"/>
                <w:color w:val="auto"/>
              </w:rPr>
            </w:pPr>
            <w:r>
              <w:rPr>
                <w:rFonts w:ascii="Arial" w:cs="Arial" w:eastAsia="Arial" w:hAnsi="Arial"/>
                <w:sz w:val="18"/>
                <w:szCs w:val="18"/>
                <w:color w:val="auto"/>
              </w:rPr>
              <w:t>34.3</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37"/>
              <w:spacing w:after="0" w:line="202" w:lineRule="exact"/>
              <w:rPr>
                <w:sz w:val="20"/>
                <w:szCs w:val="20"/>
                <w:color w:val="auto"/>
              </w:rPr>
            </w:pPr>
            <w:r>
              <w:rPr>
                <w:rFonts w:ascii="Arial" w:cs="Arial" w:eastAsia="Arial" w:hAnsi="Arial"/>
                <w:sz w:val="18"/>
                <w:szCs w:val="18"/>
                <w:color w:val="auto"/>
              </w:rPr>
              <w:t>14.9</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7.1</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11"/>
                <w:szCs w:val="11"/>
                <w:color w:val="auto"/>
              </w:rPr>
              <w:t>(a)</w:t>
            </w:r>
          </w:p>
        </w:tc>
        <w:tc>
          <w:tcPr>
            <w:tcW w:w="2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3"/>
              </w:rPr>
              <w:t>243.7</w:t>
            </w:r>
          </w:p>
        </w:tc>
        <w:tc>
          <w:tcPr>
            <w:tcW w:w="480" w:type="dxa"/>
            <w:vAlign w:val="bottom"/>
          </w:tcPr>
          <w:p>
            <w:pPr>
              <w:spacing w:after="0"/>
              <w:rPr>
                <w:sz w:val="17"/>
                <w:szCs w:val="17"/>
                <w:color w:val="auto"/>
              </w:rPr>
            </w:pPr>
          </w:p>
        </w:tc>
        <w:tc>
          <w:tcPr>
            <w:tcW w:w="680" w:type="dxa"/>
            <w:vAlign w:val="bottom"/>
          </w:tcPr>
          <w:p>
            <w:pPr>
              <w:jc w:val="right"/>
              <w:ind w:right="135"/>
              <w:spacing w:after="0" w:line="202" w:lineRule="exact"/>
              <w:rPr>
                <w:sz w:val="20"/>
                <w:szCs w:val="20"/>
                <w:color w:val="auto"/>
              </w:rPr>
            </w:pPr>
            <w:r>
              <w:rPr>
                <w:rFonts w:ascii="Arial" w:cs="Arial" w:eastAsia="Arial" w:hAnsi="Arial"/>
                <w:sz w:val="18"/>
                <w:szCs w:val="18"/>
                <w:color w:val="auto"/>
                <w:w w:val="97"/>
              </w:rPr>
              <w:t>237.0</w:t>
            </w:r>
          </w:p>
        </w:tc>
        <w:tc>
          <w:tcPr>
            <w:tcW w:w="320" w:type="dxa"/>
            <w:vAlign w:val="bottom"/>
          </w:tcPr>
          <w:p>
            <w:pPr>
              <w:spacing w:after="0"/>
              <w:rPr>
                <w:sz w:val="17"/>
                <w:szCs w:val="17"/>
                <w:color w:val="auto"/>
              </w:rPr>
            </w:pPr>
          </w:p>
        </w:tc>
        <w:tc>
          <w:tcPr>
            <w:tcW w:w="68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3.7</w:t>
            </w:r>
          </w:p>
        </w:tc>
        <w:tc>
          <w:tcPr>
            <w:tcW w:w="320" w:type="dxa"/>
            <w:vAlign w:val="bottom"/>
          </w:tcPr>
          <w:p>
            <w:pPr>
              <w:spacing w:after="0"/>
              <w:rPr>
                <w:sz w:val="17"/>
                <w:szCs w:val="17"/>
                <w:color w:val="auto"/>
              </w:rPr>
            </w:pPr>
          </w:p>
        </w:tc>
        <w:tc>
          <w:tcPr>
            <w:tcW w:w="760" w:type="dxa"/>
            <w:vAlign w:val="bottom"/>
          </w:tcPr>
          <w:p>
            <w:pPr>
              <w:jc w:val="right"/>
              <w:ind w:right="237"/>
              <w:spacing w:after="0" w:line="202" w:lineRule="exact"/>
              <w:rPr>
                <w:sz w:val="20"/>
                <w:szCs w:val="20"/>
                <w:color w:val="auto"/>
              </w:rPr>
            </w:pPr>
            <w:r>
              <w:rPr>
                <w:rFonts w:ascii="Arial" w:cs="Arial" w:eastAsia="Arial" w:hAnsi="Arial"/>
                <w:sz w:val="18"/>
                <w:szCs w:val="18"/>
                <w:color w:val="auto"/>
              </w:rPr>
              <w:t>2.0</w:t>
            </w:r>
          </w:p>
        </w:tc>
        <w:tc>
          <w:tcPr>
            <w:tcW w:w="220" w:type="dxa"/>
            <w:vAlign w:val="bottom"/>
          </w:tcPr>
          <w:p>
            <w:pPr>
              <w:spacing w:after="0"/>
              <w:rPr>
                <w:sz w:val="17"/>
                <w:szCs w:val="17"/>
                <w:color w:val="auto"/>
              </w:rPr>
            </w:pPr>
          </w:p>
        </w:tc>
        <w:tc>
          <w:tcPr>
            <w:tcW w:w="4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1.0</w:t>
            </w:r>
          </w:p>
        </w:tc>
      </w:tr>
      <w:tr>
        <w:trPr>
          <w:trHeight w:val="243"/>
        </w:trPr>
        <w:tc>
          <w:tcPr>
            <w:tcW w:w="4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Defined benefit plan contributions</w:t>
            </w:r>
            <w:r>
              <w:rPr>
                <w:rFonts w:ascii="Arial" w:cs="Arial" w:eastAsia="Arial" w:hAnsi="Arial"/>
                <w:sz w:val="11"/>
                <w:szCs w:val="11"/>
                <w:color w:val="auto"/>
              </w:rPr>
              <w:t>(b )</w:t>
            </w:r>
          </w:p>
        </w:tc>
        <w:tc>
          <w:tcPr>
            <w:tcW w:w="21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4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26.6</w:t>
            </w:r>
          </w:p>
        </w:tc>
        <w:tc>
          <w:tcPr>
            <w:tcW w:w="3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03"/>
        </w:trPr>
        <w:tc>
          <w:tcPr>
            <w:tcW w:w="4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765.0</w:t>
            </w:r>
          </w:p>
        </w:tc>
        <w:tc>
          <w:tcPr>
            <w:tcW w:w="480" w:type="dxa"/>
            <w:vAlign w:val="bottom"/>
            <w:tcBorders>
              <w:bottom w:val="single" w:sz="8" w:color="auto"/>
            </w:tcBorders>
          </w:tcPr>
          <w:p>
            <w:pPr>
              <w:ind w:left="360"/>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35"/>
              <w:spacing w:after="0" w:line="196" w:lineRule="exact"/>
              <w:rPr>
                <w:sz w:val="20"/>
                <w:szCs w:val="20"/>
                <w:color w:val="auto"/>
              </w:rPr>
            </w:pPr>
            <w:r>
              <w:rPr>
                <w:rFonts w:ascii="Arial" w:cs="Arial" w:eastAsia="Arial" w:hAnsi="Arial"/>
                <w:sz w:val="18"/>
                <w:szCs w:val="18"/>
                <w:color w:val="auto"/>
                <w:w w:val="97"/>
              </w:rPr>
              <w:t>312.7</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37"/>
              <w:spacing w:after="0" w:line="196" w:lineRule="exact"/>
              <w:rPr>
                <w:sz w:val="20"/>
                <w:szCs w:val="20"/>
                <w:color w:val="auto"/>
              </w:rPr>
            </w:pPr>
            <w:r>
              <w:rPr>
                <w:rFonts w:ascii="Arial" w:cs="Arial" w:eastAsia="Arial" w:hAnsi="Arial"/>
                <w:sz w:val="18"/>
                <w:szCs w:val="18"/>
                <w:color w:val="auto"/>
                <w:w w:val="97"/>
              </w:rPr>
              <w:t>101.2</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237"/>
              <w:spacing w:after="0" w:line="196" w:lineRule="exact"/>
              <w:rPr>
                <w:sz w:val="20"/>
                <w:szCs w:val="20"/>
                <w:color w:val="auto"/>
              </w:rPr>
            </w:pPr>
            <w:r>
              <w:rPr>
                <w:rFonts w:ascii="Arial" w:cs="Arial" w:eastAsia="Arial" w:hAnsi="Arial"/>
                <w:sz w:val="18"/>
                <w:szCs w:val="18"/>
                <w:color w:val="auto"/>
                <w:w w:val="93"/>
              </w:rPr>
              <w:t>336.2</w:t>
            </w:r>
          </w:p>
        </w:tc>
        <w:tc>
          <w:tcPr>
            <w:tcW w:w="22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ind w:right="15"/>
              <w:spacing w:after="0" w:line="196" w:lineRule="exact"/>
              <w:rPr>
                <w:sz w:val="20"/>
                <w:szCs w:val="20"/>
                <w:color w:val="auto"/>
              </w:rPr>
            </w:pPr>
            <w:r>
              <w:rPr>
                <w:rFonts w:ascii="Arial" w:cs="Arial" w:eastAsia="Arial" w:hAnsi="Arial"/>
                <w:sz w:val="18"/>
                <w:szCs w:val="18"/>
                <w:color w:val="auto"/>
                <w:w w:val="96"/>
              </w:rPr>
              <w:t>14.9</w:t>
            </w:r>
          </w:p>
        </w:tc>
      </w:tr>
    </w:tbl>
    <w:p>
      <w:pPr>
        <w:spacing w:after="0" w:line="80" w:lineRule="exact"/>
        <w:rPr>
          <w:sz w:val="20"/>
          <w:szCs w:val="20"/>
          <w:color w:val="auto"/>
        </w:rPr>
      </w:pPr>
    </w:p>
    <w:p>
      <w:pPr>
        <w:ind w:left="220" w:right="100" w:hanging="212"/>
        <w:spacing w:after="0" w:line="180" w:lineRule="auto"/>
        <w:tabs>
          <w:tab w:leader="none" w:pos="220" w:val="left"/>
        </w:tabs>
        <w:numPr>
          <w:ilvl w:val="0"/>
          <w:numId w:val="18"/>
        </w:numPr>
        <w:rPr>
          <w:rFonts w:ascii="Arial" w:cs="Arial" w:eastAsia="Arial" w:hAnsi="Arial"/>
          <w:sz w:val="22"/>
          <w:szCs w:val="22"/>
          <w:color w:val="auto"/>
          <w:vertAlign w:val="superscript"/>
        </w:rPr>
      </w:pPr>
      <w:r>
        <w:rPr>
          <w:rFonts w:ascii="Arial" w:cs="Arial" w:eastAsia="Arial" w:hAnsi="Arial"/>
          <w:sz w:val="14"/>
          <w:szCs w:val="14"/>
          <w:color w:val="auto"/>
        </w:rPr>
        <w:t>Purchase obligations include contracts for raw material and finished goods purchases; selling and administrative services; and capital expenditures. As of December 31, 2011, there were no material commitments for capital expenditures.</w:t>
      </w:r>
    </w:p>
    <w:p>
      <w:pPr>
        <w:ind w:left="220" w:hanging="212"/>
        <w:spacing w:after="0" w:line="217" w:lineRule="auto"/>
        <w:tabs>
          <w:tab w:leader="none" w:pos="220" w:val="left"/>
        </w:tabs>
        <w:numPr>
          <w:ilvl w:val="0"/>
          <w:numId w:val="18"/>
        </w:numPr>
        <w:rPr>
          <w:rFonts w:ascii="Arial" w:cs="Arial" w:eastAsia="Arial" w:hAnsi="Arial"/>
          <w:sz w:val="22"/>
          <w:szCs w:val="22"/>
          <w:color w:val="auto"/>
          <w:vertAlign w:val="superscript"/>
        </w:rPr>
      </w:pPr>
      <w:r>
        <w:rPr>
          <w:rFonts w:ascii="Arial" w:cs="Arial" w:eastAsia="Arial" w:hAnsi="Arial"/>
          <w:sz w:val="14"/>
          <w:szCs w:val="14"/>
          <w:color w:val="auto"/>
        </w:rPr>
        <w:t>Minimum required contributions cannot be determined beyond 2012.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Due to the uncertainty of the timing of settlement with taxing authorities, we are unable to make reasonably reliable estimates of the period of cash settlement of unrecognized tax benefits. Therefore, $35.4 million of unrecognized tax benefits as of December 31, 2011 have been excluded from the Contractual Obligations table above. See Note 13, “Income Taxes,” to the Consolidated Financial Statements in Item 8 of this Annual Report on Form 10-K.</w:t>
      </w:r>
    </w:p>
    <w:p>
      <w:pPr>
        <w:spacing w:after="0" w:line="15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addition to the contractual obligations and commitments listed and described above, we also had other commercial commitments for which we are contingently liable as of December 31, 2011. Other corporate commercial commitments include standby letters of credit of $33.3 million, in the aggregate, all of which expire in less than one year, and surety bonds of $3.8 million, in the aggregate, $3.0 million of which expire in less than one year. These contingent commitments are not expected to have a significant impact on our liquidity.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0"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We do not currently have any off-balance sheet arrangements that are material or reasonably likely to be material to our financial condition or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8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accordance with authoritative guidance on derivatives and hedging (Accounting Standards Codification (“ASC”) 815) , we recognize all derivative contracts as either assets or liabilities on the balance sheet, and the measurement of those instruments is at fair value. If the derivative is designated as a fair value hedge and is effective, the changes in the fair value of the derivative and of the hedged item attributable to the hedged risk are recognized in earnings in the same period. If the derivative is designated as a cash flow hedge, the effective portions of changes in the fair value of the derivative are recorded in other comprehensive income (OCI) and are recognized in the statement of income when the hedged item affects earnings. Ineffective portions of changes in the fair value of cash flow hedges are recognized in earnings.</w:t>
      </w:r>
    </w:p>
    <w:p>
      <w:pPr>
        <w:spacing w:after="0" w:line="15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Derivative gains or losses included in OCI are reclassified into earnings at the time the forecasted revenue or expense is recognized. Deferred currency losses of $0.5 million were reclassified into earnings for the year ended December 31, 2011. Deferred currency gains of $0.1 million and $3.5 million were reclassified into earnings in the years ended December 31, 2010 and 2009, respectively. Based on foreign exchange rates as of December 31, 2011, we estimate that $1.0 million of net currency derivative losses included in OCI as of December 31, 2011 will be reclassified to earnings within the next twelve months.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76" w:lineRule="exact"/>
        <w:rPr>
          <w:sz w:val="20"/>
          <w:szCs w:val="20"/>
          <w:color w:val="auto"/>
        </w:rPr>
      </w:pPr>
    </w:p>
    <w:p>
      <w:pPr>
        <w:ind w:right="480"/>
        <w:spacing w:after="0" w:line="238" w:lineRule="auto"/>
        <w:rPr>
          <w:sz w:val="20"/>
          <w:szCs w:val="20"/>
          <w:color w:val="auto"/>
        </w:rPr>
      </w:pPr>
      <w:r>
        <w:rPr>
          <w:rFonts w:ascii="Arial" w:cs="Arial" w:eastAsia="Arial" w:hAnsi="Arial"/>
          <w:sz w:val="18"/>
          <w:szCs w:val="18"/>
          <w:color w:val="auto"/>
        </w:rPr>
        <w:t>Certain anticipated transactions, assets and liabilities are exposed to foreign currency risk. Principal currencies hedged include the Canadian dollar, the Chinese yuan, and the Mexican peso. We regularly monitor our foreign currency exposures in order to maximize the overall effectiveness of our foreign currency hedge positions.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Arrangements with Multiple Deliverables</w:t>
      </w:r>
    </w:p>
    <w:p>
      <w:pPr>
        <w:spacing w:after="0" w:line="176" w:lineRule="exact"/>
        <w:rPr>
          <w:sz w:val="20"/>
          <w:szCs w:val="20"/>
          <w:color w:val="auto"/>
        </w:rPr>
      </w:pPr>
    </w:p>
    <w:p>
      <w:pPr>
        <w:ind w:right="480" w:firstLine="456"/>
        <w:spacing w:after="0" w:line="238" w:lineRule="auto"/>
        <w:rPr>
          <w:sz w:val="20"/>
          <w:szCs w:val="20"/>
          <w:color w:val="auto"/>
        </w:rPr>
      </w:pPr>
      <w:r>
        <w:rPr>
          <w:rFonts w:ascii="Arial" w:cs="Arial" w:eastAsia="Arial" w:hAnsi="Arial"/>
          <w:sz w:val="18"/>
          <w:szCs w:val="18"/>
          <w:color w:val="auto"/>
        </w:rPr>
        <w:t>In October 2009, the Financial Accounting Standards Board (“FASB”) issued Accounting Standards Update (“ASU”) 2009-13, “Multiple-Deliverable Revenue Arrangements — a consensus of the FASB Emerging Issues Task Force.” This guidance allows entities to allocate consideration in multiple deliverable arrangements in a manner that reflects a transaction’s economics. The guidance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requires expanded disclosure. It was effective for fiscal years beginning on or after June 15, 2010 (calendar year 2011 for Home &amp; Security) and could be applied either prospectively or retrospectively. Adoption of this standard did not have a material impact on our financial statements or disclosures.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w:t>
      </w:r>
    </w:p>
    <w:p>
      <w:pPr>
        <w:spacing w:after="0" w:line="176"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In May 2011, the FASB issued new guidance on fair value measurement and disclosure requirements (ASU 2011-04, “Fair Value Measurements (Topic 820): Amendments to Achieve Common Fair Value Measurement and Disclosure Requirements in U.S. GAAP and IFRSs”). The new guidance results in a consistent definition of fair value and common requirements for measurement of and disclosure about fair value between GAAP and International Financial Reporting Standards. The amendment is effective for interim and annual periods beginning after December 15, 2011 (calendar year 2012 for Home &amp; Security). We do not believe that adoption of this standard will have a material impact on our financial statements or disclosures.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Presentation of Comprehensive Income</w:t>
      </w:r>
    </w:p>
    <w:p>
      <w:pPr>
        <w:spacing w:after="0" w:line="176"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In June 2011, the FASB issued ASU 2011-05, “Statement of Comprehensive Income.” This standard requires entities to present items of net income and other comprehensive income either in one continuous statement or in two separate, but consecutive, statements. The new requirements are effective for public entities as of the beginning of the fiscal year that begins after December 15, 2011 (calendar year 2012 for Home &amp; Security). Full retrospective application is required. Early adoption is permitted. We believe that adoption of this standard will not have a material impact on our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Testing Goodwill for Impairment</w:t>
      </w:r>
    </w:p>
    <w:p>
      <w:pPr>
        <w:spacing w:after="0" w:line="17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September 2011, the FASB issued ASU 2011-08, “Intangibles — Goodwill and Other (Topic 350): Testing Goodwill for Impairment,” to allow entities to use a qualitative approach to test goodwill for impairment. ASU 2011-08 permits an entity to first perform a qualitative assessment to determine whether it is more likely than not that the fair value of the reporting unit is less than its carrying value. If it is concluded that this is the case, it is necessary to perform the currently prescribed two-step goodwill impairment test. Otherwise, the two-step goodwill impairment test is not required. The amendment is effective for interim and annual periods beginning after December 15, 2011 (calendar year 2012 for Home &amp; Security). Early adoption is permitted. We are assessing the impact the adoption of this standard will have on our financial statements. We believe that adoption of this standard will not have a material impact on our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0"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Our significant accounting policies are described in Note 2, “Significant Accounting Policies,” of the Notes to Consolidated Financial Statements in Item 8 of this Annual Report on Form 10-K. The Consolidated Financial Statements are prepared in conformity with GAAP. Preparation of the financial statements requires us to make judgments, estimates and assumptions that affect the amounts of assets and liabilities reflected in the financial statements and revenues and expenses reported for the relevant reporting periods. We believe the policies discussed below are the Company’s critical accounting policies as they include the more significant, subjective and complex judgments and estimates made when preparing our consolidated financial statements.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Allowances for Doubtful Accounts</w:t>
      </w:r>
    </w:p>
    <w:p>
      <w:pPr>
        <w:spacing w:after="0" w:line="17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Trade receivables are recorded at the stated amount, less allowances for discounts, doubtful accounts and returns. The allowances for doubtful accounts represent estimated uncollectible receivables associated with potential customer defaults on contractual obligations (usually due to customers’ potential insolvency) or discounts related to early payment of accounts receivables by our customers. The allowances include provisions for certain customers where a risk of default has been specifically identified. In addition, the allowances include a provision for customer defaults on a general formula basis when it is determined that the risk of some default is probable and estimable, but cannot yet be associated with specific customers. The assessment of the likelihood of customer defaults is based on various factors, including the length of time the receivables are past due, historical collection experience and existing economic conditions. In accordance with this policy, our allowance for doubtful accounts was $10.6 million and $14.7 million as of December 31, 2011 and 2010,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76" w:lineRule="exact"/>
        <w:rPr>
          <w:sz w:val="20"/>
          <w:szCs w:val="20"/>
          <w:color w:val="auto"/>
        </w:rPr>
      </w:pPr>
    </w:p>
    <w:p>
      <w:pPr>
        <w:ind w:right="540"/>
        <w:spacing w:after="0" w:line="281" w:lineRule="auto"/>
        <w:rPr>
          <w:sz w:val="20"/>
          <w:szCs w:val="20"/>
          <w:color w:val="auto"/>
        </w:rPr>
      </w:pPr>
      <w:r>
        <w:rPr>
          <w:rFonts w:ascii="Arial" w:cs="Arial" w:eastAsia="Arial" w:hAnsi="Arial"/>
          <w:sz w:val="16"/>
          <w:szCs w:val="16"/>
          <w:color w:val="auto"/>
        </w:rPr>
        <w:t>Inventory provisions are recorded to reduce inventory to the lower of cost or market value for obsolete or slow moving inventory based on assumptions about future demand and marketability of products, the impact of new product introductions, inventory levels and turns, product spoilage and specific identification of items, such as product discontinuance, engineering/material changes, or regulatory-related changes.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17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accordance with authoritative guidance on property, plant and equipment (ASC 360), a long-lived asset (including amortizable identifiable intangible assets) or asset group held for use is tested for recoverability whenever events or changes in circumstances indicate that its carrying amount may not be recoverable. When such events occur, the Company compares the sum of the undiscounted cash flows expected to result from the use and eventual disposition of the asset or asset group to the carrying amount of a long-lived asset or asset group. The cash flows are based on our best estimate of future cash flows derived from the most recent business projections. If this comparison indicates that there is an impairment, the amount of the impairment is calculated based on fair value. Fair value is estimated primarily using discounted expected future cash flows on a market-participant basis.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Indefinite-lived Intangible Assets</w:t>
      </w:r>
    </w:p>
    <w:p>
      <w:pPr>
        <w:spacing w:after="0" w:line="176"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 accordance with authoritative guidance on goodwill and other intangible assets (ASC 350), goodwill is tested for impairment at least annually in the fourth quarter, and written down when impaired. An interim impairment test is performed if an event occurs or conditions change that would more likely than not reduce the fair value of the reporting unit below the carrying value.</w:t>
      </w:r>
    </w:p>
    <w:p>
      <w:pPr>
        <w:spacing w:after="0" w:line="154"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We evaluate the recoverability of goodwill using a weighting of the income and market approaches. For the income approach, we use a discounted cash flow model, estimating the future cash flows of the reporting units to which the goodwill relates and then discounting the future cash flows at a market-participant-derived weighted-average cost of capital. In determining the estimated future cash flows, we consider current and projected future levels of income based on management’s plans for that business; business trends, prospects and market and economic conditions; and market-participant considerations. Furthermore, our cash flow projections used to assess impairment of our goodwill and other intangible assets are significantly influenced by our projection for the recovery of the U.S. home products market in the next 3 to 5 years and our annual operating plans finalized in the fourth quarter of each year. For the market approach, we apply market multiples for peer groups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the operating results of the reporting units to determine each reporting unit’s fair value. The Company’s reporting units are operating segments or one level below the operating segment. When the estimated fair value of a reporting unit is less than its carrying value, we measure and recognize the amount of the goodwill impairment loss, if any. Impairment losses, limited to the carrying value of goodwill, represent the excess of the carrying value of a reporting unit’s goodwill over the implied fair value of that goodwill. The implied fair value of a reporting unit is estimated based on a hypothetical allocation of each reporting unit’s fair value to all of its underlying assets and liabilities in accordance with the requirements of ASC</w:t>
      </w:r>
    </w:p>
    <w:p>
      <w:pPr>
        <w:spacing w:after="0" w:line="1" w:lineRule="exact"/>
        <w:rPr>
          <w:sz w:val="20"/>
          <w:szCs w:val="20"/>
          <w:color w:val="auto"/>
        </w:rPr>
      </w:pPr>
    </w:p>
    <w:p>
      <w:pPr>
        <w:ind w:right="260" w:firstLine="8"/>
        <w:spacing w:after="0" w:line="236" w:lineRule="auto"/>
        <w:tabs>
          <w:tab w:leader="none" w:pos="391" w:val="left"/>
        </w:tabs>
        <w:numPr>
          <w:ilvl w:val="0"/>
          <w:numId w:val="19"/>
        </w:numPr>
        <w:rPr>
          <w:rFonts w:ascii="Arial" w:cs="Arial" w:eastAsia="Arial" w:hAnsi="Arial"/>
          <w:sz w:val="18"/>
          <w:szCs w:val="18"/>
          <w:color w:val="auto"/>
        </w:rPr>
      </w:pPr>
      <w:r>
        <w:rPr>
          <w:rFonts w:ascii="Arial" w:cs="Arial" w:eastAsia="Arial" w:hAnsi="Arial"/>
          <w:sz w:val="18"/>
          <w:szCs w:val="18"/>
          <w:color w:val="auto"/>
        </w:rPr>
        <w:t>Both of the reporting units within Advanced Material Windows &amp; Door Systems have tradenames and goodwill. Any future reduction in the estimated fair value of the tradenames would result in an impairment charge. The estimated excess fair value in the Advanced Materials Windows &amp; Door Systems reporting units is less than 10% and accordingly, any further reduction in the estimated fair values could trigger a goodwill impairment charge in future periods. As of December 31, 2011, these reporting units had indefinite-lived tradenames with an aggregate book value of $227.0 million and goodwill with an aggregate book value of $230.2 million.</w:t>
      </w:r>
    </w:p>
    <w:p>
      <w:pPr>
        <w:spacing w:after="0" w:line="157"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ASC 350 requires that purchased intangible assets other than goodwill be amortized over their useful lives unless those lives are determined to be indefinite. The determination of the useful life of an intangible asset other than goodwill is based on factors including historical and tradename performance with respect to consumer name recognition, geographic market presence, market share, and plans for ongoing tradename support and promotion. Certain of our tradenames have been assigned an indefinite life as we currently anticipate that these tradenames will contribute cash flows to the Company indefinitely. Indefinite-lived intangible assets are not amortized, but are evaluated at least annually to determine whether the indefinite useful life is appropriate. We review indefinite-lived intangible assets for impairment annually in the fourth quarter, and whenever market or business events indicate there may be a potential impairment of that intangible. Impairment losses are recorded to the extent that the carrying value of the indefinite-lived intangible asset exceeds its fair value. We measure fair value using the standard relief-from-royalty approach which estimates the present value of royalty income that could be hypothetically earned by licensing the brand name to a third party over the remaining useful life.</w:t>
      </w:r>
    </w:p>
    <w:p>
      <w:pPr>
        <w:spacing w:after="0" w:line="161" w:lineRule="exact"/>
        <w:rPr>
          <w:sz w:val="20"/>
          <w:szCs w:val="20"/>
          <w:color w:val="auto"/>
        </w:rPr>
      </w:pPr>
    </w:p>
    <w:p>
      <w:pPr>
        <w:jc w:val="both"/>
        <w:ind w:right="400"/>
        <w:spacing w:after="0" w:line="281" w:lineRule="auto"/>
        <w:rPr>
          <w:sz w:val="20"/>
          <w:szCs w:val="20"/>
          <w:color w:val="auto"/>
        </w:rPr>
      </w:pPr>
      <w:r>
        <w:rPr>
          <w:rFonts w:ascii="Arial" w:cs="Arial" w:eastAsia="Arial" w:hAnsi="Arial"/>
          <w:sz w:val="16"/>
          <w:szCs w:val="16"/>
          <w:color w:val="auto"/>
        </w:rPr>
        <w:t>We cannot predict the occurrence of certain events or changes in circumstances that might adversely affect the carrying value of goodwill and indefinite-lived intangible assets. Such events may include, but are not limited to, the impact of the economic environment, a material negative change in relationships with significant customers or strategic decisions made in response to economic and competitive conditions.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Plans</w:t>
      </w:r>
    </w:p>
    <w:p>
      <w:pPr>
        <w:spacing w:after="0" w:line="176"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We provide a range of benefits to our employees and retired employees, including pension, postretirement, post-employment and health care benefits.</w:t>
      </w:r>
    </w:p>
    <w:p>
      <w:pPr>
        <w:spacing w:after="0" w:line="15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the fourth quarter of 2011, we elected to change our method of recognizing defined benefit plan expense. Previously, for our defined benefit plans, we used a calculated value for the market-related value of plan assets reflecting changes in the fair value of plan assets over a five-year period. In addition, actuarial gains or losses in excess of 10 percent of the greater of the market-related value of plan assets or each plans’ projected benefit obligation (the “corridor”) were recognized over the remaining service life of plan participants. For postretirement benefit plans, we used a dual corridor where actuarial gains or losses in excess of 20 percent of the project benefit obligation could be recognized faster. Under our new accounting method, we recognize changes in the fair value of plan assets and net actuarial gains or losses in excess of the corridor in earnings immediately upon remeasurement, which is at least annually in the fourth quarter of each year. We believe that this new accounting method is preferable as it eliminates the delay in recognition of actuarial gains and losses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outside the corridor. This change has been reported through retrospective application of the new policy to all periods presented. Net actuarial gains and losses occur when the actual experience differs from any of the assumptions used to value defined benefit plans or when assumptions change as they may each year. The primary factors contributing to actuarial gains and losses are changes in the discount rate used to value obligations as of the measurement date and the differences between expected and actual returns on pension plan assets and interest rates. This new accounting method also results in the potential for volatile and difficult to forecast recognition of actuarial gains and losses, particularly those due to the change in the fair value of pension assets. The pre-tax recognition of actuarial gains and losses were $80.0 million of expense, $3.5 million of income and $5.2 million of income in 2011, 2010 and 2009, respectively. See Note 2, “Significant Accounting Policies,” to the financial statements for additional details on the change and the impact of our retrospective application of the new policy.</w:t>
      </w:r>
    </w:p>
    <w:p>
      <w:pPr>
        <w:spacing w:after="0" w:line="15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record amounts relating to these plans based on calculations specified by GAAP, which include various actuarial assumptions, including discount rates, assumed rates of return, compensation increases, turnover rates and health care cost trend rates. We review our actuarial assumptions on an annual basis and make modifications to the assumptions based on current economic conditions and trends. The expected return on plan assets is determined based on the nature of the plans’ investments and our expectations for long-term rates of return. The weighted-average long-term expected rate of return on pension plan assets as of December 31, 2011 and 2010 was 7.8% and 8.5%, respectively. Compensation increases reflect expected future compensation trends. The discount rate used to measure obligations is based on a spot-rate yield curve that matches projected future benefit payments with the appropriate interest rate applicable to the timing of the projected future benefit payments. The bond portfolio used for the selection of the discount rate is from the top quartile of bonds rated by nationally recognized statistical rating organizations, and includes only non-callable bonds and those that are deemed to be sufficiently marketable with a Moody’s credit rating of Aa or higher. The weighted-average discount rate for defined benefit liabilities as of December 31, 2011 and 2010 was 4.9% and 5.8%, respectively.</w:t>
      </w:r>
    </w:p>
    <w:p>
      <w:pPr>
        <w:spacing w:after="0" w:line="161"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weighted-average remaining service period for the pension plans at December 31, 2011 was approximately 8 years. The total net actuarial losses for all defined benefit plans were $69.5 million as of December 31, 2011, an increase of $29.9 million from December 31, 2010, primarily due to actuarial losses associated with curtailments. We believe that the assumptions utilized in recording our obligations under our plans are reasonable based on our experience and on advice from our independent actuaries; however, differences in actual experience or changes in the assumptions may materially affect our financial condition or results of operations. For postretirement benefits, our health care trend rate assumption is based on historical cost increases and expectations for long-term increases. As of December 31, 2011, for postretirement medical and prescription drugs in the next year, our assumption was an assumed rate of increase of 8.0% for pre-65 retirees and 7.5% for post-65 retirees, declining 50 basis points a year until reaching an ultimate assumed rate of increase of 5% per year. As of December 31, 2010, for postretirement medical and prescription drugs, our assumption was an assumed rate of increase of 7.5% in the next year, declining 50 basis points a year until reaching an ultimate assumed rate of increase of 5% per year.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Pension expenses were $84.7 million, $8.2 million and $11.7 million, in 2011, 2010 and 2009, respectively, including actuarial losses (gains) of</w:t>
      </w:r>
    </w:p>
    <w:p>
      <w:pPr>
        <w:ind w:right="20"/>
        <w:spacing w:after="0" w:line="273" w:lineRule="auto"/>
        <w:rPr>
          <w:sz w:val="20"/>
          <w:szCs w:val="20"/>
          <w:color w:val="auto"/>
        </w:rPr>
      </w:pPr>
      <w:r>
        <w:rPr>
          <w:rFonts w:ascii="Arial" w:cs="Arial" w:eastAsia="Arial" w:hAnsi="Arial"/>
          <w:sz w:val="16"/>
          <w:szCs w:val="16"/>
          <w:color w:val="auto"/>
        </w:rPr>
        <w:t>$80.0 million, $0.6 million and $(2.8) million in 2011, 2010 and 2009, respectively. Postretirement expenses were $5.3 million, $1.3 million and $3.9 million, respectively, in 2011, 2010 and 2009, including actuarial gains of $4.1 million and $2.4 million, respectively, in 2010 and 2009. A 25 basis point change in our discount rate assumption would lead to an increase or decrease in our pension expense and postretirement benefit expense of approximately $0.2 million and $0.1 million, respectively, for 2011. A 25 basis point change in the long-term rate of return on plan assets used in accounting for our pension plans would have a $1.2 million impact on pension expense. In addition, if required, actuarial gains and losses will be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recorded in accordance with our new defined benefit plan accounting method as previously described. It is not possible to forecast or predict whether there will be actuarial gains and losses in future periods, and if required, the magnitude of any such adjustment. These gains and losses are driven by differences in actual experience or changes in the assumptions that are beyond our control, such as changes in interest rates and the actual return on pension plan assets.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76"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In accordance with authoritative guidance on income taxes (ASC 740), we establish deferred tax liabilities or assets for temporary differences between financial and tax reporting bases and subsequently adjust them to reflect changes in tax rates expected to be in effect when the temporary differences reverse. We record a valuation allowance reducing deferred tax assets when it is more likely than not that such assets will not be realized.</w:t>
      </w:r>
    </w:p>
    <w:p>
      <w:pPr>
        <w:spacing w:after="0" w:line="155"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The Company is included in the consolidated U.S. federal income tax return of our Former Parent through the date of the Separation. The current and deferred tax expense recorded in the consolidated financial statements has been determined by applying the provisions of ASC 740 as if the Company were a separate taxpayer.</w:t>
      </w:r>
    </w:p>
    <w:p>
      <w:pPr>
        <w:spacing w:after="0" w:line="154"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We record liabilities for uncertain income tax positions based on a two-step process. The first step is recognition, where we evaluate whether an individual tax position has a likelihood of greater than 50% of being sustained upon examination based on the technical merits of the position, including resolution of any related appeals or litigation processes. For tax positions that are currently estimated to have a less than 50% likelihood of being sustained, no tax benefit is recorded. For tax positions that have met the recognition threshold in the first step, we perform the second step of measuring the benefit to be recorded. The actual benefits ultimately realized may differ from our estimates. In future periods, changes in facts, circumstances, and new information may require us to change the recognition and measurement estimates with regard to individual tax positions. Changes in recognition and measurement estimates are recorded in results of operations and financial condition in the period in which such changes occur. As of December 31, 2011, we had liabilities for unrecognized tax benefits pertaining to uncertain tax positions totaling $35.4 million. It is reasonably possible that the unrecognized tax benefits may decrease in the range of $3 million to $15 million in the next 12 months primarily as a result of the conclusion of U.S. federal, state and foreign income tax proceedings.</w:t>
      </w:r>
    </w:p>
    <w:p>
      <w:pPr>
        <w:spacing w:after="0" w:line="161" w:lineRule="exact"/>
        <w:rPr>
          <w:sz w:val="20"/>
          <w:szCs w:val="20"/>
          <w:color w:val="auto"/>
        </w:rPr>
      </w:pPr>
    </w:p>
    <w:p>
      <w:pPr>
        <w:ind w:right="660"/>
        <w:spacing w:after="0" w:line="238" w:lineRule="auto"/>
        <w:rPr>
          <w:sz w:val="20"/>
          <w:szCs w:val="20"/>
          <w:color w:val="auto"/>
        </w:rPr>
      </w:pPr>
      <w:r>
        <w:rPr>
          <w:rFonts w:ascii="Arial" w:cs="Arial" w:eastAsia="Arial" w:hAnsi="Arial"/>
          <w:sz w:val="18"/>
          <w:szCs w:val="18"/>
          <w:color w:val="auto"/>
        </w:rPr>
        <w:t>As a result of the Separation and related transactions, the Company remitted foreign earnings and recorded an associated tax liability of approximately $9.1 million during 2011. However, as a stand-alone company, we intend to permanently reinvest the earnings of our foreign subsidiaries. Consequently, we have not provided deferred income taxes on undistributed earnings of foreign subsidiaries.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Program Costs</w:t>
      </w:r>
    </w:p>
    <w:p>
      <w:pPr>
        <w:spacing w:after="0" w:line="17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Customer programs and incentives are a common practice in our businesses. Our businesses incur customer program costs to obtain favorable product placement, to promote the sale of products and to maintain competitive pricing. Customer program costs and incentives, including rebates and promotion and volume allowances, are accounted for in either “net sales” or the category “selling, general and administrative expenses” at the time the program is initiated and/or the revenue is recognized. The costs recognized in “net sales” include, but are not limited to, volume allowances and rebates, promotional allowances, and cooperative advertising programs. The costs typically recognized in “selling, general and administrative expenses” include point of sale materials and media costs. These costs are recorded at the later of the time of sale or the implementation of the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program based on management’s best estimates. Estimates are based on historical and projected experience for each type of program or customer. Volume allowances are accrued based on management’s estimates of customer volume achievement and other factors incorporated into customer agreements, such as new products, store sell-through, merchandising support, levels of returns and customer training. Management periodically reviews accruals for these rebates and allowances, and adjusts accruals when circumstances indicate (typically as a result of a change in volume expectations).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Contingencies</w:t>
      </w:r>
    </w:p>
    <w:p>
      <w:pPr>
        <w:spacing w:after="0" w:line="176"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Our businesses are subject to risks related to threatened or pending litigation and are routinely defendants in lawsuits associated with the normal conduct of business. Liabilities and costs associated with litigation related loss contingencies require estimates and judgments based on our knowledge of the facts and circumstances surrounding each matter and the advice of our legal counsel. We record liabilities for litigation related losses when a loss is probable and we can reasonably estimate the amount of the loss in accordance with ASC 450. We evaluate the measurement of recorded liabilities each reporting period based on the current facts and circumstances specific to each matter. The ultimate losses incurred upon final resolution of litigation related loss contingencies may differ materially from the estimated liability recorded at particular balance sheet date. Changes in estimates are recorded in earnings in the period in which such changes occur.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80"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We are involved in remediation activities to clean up hazardous wastes as required by federal and state laws. Liabilities for remediation costs of each site are based on our best estimate of undiscounted future costs, excluding possible insurance recoveries or recoveries from other third parties. Uncertainties about the status of laws, regulations, technology and information related to individual sites make it difficult to develop estimates of environmental remediation exposures. Some of the potential liabilities relate to sites we own, and some relate to sites we no longer own or never owned. Several of our subsidiaries have been designated as potentially responsible parties (“PRPs”) under “Superfund” or similar state laws. As of December 31, 2011, eight instances have not been dismissed, settled or otherwise resolved. In most instances where our subsidiaries are named as a PRP, we enter into cost-sharing arrangements with other PRPs. We give notice to insurance carriers of potential PRP liability, but very rarely, if ever, receive reimbursement from insurance for PRP costs. We believe that the cost of complying with the present environmental protection laws, before considering estimated recoveries either from other PRPs or insurance, will not have a material adverse effect on our results of operations, cash flows or financial condition. At December 31, 2011 and 2010, we had accruals of $7.9 million and $8.2 million, respectively, relating to environmental compliance and clean up including, but not limited to, the above mentioned Superfund sites.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Initiatives</w:t>
      </w:r>
    </w:p>
    <w:p>
      <w:pPr>
        <w:spacing w:after="0" w:line="18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regularly evaluate the productivity of our supply chains and existing asset base and actively seek to identify opportunities to improve our cost structure. Future opportunities may involve, among other things, the reorganization of operations, the relocation of manufacturing or assembly to locations generally having lower costs and the efficient sourcing of products or components from third-party suppliers. Implementing any significant cost reduction and efficiency opportunities could result in charges.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are exposed to various market risks, including changes in interest rates, foreign currency exchange rates and commodity prices. Market risk is the potential loss arising from adverse changes in market rates and prices, such as interest rates, foreign currency exchange rates and commodity prices. We do not enter into derivatives or other financial instruments for trading or speculative purposes. We enter into financial instruments to manage and reduce the impact of changes in foreign currency exchange rates and commodity prices. The counterparties are major financial institutions.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 hypothetical 100 basis point change in interest rates affecting the Company’s external variable rate borrowings would be approximately $4 million on a pre-tax basis.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 Risk</w:t>
      </w:r>
    </w:p>
    <w:p>
      <w:pPr>
        <w:spacing w:after="0" w:line="180"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We enter into forward foreign exchange contracts principally to hedge currency fluctuations in transactions denominated in foreign currencies, thereby limiting our risk that would otherwise result from changes in exchange rates. The periods of the forward foreign exchange contracts correspond to the periods of the hedged transactions.</w:t>
      </w:r>
    </w:p>
    <w:p>
      <w:pPr>
        <w:spacing w:after="0" w:line="154"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The estimated fair value of foreign currency contracts represents the amount required to enter into offsetting contracts with similar remaining maturities based on quoted market prices.</w:t>
      </w:r>
    </w:p>
    <w:p>
      <w:pPr>
        <w:spacing w:after="0" w:line="15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estimated potential loss under foreign exchange contracts from movement in foreign exchange rates would not have a material impact on our results of operations, cash flows or financial condition. As part of our risk management procedure, we use a value-at-risk (VAR) sensitivity analysis model to estimate the maximum potential economic loss from adverse changes in foreign exchange rates over a one day period given a 95% confidence level. The VAR model uses historical foreign exchange rates to estimate the volatility and correlation of these rates in future periods. The estimated maximum one-day loss from the Company’s foreign currency exchange contracts using the VAR model was $2.0 million at December 31, 2011. The 95% confidence interval signifies our degree of confidence that actual losses under foreign exchange contracts would not exceed the estimated losses. The amounts disregard the possibility that foreign currency exchange rates could move in our favor. The VAR model assumes that all movements in the foreign exchange rates will be adverse. These amounts should not be considered projections of future losses, since actual results may differ significantly depending upon activity in the global financial markets. The VAR model is a risk analysis tool and should not be construed as an endorsement of the VAR model or the accuracy of the related assumptions.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80"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We are subject to commodity price volatility caused by weather, supply conditions, geopolitical and economic variables, and other unpredictable external factors. From time to time, we use derivative contracts to manage our exposure to commodity price volatility.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2"/>
          <w:szCs w:val="12"/>
          <w:color w:val="auto"/>
        </w:rPr>
        <w:t>Fortune Brands Home &amp; Security, Inc. and Subsidiaries</w:t>
      </w:r>
    </w:p>
    <w:p>
      <w:pPr>
        <w:spacing w:after="0" w:line="200" w:lineRule="exact"/>
        <w:rPr>
          <w:sz w:val="20"/>
          <w:szCs w:val="20"/>
          <w:color w:val="auto"/>
        </w:rPr>
      </w:pPr>
    </w:p>
    <w:p>
      <w:pPr>
        <w:sectPr>
          <w:pgSz w:w="11900" w:h="16838" w:orient="portrait"/>
          <w:cols w:equalWidth="0" w:num="2">
            <w:col w:w="7300" w:space="720"/>
            <w:col w:w="3400"/>
          </w:cols>
          <w:pgMar w:left="240" w:top="459" w:right="239" w:bottom="1440" w:gutter="0" w:footer="0" w:header="0"/>
        </w:sectPr>
      </w:pPr>
    </w:p>
    <w:p>
      <w:pPr>
        <w:spacing w:after="0" w:line="353" w:lineRule="exact"/>
        <w:rPr>
          <w:sz w:val="20"/>
          <w:szCs w:val="20"/>
          <w:color w:val="auto"/>
        </w:rPr>
      </w:pPr>
    </w:p>
    <w:p>
      <w:pPr>
        <w:ind w:left="8540"/>
        <w:spacing w:after="0"/>
        <w:rPr>
          <w:sz w:val="20"/>
          <w:szCs w:val="20"/>
          <w:color w:val="auto"/>
        </w:rPr>
      </w:pPr>
      <w:r>
        <w:rPr>
          <w:rFonts w:ascii="Arial" w:cs="Arial" w:eastAsia="Arial" w:hAnsi="Arial"/>
          <w:sz w:val="14"/>
          <w:szCs w:val="14"/>
          <w:color w:val="auto"/>
        </w:rPr>
        <w:t>For years ended December 31</w:t>
      </w:r>
    </w:p>
    <w:tbl>
      <w:tblPr>
        <w:tblLayout w:type="fixed"/>
        <w:tblInd w:w="0" w:type="dxa"/>
        <w:tblCellMar>
          <w:top w:w="0" w:type="dxa"/>
          <w:left w:w="0" w:type="dxa"/>
          <w:bottom w:w="0" w:type="dxa"/>
          <w:right w:w="0" w:type="dxa"/>
        </w:tblCellMar>
      </w:tblPr>
      <w:tr>
        <w:trPr>
          <w:trHeight w:val="385"/>
        </w:trPr>
        <w:tc>
          <w:tcPr>
            <w:tcW w:w="72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5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right w:val="single" w:sz="8" w:color="auto"/>
            </w:tcBorders>
          </w:tcPr>
          <w:p>
            <w:pPr>
              <w:jc w:val="right"/>
              <w:ind w:right="353"/>
              <w:spacing w:after="0"/>
              <w:rPr>
                <w:sz w:val="20"/>
                <w:szCs w:val="20"/>
                <w:color w:val="auto"/>
              </w:rPr>
            </w:pPr>
            <w:r>
              <w:rPr>
                <w:rFonts w:ascii="Arial" w:cs="Arial" w:eastAsia="Arial" w:hAnsi="Arial"/>
                <w:sz w:val="14"/>
                <w:szCs w:val="14"/>
                <w:i w:val="1"/>
                <w:iCs w:val="1"/>
                <w:color w:val="auto"/>
              </w:rPr>
              <w:t>2011</w:t>
            </w:r>
          </w:p>
        </w:tc>
        <w:tc>
          <w:tcPr>
            <w:tcW w:w="48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color w:val="auto"/>
              </w:rPr>
              <w:t>2010</w:t>
            </w:r>
          </w:p>
        </w:tc>
        <w:tc>
          <w:tcPr>
            <w:tcW w:w="48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color w:val="auto"/>
              </w:rPr>
              <w:t>2009</w:t>
            </w:r>
          </w:p>
        </w:tc>
      </w:tr>
      <w:tr>
        <w:trPr>
          <w:trHeight w:val="196"/>
        </w:trPr>
        <w:tc>
          <w:tcPr>
            <w:tcW w:w="7200" w:type="dxa"/>
            <w:vAlign w:val="bottom"/>
            <w:tcBorders>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shd w:val="clear" w:color="auto" w:fill="CCEEFF"/>
          </w:tcPr>
          <w:p>
            <w:pPr>
              <w:jc w:val="right"/>
              <w:ind w:right="353"/>
              <w:spacing w:after="0" w:line="196" w:lineRule="exact"/>
              <w:rPr>
                <w:sz w:val="20"/>
                <w:szCs w:val="20"/>
                <w:color w:val="auto"/>
              </w:rPr>
            </w:pPr>
            <w:r>
              <w:rPr>
                <w:rFonts w:ascii="Arial" w:cs="Arial" w:eastAsia="Arial" w:hAnsi="Arial"/>
                <w:sz w:val="18"/>
                <w:szCs w:val="18"/>
                <w:color w:val="auto"/>
                <w:w w:val="93"/>
              </w:rPr>
              <w:t>3,328.6</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53"/>
              <w:spacing w:after="0" w:line="196" w:lineRule="exact"/>
              <w:rPr>
                <w:sz w:val="20"/>
                <w:szCs w:val="20"/>
                <w:color w:val="auto"/>
              </w:rPr>
            </w:pPr>
            <w:r>
              <w:rPr>
                <w:rFonts w:ascii="Arial" w:cs="Arial" w:eastAsia="Arial" w:hAnsi="Arial"/>
                <w:sz w:val="18"/>
                <w:szCs w:val="18"/>
                <w:color w:val="auto"/>
                <w:w w:val="96"/>
              </w:rPr>
              <w:t>3,233.5</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w w:val="96"/>
              </w:rPr>
              <w:t>3,006.8</w:t>
            </w:r>
          </w:p>
        </w:tc>
      </w:tr>
      <w:tr>
        <w:trPr>
          <w:trHeight w:val="203"/>
        </w:trPr>
        <w:tc>
          <w:tcPr>
            <w:tcW w:w="720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Cost of products sold</w:t>
            </w:r>
          </w:p>
        </w:tc>
        <w:tc>
          <w:tcPr>
            <w:tcW w:w="500" w:type="dxa"/>
            <w:vAlign w:val="bottom"/>
          </w:tcPr>
          <w:p>
            <w:pPr>
              <w:spacing w:after="0"/>
              <w:rPr>
                <w:sz w:val="17"/>
                <w:szCs w:val="17"/>
                <w:color w:val="auto"/>
              </w:rPr>
            </w:pPr>
          </w:p>
        </w:tc>
        <w:tc>
          <w:tcPr>
            <w:tcW w:w="1020" w:type="dxa"/>
            <w:vAlign w:val="bottom"/>
            <w:tcBorders>
              <w:right w:val="single" w:sz="8" w:color="auto"/>
            </w:tcBorders>
          </w:tcPr>
          <w:p>
            <w:pPr>
              <w:jc w:val="right"/>
              <w:ind w:right="353"/>
              <w:spacing w:after="0" w:line="202" w:lineRule="exact"/>
              <w:rPr>
                <w:sz w:val="20"/>
                <w:szCs w:val="20"/>
                <w:color w:val="auto"/>
              </w:rPr>
            </w:pPr>
            <w:r>
              <w:rPr>
                <w:rFonts w:ascii="Arial" w:cs="Arial" w:eastAsia="Arial" w:hAnsi="Arial"/>
                <w:sz w:val="18"/>
                <w:szCs w:val="18"/>
                <w:color w:val="auto"/>
                <w:w w:val="93"/>
              </w:rPr>
              <w:t>2,332.1</w:t>
            </w:r>
          </w:p>
        </w:tc>
        <w:tc>
          <w:tcPr>
            <w:tcW w:w="480" w:type="dxa"/>
            <w:vAlign w:val="bottom"/>
          </w:tcPr>
          <w:p>
            <w:pPr>
              <w:spacing w:after="0"/>
              <w:rPr>
                <w:sz w:val="17"/>
                <w:szCs w:val="17"/>
                <w:color w:val="auto"/>
              </w:rPr>
            </w:pPr>
          </w:p>
        </w:tc>
        <w:tc>
          <w:tcPr>
            <w:tcW w:w="1040" w:type="dxa"/>
            <w:vAlign w:val="bottom"/>
          </w:tcPr>
          <w:p>
            <w:pPr>
              <w:jc w:val="right"/>
              <w:ind w:right="353"/>
              <w:spacing w:after="0" w:line="202" w:lineRule="exact"/>
              <w:rPr>
                <w:sz w:val="20"/>
                <w:szCs w:val="20"/>
                <w:color w:val="auto"/>
              </w:rPr>
            </w:pPr>
            <w:r>
              <w:rPr>
                <w:rFonts w:ascii="Arial" w:cs="Arial" w:eastAsia="Arial" w:hAnsi="Arial"/>
                <w:sz w:val="18"/>
                <w:szCs w:val="18"/>
                <w:color w:val="auto"/>
                <w:w w:val="96"/>
              </w:rPr>
              <w:t>2,177.1</w:t>
            </w:r>
          </w:p>
        </w:tc>
        <w:tc>
          <w:tcPr>
            <w:tcW w:w="48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w w:val="96"/>
              </w:rPr>
              <w:t>2,101.7</w:t>
            </w:r>
          </w:p>
        </w:tc>
      </w:tr>
      <w:tr>
        <w:trPr>
          <w:trHeight w:val="203"/>
        </w:trPr>
        <w:tc>
          <w:tcPr>
            <w:tcW w:w="7200" w:type="dxa"/>
            <w:vAlign w:val="bottom"/>
            <w:tcBorders>
              <w:right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5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353"/>
              <w:spacing w:after="0" w:line="202" w:lineRule="exact"/>
              <w:rPr>
                <w:sz w:val="20"/>
                <w:szCs w:val="20"/>
                <w:color w:val="auto"/>
              </w:rPr>
            </w:pPr>
            <w:r>
              <w:rPr>
                <w:rFonts w:ascii="Arial" w:cs="Arial" w:eastAsia="Arial" w:hAnsi="Arial"/>
                <w:sz w:val="18"/>
                <w:szCs w:val="18"/>
                <w:color w:val="auto"/>
              </w:rPr>
              <w:t>900.6</w:t>
            </w: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53"/>
              <w:spacing w:after="0" w:line="202" w:lineRule="exact"/>
              <w:rPr>
                <w:sz w:val="20"/>
                <w:szCs w:val="20"/>
                <w:color w:val="auto"/>
              </w:rPr>
            </w:pPr>
            <w:r>
              <w:rPr>
                <w:rFonts w:ascii="Arial" w:cs="Arial" w:eastAsia="Arial" w:hAnsi="Arial"/>
                <w:sz w:val="18"/>
                <w:szCs w:val="18"/>
                <w:color w:val="auto"/>
              </w:rPr>
              <w:t>834.3</w:t>
            </w: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813.1</w:t>
            </w:r>
          </w:p>
        </w:tc>
      </w:tr>
      <w:tr>
        <w:trPr>
          <w:trHeight w:val="203"/>
        </w:trPr>
        <w:tc>
          <w:tcPr>
            <w:tcW w:w="720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Amortization of intangible assets</w:t>
            </w:r>
          </w:p>
        </w:tc>
        <w:tc>
          <w:tcPr>
            <w:tcW w:w="500" w:type="dxa"/>
            <w:vAlign w:val="bottom"/>
          </w:tcPr>
          <w:p>
            <w:pPr>
              <w:spacing w:after="0"/>
              <w:rPr>
                <w:sz w:val="17"/>
                <w:szCs w:val="17"/>
                <w:color w:val="auto"/>
              </w:rPr>
            </w:pPr>
          </w:p>
        </w:tc>
        <w:tc>
          <w:tcPr>
            <w:tcW w:w="1020" w:type="dxa"/>
            <w:vAlign w:val="bottom"/>
            <w:tcBorders>
              <w:right w:val="single" w:sz="8" w:color="auto"/>
            </w:tcBorders>
          </w:tcPr>
          <w:p>
            <w:pPr>
              <w:jc w:val="right"/>
              <w:ind w:right="353"/>
              <w:spacing w:after="0" w:line="202" w:lineRule="exact"/>
              <w:rPr>
                <w:sz w:val="20"/>
                <w:szCs w:val="20"/>
                <w:color w:val="auto"/>
              </w:rPr>
            </w:pPr>
            <w:r>
              <w:rPr>
                <w:rFonts w:ascii="Arial" w:cs="Arial" w:eastAsia="Arial" w:hAnsi="Arial"/>
                <w:sz w:val="18"/>
                <w:szCs w:val="18"/>
                <w:color w:val="auto"/>
              </w:rPr>
              <w:t>14.4</w:t>
            </w:r>
          </w:p>
        </w:tc>
        <w:tc>
          <w:tcPr>
            <w:tcW w:w="480" w:type="dxa"/>
            <w:vAlign w:val="bottom"/>
          </w:tcPr>
          <w:p>
            <w:pPr>
              <w:spacing w:after="0"/>
              <w:rPr>
                <w:sz w:val="17"/>
                <w:szCs w:val="17"/>
                <w:color w:val="auto"/>
              </w:rPr>
            </w:pPr>
          </w:p>
        </w:tc>
        <w:tc>
          <w:tcPr>
            <w:tcW w:w="1040" w:type="dxa"/>
            <w:vAlign w:val="bottom"/>
          </w:tcPr>
          <w:p>
            <w:pPr>
              <w:jc w:val="right"/>
              <w:ind w:right="353"/>
              <w:spacing w:after="0" w:line="202" w:lineRule="exact"/>
              <w:rPr>
                <w:sz w:val="20"/>
                <w:szCs w:val="20"/>
                <w:color w:val="auto"/>
              </w:rPr>
            </w:pPr>
            <w:r>
              <w:rPr>
                <w:rFonts w:ascii="Arial" w:cs="Arial" w:eastAsia="Arial" w:hAnsi="Arial"/>
                <w:sz w:val="18"/>
                <w:szCs w:val="18"/>
                <w:color w:val="auto"/>
              </w:rPr>
              <w:t>15.7</w:t>
            </w:r>
          </w:p>
        </w:tc>
        <w:tc>
          <w:tcPr>
            <w:tcW w:w="48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16.1</w:t>
            </w:r>
          </w:p>
        </w:tc>
      </w:tr>
      <w:tr>
        <w:trPr>
          <w:trHeight w:val="203"/>
        </w:trPr>
        <w:tc>
          <w:tcPr>
            <w:tcW w:w="7200" w:type="dxa"/>
            <w:vAlign w:val="bottom"/>
            <w:tcBorders>
              <w:right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Restructuring charges</w:t>
            </w:r>
          </w:p>
        </w:tc>
        <w:tc>
          <w:tcPr>
            <w:tcW w:w="5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353"/>
              <w:spacing w:after="0" w:line="202" w:lineRule="exact"/>
              <w:rPr>
                <w:sz w:val="20"/>
                <w:szCs w:val="20"/>
                <w:color w:val="auto"/>
              </w:rPr>
            </w:pPr>
            <w:r>
              <w:rPr>
                <w:rFonts w:ascii="Arial" w:cs="Arial" w:eastAsia="Arial" w:hAnsi="Arial"/>
                <w:sz w:val="18"/>
                <w:szCs w:val="18"/>
                <w:color w:val="auto"/>
              </w:rPr>
              <w:t>4.7</w:t>
            </w: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53"/>
              <w:spacing w:after="0" w:line="202" w:lineRule="exact"/>
              <w:rPr>
                <w:sz w:val="20"/>
                <w:szCs w:val="20"/>
                <w:color w:val="auto"/>
              </w:rPr>
            </w:pPr>
            <w:r>
              <w:rPr>
                <w:rFonts w:ascii="Arial" w:cs="Arial" w:eastAsia="Arial" w:hAnsi="Arial"/>
                <w:sz w:val="18"/>
                <w:szCs w:val="18"/>
                <w:color w:val="auto"/>
              </w:rPr>
              <w:t>8.0</w:t>
            </w: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21.8</w:t>
            </w:r>
          </w:p>
        </w:tc>
      </w:tr>
      <w:tr>
        <w:trPr>
          <w:trHeight w:val="203"/>
        </w:trPr>
        <w:tc>
          <w:tcPr>
            <w:tcW w:w="720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Business separation costs</w:t>
            </w:r>
          </w:p>
        </w:tc>
        <w:tc>
          <w:tcPr>
            <w:tcW w:w="500" w:type="dxa"/>
            <w:vAlign w:val="bottom"/>
          </w:tcPr>
          <w:p>
            <w:pPr>
              <w:spacing w:after="0"/>
              <w:rPr>
                <w:sz w:val="17"/>
                <w:szCs w:val="17"/>
                <w:color w:val="auto"/>
              </w:rPr>
            </w:pPr>
          </w:p>
        </w:tc>
        <w:tc>
          <w:tcPr>
            <w:tcW w:w="1020" w:type="dxa"/>
            <w:vAlign w:val="bottom"/>
            <w:tcBorders>
              <w:right w:val="single" w:sz="8" w:color="auto"/>
            </w:tcBorders>
          </w:tcPr>
          <w:p>
            <w:pPr>
              <w:jc w:val="right"/>
              <w:ind w:right="353"/>
              <w:spacing w:after="0" w:line="202" w:lineRule="exact"/>
              <w:rPr>
                <w:sz w:val="20"/>
                <w:szCs w:val="20"/>
                <w:color w:val="auto"/>
              </w:rPr>
            </w:pPr>
            <w:r>
              <w:rPr>
                <w:rFonts w:ascii="Arial" w:cs="Arial" w:eastAsia="Arial" w:hAnsi="Arial"/>
                <w:sz w:val="18"/>
                <w:szCs w:val="18"/>
                <w:color w:val="auto"/>
              </w:rPr>
              <w:t>2.4</w:t>
            </w:r>
          </w:p>
        </w:tc>
        <w:tc>
          <w:tcPr>
            <w:tcW w:w="480" w:type="dxa"/>
            <w:vAlign w:val="bottom"/>
          </w:tcPr>
          <w:p>
            <w:pPr>
              <w:spacing w:after="0"/>
              <w:rPr>
                <w:sz w:val="17"/>
                <w:szCs w:val="17"/>
                <w:color w:val="auto"/>
              </w:rPr>
            </w:pPr>
          </w:p>
        </w:tc>
        <w:tc>
          <w:tcPr>
            <w:tcW w:w="1040" w:type="dxa"/>
            <w:vAlign w:val="bottom"/>
          </w:tcPr>
          <w:p>
            <w:pPr>
              <w:jc w:val="right"/>
              <w:ind w:right="353"/>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7200" w:type="dxa"/>
            <w:vAlign w:val="bottom"/>
            <w:tcBorders>
              <w:bottom w:val="single" w:sz="8" w:color="auto"/>
              <w:right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Asset impairment charges</w:t>
            </w:r>
          </w:p>
        </w:tc>
        <w:tc>
          <w:tcPr>
            <w:tcW w:w="5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right w:val="single" w:sz="8" w:color="auto"/>
            </w:tcBorders>
            <w:shd w:val="clear" w:color="auto" w:fill="CCEEFF"/>
          </w:tcPr>
          <w:p>
            <w:pPr>
              <w:jc w:val="right"/>
              <w:ind w:right="353"/>
              <w:spacing w:after="0" w:line="202" w:lineRule="exact"/>
              <w:rPr>
                <w:sz w:val="20"/>
                <w:szCs w:val="20"/>
                <w:color w:val="auto"/>
              </w:rPr>
            </w:pPr>
            <w:r>
              <w:rPr>
                <w:rFonts w:ascii="Arial" w:cs="Arial" w:eastAsia="Arial" w:hAnsi="Arial"/>
                <w:sz w:val="18"/>
                <w:szCs w:val="18"/>
                <w:color w:val="auto"/>
              </w:rPr>
              <w:t>90.0</w:t>
            </w:r>
          </w:p>
        </w:tc>
        <w:tc>
          <w:tcPr>
            <w:tcW w:w="4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53"/>
              <w:spacing w:after="0" w:line="202"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196"/>
        </w:trPr>
        <w:tc>
          <w:tcPr>
            <w:tcW w:w="7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OPERATING (LOSS) INCOME</w:t>
            </w: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jc w:val="right"/>
              <w:ind w:right="293"/>
              <w:spacing w:after="0" w:line="196" w:lineRule="exact"/>
              <w:rPr>
                <w:sz w:val="20"/>
                <w:szCs w:val="20"/>
                <w:color w:val="auto"/>
              </w:rPr>
            </w:pPr>
            <w:r>
              <w:rPr>
                <w:rFonts w:ascii="Arial" w:cs="Arial" w:eastAsia="Arial" w:hAnsi="Arial"/>
                <w:sz w:val="18"/>
                <w:szCs w:val="18"/>
                <w:color w:val="auto"/>
              </w:rPr>
              <w:t>(15.6)</w:t>
            </w: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3"/>
              <w:spacing w:after="0" w:line="196" w:lineRule="exact"/>
              <w:rPr>
                <w:sz w:val="20"/>
                <w:szCs w:val="20"/>
                <w:color w:val="auto"/>
              </w:rPr>
            </w:pPr>
            <w:r>
              <w:rPr>
                <w:rFonts w:ascii="Arial" w:cs="Arial" w:eastAsia="Arial" w:hAnsi="Arial"/>
                <w:sz w:val="18"/>
                <w:szCs w:val="18"/>
                <w:color w:val="auto"/>
              </w:rPr>
              <w:t>198.4</w:t>
            </w:r>
          </w:p>
        </w:tc>
        <w:tc>
          <w:tcPr>
            <w:tcW w:w="4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54.1</w:t>
            </w:r>
          </w:p>
        </w:tc>
      </w:tr>
      <w:tr>
        <w:trPr>
          <w:trHeight w:val="196"/>
        </w:trPr>
        <w:tc>
          <w:tcPr>
            <w:tcW w:w="7200" w:type="dxa"/>
            <w:vAlign w:val="bottom"/>
            <w:tcBorders>
              <w:right w:val="single" w:sz="8" w:color="auto"/>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Related party interest expense, net</w:t>
            </w:r>
          </w:p>
        </w:tc>
        <w:tc>
          <w:tcPr>
            <w:tcW w:w="5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353"/>
              <w:spacing w:after="0" w:line="196" w:lineRule="exact"/>
              <w:rPr>
                <w:sz w:val="20"/>
                <w:szCs w:val="20"/>
                <w:color w:val="auto"/>
              </w:rPr>
            </w:pPr>
            <w:r>
              <w:rPr>
                <w:rFonts w:ascii="Arial" w:cs="Arial" w:eastAsia="Arial" w:hAnsi="Arial"/>
                <w:sz w:val="18"/>
                <w:szCs w:val="18"/>
                <w:color w:val="auto"/>
              </w:rPr>
              <w:t>23.2</w:t>
            </w: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53"/>
              <w:spacing w:after="0" w:line="196" w:lineRule="exact"/>
              <w:rPr>
                <w:sz w:val="20"/>
                <w:szCs w:val="20"/>
                <w:color w:val="auto"/>
              </w:rPr>
            </w:pPr>
            <w:r>
              <w:rPr>
                <w:rFonts w:ascii="Arial" w:cs="Arial" w:eastAsia="Arial" w:hAnsi="Arial"/>
                <w:sz w:val="18"/>
                <w:szCs w:val="18"/>
                <w:color w:val="auto"/>
              </w:rPr>
              <w:t>116.0</w:t>
            </w: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rPr>
              <w:t>84.9</w:t>
            </w:r>
          </w:p>
        </w:tc>
      </w:tr>
      <w:tr>
        <w:trPr>
          <w:trHeight w:val="203"/>
        </w:trPr>
        <w:tc>
          <w:tcPr>
            <w:tcW w:w="720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External interest expense</w:t>
            </w:r>
          </w:p>
        </w:tc>
        <w:tc>
          <w:tcPr>
            <w:tcW w:w="500" w:type="dxa"/>
            <w:vAlign w:val="bottom"/>
          </w:tcPr>
          <w:p>
            <w:pPr>
              <w:spacing w:after="0"/>
              <w:rPr>
                <w:sz w:val="17"/>
                <w:szCs w:val="17"/>
                <w:color w:val="auto"/>
              </w:rPr>
            </w:pPr>
          </w:p>
        </w:tc>
        <w:tc>
          <w:tcPr>
            <w:tcW w:w="1020" w:type="dxa"/>
            <w:vAlign w:val="bottom"/>
            <w:tcBorders>
              <w:right w:val="single" w:sz="8" w:color="auto"/>
            </w:tcBorders>
          </w:tcPr>
          <w:p>
            <w:pPr>
              <w:jc w:val="right"/>
              <w:ind w:right="353"/>
              <w:spacing w:after="0" w:line="202" w:lineRule="exact"/>
              <w:rPr>
                <w:sz w:val="20"/>
                <w:szCs w:val="20"/>
                <w:color w:val="auto"/>
              </w:rPr>
            </w:pPr>
            <w:r>
              <w:rPr>
                <w:rFonts w:ascii="Arial" w:cs="Arial" w:eastAsia="Arial" w:hAnsi="Arial"/>
                <w:sz w:val="18"/>
                <w:szCs w:val="18"/>
                <w:color w:val="auto"/>
              </w:rPr>
              <w:t>3.2</w:t>
            </w:r>
          </w:p>
        </w:tc>
        <w:tc>
          <w:tcPr>
            <w:tcW w:w="480" w:type="dxa"/>
            <w:vAlign w:val="bottom"/>
          </w:tcPr>
          <w:p>
            <w:pPr>
              <w:spacing w:after="0"/>
              <w:rPr>
                <w:sz w:val="17"/>
                <w:szCs w:val="17"/>
                <w:color w:val="auto"/>
              </w:rPr>
            </w:pPr>
          </w:p>
        </w:tc>
        <w:tc>
          <w:tcPr>
            <w:tcW w:w="1040" w:type="dxa"/>
            <w:vAlign w:val="bottom"/>
          </w:tcPr>
          <w:p>
            <w:pPr>
              <w:jc w:val="right"/>
              <w:ind w:right="353"/>
              <w:spacing w:after="0" w:line="202" w:lineRule="exact"/>
              <w:rPr>
                <w:sz w:val="20"/>
                <w:szCs w:val="20"/>
                <w:color w:val="auto"/>
              </w:rPr>
            </w:pPr>
            <w:r>
              <w:rPr>
                <w:rFonts w:ascii="Arial" w:cs="Arial" w:eastAsia="Arial" w:hAnsi="Arial"/>
                <w:sz w:val="18"/>
                <w:szCs w:val="18"/>
                <w:color w:val="auto"/>
              </w:rPr>
              <w:t>0.3</w:t>
            </w:r>
          </w:p>
        </w:tc>
        <w:tc>
          <w:tcPr>
            <w:tcW w:w="48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0.3</w:t>
            </w:r>
          </w:p>
        </w:tc>
      </w:tr>
      <w:tr>
        <w:trPr>
          <w:trHeight w:val="203"/>
        </w:trPr>
        <w:tc>
          <w:tcPr>
            <w:tcW w:w="7200" w:type="dxa"/>
            <w:vAlign w:val="bottom"/>
            <w:tcBorders>
              <w:bottom w:val="single" w:sz="8" w:color="auto"/>
              <w:right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expense (income), net</w:t>
            </w:r>
          </w:p>
        </w:tc>
        <w:tc>
          <w:tcPr>
            <w:tcW w:w="5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right w:val="single" w:sz="8" w:color="auto"/>
            </w:tcBorders>
            <w:shd w:val="clear" w:color="auto" w:fill="CCEEFF"/>
          </w:tcPr>
          <w:p>
            <w:pPr>
              <w:jc w:val="right"/>
              <w:ind w:right="353"/>
              <w:spacing w:after="0" w:line="202" w:lineRule="exact"/>
              <w:rPr>
                <w:sz w:val="20"/>
                <w:szCs w:val="20"/>
                <w:color w:val="auto"/>
              </w:rPr>
            </w:pPr>
            <w:r>
              <w:rPr>
                <w:rFonts w:ascii="Arial" w:cs="Arial" w:eastAsia="Arial" w:hAnsi="Arial"/>
                <w:sz w:val="18"/>
                <w:szCs w:val="18"/>
                <w:color w:val="auto"/>
              </w:rPr>
              <w:t>1.6</w:t>
            </w:r>
          </w:p>
        </w:tc>
        <w:tc>
          <w:tcPr>
            <w:tcW w:w="4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(1.0)</w:t>
            </w:r>
          </w:p>
        </w:tc>
        <w:tc>
          <w:tcPr>
            <w:tcW w:w="4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r>
      <w:tr>
        <w:trPr>
          <w:trHeight w:val="196"/>
        </w:trPr>
        <w:tc>
          <w:tcPr>
            <w:tcW w:w="72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(Loss) income before income taxes</w:t>
            </w:r>
          </w:p>
        </w:tc>
        <w:tc>
          <w:tcPr>
            <w:tcW w:w="500" w:type="dxa"/>
            <w:vAlign w:val="bottom"/>
          </w:tcPr>
          <w:p>
            <w:pPr>
              <w:spacing w:after="0"/>
              <w:rPr>
                <w:sz w:val="17"/>
                <w:szCs w:val="17"/>
                <w:color w:val="auto"/>
              </w:rPr>
            </w:pPr>
          </w:p>
        </w:tc>
        <w:tc>
          <w:tcPr>
            <w:tcW w:w="1020" w:type="dxa"/>
            <w:vAlign w:val="bottom"/>
            <w:tcBorders>
              <w:right w:val="single" w:sz="8" w:color="auto"/>
            </w:tcBorders>
          </w:tcPr>
          <w:p>
            <w:pPr>
              <w:jc w:val="right"/>
              <w:ind w:right="293"/>
              <w:spacing w:after="0" w:line="196" w:lineRule="exact"/>
              <w:rPr>
                <w:sz w:val="20"/>
                <w:szCs w:val="20"/>
                <w:color w:val="auto"/>
              </w:rPr>
            </w:pPr>
            <w:r>
              <w:rPr>
                <w:rFonts w:ascii="Arial" w:cs="Arial" w:eastAsia="Arial" w:hAnsi="Arial"/>
                <w:sz w:val="18"/>
                <w:szCs w:val="18"/>
                <w:color w:val="auto"/>
              </w:rPr>
              <w:t>(43.6)</w:t>
            </w:r>
          </w:p>
        </w:tc>
        <w:tc>
          <w:tcPr>
            <w:tcW w:w="480" w:type="dxa"/>
            <w:vAlign w:val="bottom"/>
          </w:tcPr>
          <w:p>
            <w:pPr>
              <w:spacing w:after="0"/>
              <w:rPr>
                <w:sz w:val="17"/>
                <w:szCs w:val="17"/>
                <w:color w:val="auto"/>
              </w:rPr>
            </w:pPr>
          </w:p>
        </w:tc>
        <w:tc>
          <w:tcPr>
            <w:tcW w:w="1040" w:type="dxa"/>
            <w:vAlign w:val="bottom"/>
          </w:tcPr>
          <w:p>
            <w:pPr>
              <w:jc w:val="right"/>
              <w:ind w:right="353"/>
              <w:spacing w:after="0" w:line="196" w:lineRule="exact"/>
              <w:rPr>
                <w:sz w:val="20"/>
                <w:szCs w:val="20"/>
                <w:color w:val="auto"/>
              </w:rPr>
            </w:pPr>
            <w:r>
              <w:rPr>
                <w:rFonts w:ascii="Arial" w:cs="Arial" w:eastAsia="Arial" w:hAnsi="Arial"/>
                <w:sz w:val="18"/>
                <w:szCs w:val="18"/>
                <w:color w:val="auto"/>
              </w:rPr>
              <w:t>83.1</w:t>
            </w:r>
          </w:p>
        </w:tc>
        <w:tc>
          <w:tcPr>
            <w:tcW w:w="48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(30.1)</w:t>
            </w:r>
          </w:p>
        </w:tc>
      </w:tr>
      <w:tr>
        <w:trPr>
          <w:trHeight w:val="203"/>
        </w:trPr>
        <w:tc>
          <w:tcPr>
            <w:tcW w:w="7200" w:type="dxa"/>
            <w:vAlign w:val="bottom"/>
            <w:tcBorders>
              <w:bottom w:val="single" w:sz="8" w:color="auto"/>
              <w:right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taxes</w:t>
            </w:r>
          </w:p>
        </w:tc>
        <w:tc>
          <w:tcPr>
            <w:tcW w:w="5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right w:val="single" w:sz="8" w:color="auto"/>
            </w:tcBorders>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(9.0)</w:t>
            </w:r>
          </w:p>
        </w:tc>
        <w:tc>
          <w:tcPr>
            <w:tcW w:w="4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53"/>
              <w:spacing w:after="0" w:line="202" w:lineRule="exact"/>
              <w:rPr>
                <w:sz w:val="20"/>
                <w:szCs w:val="20"/>
                <w:color w:val="auto"/>
              </w:rPr>
            </w:pPr>
            <w:r>
              <w:rPr>
                <w:rFonts w:ascii="Arial" w:cs="Arial" w:eastAsia="Arial" w:hAnsi="Arial"/>
                <w:sz w:val="18"/>
                <w:szCs w:val="18"/>
                <w:color w:val="auto"/>
              </w:rPr>
              <w:t>18.1</w:t>
            </w:r>
          </w:p>
        </w:tc>
        <w:tc>
          <w:tcPr>
            <w:tcW w:w="4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8.1</w:t>
            </w:r>
          </w:p>
        </w:tc>
      </w:tr>
      <w:tr>
        <w:trPr>
          <w:trHeight w:val="196"/>
        </w:trPr>
        <w:tc>
          <w:tcPr>
            <w:tcW w:w="72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(LOSS) INCOME</w:t>
            </w:r>
          </w:p>
        </w:tc>
        <w:tc>
          <w:tcPr>
            <w:tcW w:w="500" w:type="dxa"/>
            <w:vAlign w:val="bottom"/>
          </w:tcPr>
          <w:p>
            <w:pPr>
              <w:spacing w:after="0"/>
              <w:rPr>
                <w:sz w:val="17"/>
                <w:szCs w:val="17"/>
                <w:color w:val="auto"/>
              </w:rPr>
            </w:pPr>
          </w:p>
        </w:tc>
        <w:tc>
          <w:tcPr>
            <w:tcW w:w="1020" w:type="dxa"/>
            <w:vAlign w:val="bottom"/>
            <w:tcBorders>
              <w:right w:val="single" w:sz="8" w:color="auto"/>
            </w:tcBorders>
          </w:tcPr>
          <w:p>
            <w:pPr>
              <w:jc w:val="right"/>
              <w:ind w:right="293"/>
              <w:spacing w:after="0" w:line="196" w:lineRule="exact"/>
              <w:rPr>
                <w:sz w:val="20"/>
                <w:szCs w:val="20"/>
                <w:color w:val="auto"/>
              </w:rPr>
            </w:pPr>
            <w:r>
              <w:rPr>
                <w:rFonts w:ascii="Arial" w:cs="Arial" w:eastAsia="Arial" w:hAnsi="Arial"/>
                <w:sz w:val="18"/>
                <w:szCs w:val="18"/>
                <w:color w:val="auto"/>
              </w:rPr>
              <w:t>(34.6)</w:t>
            </w:r>
          </w:p>
        </w:tc>
        <w:tc>
          <w:tcPr>
            <w:tcW w:w="480" w:type="dxa"/>
            <w:vAlign w:val="bottom"/>
          </w:tcPr>
          <w:p>
            <w:pPr>
              <w:spacing w:after="0"/>
              <w:rPr>
                <w:sz w:val="17"/>
                <w:szCs w:val="17"/>
                <w:color w:val="auto"/>
              </w:rPr>
            </w:pPr>
          </w:p>
        </w:tc>
        <w:tc>
          <w:tcPr>
            <w:tcW w:w="1040" w:type="dxa"/>
            <w:vAlign w:val="bottom"/>
          </w:tcPr>
          <w:p>
            <w:pPr>
              <w:jc w:val="right"/>
              <w:ind w:right="353"/>
              <w:spacing w:after="0" w:line="196" w:lineRule="exact"/>
              <w:rPr>
                <w:sz w:val="20"/>
                <w:szCs w:val="20"/>
                <w:color w:val="auto"/>
              </w:rPr>
            </w:pPr>
            <w:r>
              <w:rPr>
                <w:rFonts w:ascii="Arial" w:cs="Arial" w:eastAsia="Arial" w:hAnsi="Arial"/>
                <w:sz w:val="18"/>
                <w:szCs w:val="18"/>
                <w:color w:val="auto"/>
              </w:rPr>
              <w:t>65.0</w:t>
            </w:r>
          </w:p>
        </w:tc>
        <w:tc>
          <w:tcPr>
            <w:tcW w:w="48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(38.2)</w:t>
            </w:r>
          </w:p>
        </w:tc>
      </w:tr>
      <w:tr>
        <w:trPr>
          <w:trHeight w:val="203"/>
        </w:trPr>
        <w:tc>
          <w:tcPr>
            <w:tcW w:w="7200" w:type="dxa"/>
            <w:vAlign w:val="bottom"/>
            <w:tcBorders>
              <w:bottom w:val="single" w:sz="8" w:color="auto"/>
              <w:right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Less: Noncontrolling interests</w:t>
            </w:r>
          </w:p>
        </w:tc>
        <w:tc>
          <w:tcPr>
            <w:tcW w:w="5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right w:val="single" w:sz="8" w:color="auto"/>
            </w:tcBorders>
            <w:shd w:val="clear" w:color="auto" w:fill="CCEEFF"/>
          </w:tcPr>
          <w:p>
            <w:pPr>
              <w:jc w:val="right"/>
              <w:ind w:right="353"/>
              <w:spacing w:after="0" w:line="202" w:lineRule="exact"/>
              <w:rPr>
                <w:sz w:val="20"/>
                <w:szCs w:val="20"/>
                <w:color w:val="auto"/>
              </w:rPr>
            </w:pPr>
            <w:r>
              <w:rPr>
                <w:rFonts w:ascii="Arial" w:cs="Arial" w:eastAsia="Arial" w:hAnsi="Arial"/>
                <w:sz w:val="18"/>
                <w:szCs w:val="18"/>
                <w:color w:val="auto"/>
              </w:rPr>
              <w:t>1.0</w:t>
            </w:r>
          </w:p>
        </w:tc>
        <w:tc>
          <w:tcPr>
            <w:tcW w:w="4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53"/>
              <w:spacing w:after="0" w:line="202" w:lineRule="exact"/>
              <w:rPr>
                <w:sz w:val="20"/>
                <w:szCs w:val="20"/>
                <w:color w:val="auto"/>
              </w:rPr>
            </w:pPr>
            <w:r>
              <w:rPr>
                <w:rFonts w:ascii="Arial" w:cs="Arial" w:eastAsia="Arial" w:hAnsi="Arial"/>
                <w:sz w:val="18"/>
                <w:szCs w:val="18"/>
                <w:color w:val="auto"/>
              </w:rPr>
              <w:t>1.2</w:t>
            </w:r>
          </w:p>
        </w:tc>
        <w:tc>
          <w:tcPr>
            <w:tcW w:w="4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0.8</w:t>
            </w:r>
          </w:p>
        </w:tc>
      </w:tr>
      <w:tr>
        <w:trPr>
          <w:trHeight w:val="203"/>
        </w:trPr>
        <w:tc>
          <w:tcPr>
            <w:tcW w:w="7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(LOSS) INCOME ATTRIBUTABLE TO HOME &amp; SECURITY</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ind w:right="293"/>
              <w:spacing w:after="0" w:line="196" w:lineRule="exact"/>
              <w:rPr>
                <w:sz w:val="20"/>
                <w:szCs w:val="20"/>
                <w:color w:val="auto"/>
              </w:rPr>
            </w:pPr>
            <w:r>
              <w:rPr>
                <w:rFonts w:ascii="Arial" w:cs="Arial" w:eastAsia="Arial" w:hAnsi="Arial"/>
                <w:sz w:val="18"/>
                <w:szCs w:val="18"/>
                <w:color w:val="auto"/>
              </w:rPr>
              <w:t>(35.6)</w:t>
            </w: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53"/>
              <w:spacing w:after="0" w:line="196" w:lineRule="exact"/>
              <w:rPr>
                <w:sz w:val="20"/>
                <w:szCs w:val="20"/>
                <w:color w:val="auto"/>
              </w:rPr>
            </w:pPr>
            <w:r>
              <w:rPr>
                <w:rFonts w:ascii="Arial" w:cs="Arial" w:eastAsia="Arial" w:hAnsi="Arial"/>
                <w:sz w:val="18"/>
                <w:szCs w:val="18"/>
                <w:color w:val="auto"/>
              </w:rPr>
              <w:t>63.8</w:t>
            </w: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(39.0)</w:t>
            </w:r>
          </w:p>
        </w:tc>
      </w:tr>
      <w:tr>
        <w:trPr>
          <w:trHeight w:val="203"/>
        </w:trPr>
        <w:tc>
          <w:tcPr>
            <w:tcW w:w="720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BASIC AND DILUTED (LOSS) EARNINGS PER COMMON SHARE</w:t>
            </w:r>
            <w:r>
              <w:rPr>
                <w:rFonts w:ascii="Arial" w:cs="Arial" w:eastAsia="Arial" w:hAnsi="Arial"/>
                <w:sz w:val="11"/>
                <w:szCs w:val="11"/>
                <w:b w:val="1"/>
                <w:bCs w:val="1"/>
                <w:color w:val="auto"/>
              </w:rPr>
              <w:t>(a)</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(0.23)</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53"/>
              <w:spacing w:after="0" w:line="202" w:lineRule="exact"/>
              <w:rPr>
                <w:sz w:val="20"/>
                <w:szCs w:val="20"/>
                <w:color w:val="auto"/>
              </w:rPr>
            </w:pPr>
            <w:r>
              <w:rPr>
                <w:rFonts w:ascii="Arial" w:cs="Arial" w:eastAsia="Arial" w:hAnsi="Arial"/>
                <w:sz w:val="18"/>
                <w:szCs w:val="18"/>
                <w:color w:val="auto"/>
              </w:rPr>
              <w:t>0.41</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(0.25)</w:t>
            </w:r>
          </w:p>
        </w:tc>
      </w:tr>
      <w:tr>
        <w:trPr>
          <w:trHeight w:val="210"/>
        </w:trPr>
        <w:tc>
          <w:tcPr>
            <w:tcW w:w="7200" w:type="dxa"/>
            <w:vAlign w:val="bottom"/>
            <w:tcBorders>
              <w:bottom w:val="single" w:sz="8" w:color="auto"/>
              <w:right w:val="single" w:sz="8" w:color="auto"/>
            </w:tcBorders>
          </w:tcPr>
          <w:p>
            <w:pPr>
              <w:spacing w:after="0" w:line="202" w:lineRule="exact"/>
              <w:rPr>
                <w:sz w:val="20"/>
                <w:szCs w:val="20"/>
                <w:color w:val="auto"/>
              </w:rPr>
            </w:pPr>
            <w:r>
              <w:rPr>
                <w:rFonts w:ascii="Arial" w:cs="Arial" w:eastAsia="Arial" w:hAnsi="Arial"/>
                <w:sz w:val="18"/>
                <w:szCs w:val="18"/>
                <w:color w:val="auto"/>
              </w:rPr>
              <w:t>Basic and diluted average number of shares outstanding</w:t>
            </w:r>
            <w:r>
              <w:rPr>
                <w:rFonts w:ascii="Arial" w:cs="Arial" w:eastAsia="Arial" w:hAnsi="Arial"/>
                <w:sz w:val="11"/>
                <w:szCs w:val="11"/>
                <w:color w:val="auto"/>
              </w:rPr>
              <w:t>(a)</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353"/>
              <w:spacing w:after="0" w:line="202" w:lineRule="exact"/>
              <w:rPr>
                <w:sz w:val="20"/>
                <w:szCs w:val="20"/>
                <w:color w:val="auto"/>
              </w:rPr>
            </w:pPr>
            <w:r>
              <w:rPr>
                <w:rFonts w:ascii="Arial" w:cs="Arial" w:eastAsia="Arial" w:hAnsi="Arial"/>
                <w:sz w:val="18"/>
                <w:szCs w:val="18"/>
                <w:color w:val="auto"/>
              </w:rPr>
              <w:t>155.2</w:t>
            </w: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3"/>
              <w:spacing w:after="0" w:line="202" w:lineRule="exact"/>
              <w:rPr>
                <w:sz w:val="20"/>
                <w:szCs w:val="20"/>
                <w:color w:val="auto"/>
              </w:rPr>
            </w:pPr>
            <w:r>
              <w:rPr>
                <w:rFonts w:ascii="Arial" w:cs="Arial" w:eastAsia="Arial" w:hAnsi="Arial"/>
                <w:sz w:val="18"/>
                <w:szCs w:val="18"/>
                <w:color w:val="auto"/>
              </w:rPr>
              <w:t>155.1</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155.1</w:t>
            </w:r>
          </w:p>
        </w:tc>
      </w:tr>
    </w:tbl>
    <w:p>
      <w:pPr>
        <w:spacing w:after="0" w:line="67" w:lineRule="exact"/>
        <w:rPr>
          <w:sz w:val="20"/>
          <w:szCs w:val="20"/>
          <w:color w:val="auto"/>
        </w:rPr>
      </w:pPr>
    </w:p>
    <w:p>
      <w:pPr>
        <w:ind w:left="220" w:right="160" w:hanging="212"/>
        <w:spacing w:after="0" w:line="191" w:lineRule="auto"/>
        <w:tabs>
          <w:tab w:leader="none" w:pos="22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On September 27, 2011, shares of Home &amp; Security common stock (par value $0.01 per share) were split from 1,000 shares issued and outstanding and 100,000 shares authorized to approximately 155.1 million shares issued and outstanding and 750 million shares authorized. Basic and diluted earnings per common share and the average number of common shares outstanding were retrospectively restated adjusting the number of Home &amp; Security shares for the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Balance Sheets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2"/>
          <w:szCs w:val="12"/>
          <w:color w:val="auto"/>
        </w:rPr>
        <w:t>Fortune Brands Home &amp; Security,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-5099685</wp:posOffset>
            </wp:positionH>
            <wp:positionV relativeFrom="paragraph">
              <wp:posOffset>-661035</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135890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00" w:space="720"/>
            <w:col w:w="3400"/>
          </w:cols>
          <w:pgMar w:left="240" w:top="459" w:right="239" w:bottom="1440" w:gutter="0" w:footer="0" w:header="0"/>
        </w:sect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color w:val="auto"/>
                <w:w w:val="95"/>
              </w:rPr>
              <w:t>December 31</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385"/>
        </w:trPr>
        <w:tc>
          <w:tcPr>
            <w:tcW w:w="8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i w:val="1"/>
                <w:iCs w:val="1"/>
                <w:color w:val="auto"/>
              </w:rPr>
              <w:t>(In millions)</w:t>
            </w:r>
          </w:p>
        </w:tc>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jc w:val="right"/>
              <w:ind w:right="373"/>
              <w:spacing w:after="0"/>
              <w:rPr>
                <w:sz w:val="20"/>
                <w:szCs w:val="20"/>
                <w:color w:val="auto"/>
              </w:rPr>
            </w:pPr>
            <w:r>
              <w:rPr>
                <w:rFonts w:ascii="Arial" w:cs="Arial" w:eastAsia="Arial" w:hAnsi="Arial"/>
                <w:sz w:val="14"/>
                <w:szCs w:val="14"/>
                <w:i w:val="1"/>
                <w:iCs w:val="1"/>
                <w:color w:val="auto"/>
              </w:rPr>
              <w:t>2011</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2010</w:t>
            </w:r>
          </w:p>
        </w:tc>
      </w:tr>
      <w:tr>
        <w:trPr>
          <w:trHeight w:val="196"/>
        </w:trPr>
        <w:tc>
          <w:tcPr>
            <w:tcW w:w="8640" w:type="dxa"/>
            <w:vAlign w:val="bottom"/>
            <w:tcBorders>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2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864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Current assets</w:t>
            </w:r>
          </w:p>
        </w:tc>
        <w:tc>
          <w:tcPr>
            <w:tcW w:w="5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8640" w:type="dxa"/>
            <w:vAlign w:val="bottom"/>
            <w:tcBorders>
              <w:right w:val="single" w:sz="8" w:color="auto"/>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Cash and cash equivalents</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120.8</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60.7</w:t>
            </w:r>
          </w:p>
        </w:tc>
      </w:tr>
      <w:tr>
        <w:trPr>
          <w:trHeight w:val="206"/>
        </w:trPr>
        <w:tc>
          <w:tcPr>
            <w:tcW w:w="8640" w:type="dxa"/>
            <w:vAlign w:val="bottom"/>
            <w:tcBorders>
              <w:right w:val="single" w:sz="8" w:color="auto"/>
            </w:tcBorders>
          </w:tcPr>
          <w:p>
            <w:pPr>
              <w:ind w:left="440"/>
              <w:spacing w:after="0" w:line="206" w:lineRule="exact"/>
              <w:rPr>
                <w:sz w:val="20"/>
                <w:szCs w:val="20"/>
                <w:color w:val="auto"/>
              </w:rPr>
            </w:pPr>
            <w:r>
              <w:rPr>
                <w:rFonts w:ascii="Arial" w:cs="Arial" w:eastAsia="Arial" w:hAnsi="Arial"/>
                <w:sz w:val="18"/>
                <w:szCs w:val="18"/>
                <w:color w:val="auto"/>
              </w:rPr>
              <w:t>Accounts receivable less allowances for discounts,</w:t>
            </w:r>
          </w:p>
        </w:tc>
        <w:tc>
          <w:tcPr>
            <w:tcW w:w="5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9"/>
        </w:trPr>
        <w:tc>
          <w:tcPr>
            <w:tcW w:w="8640" w:type="dxa"/>
            <w:vAlign w:val="bottom"/>
            <w:tcBorders>
              <w:right w:val="single" w:sz="8" w:color="auto"/>
            </w:tcBorders>
          </w:tcPr>
          <w:p>
            <w:pPr>
              <w:ind w:left="660"/>
              <w:spacing w:after="0" w:line="200" w:lineRule="exact"/>
              <w:rPr>
                <w:sz w:val="20"/>
                <w:szCs w:val="20"/>
                <w:color w:val="auto"/>
              </w:rPr>
            </w:pPr>
            <w:r>
              <w:rPr>
                <w:rFonts w:ascii="Arial" w:cs="Arial" w:eastAsia="Arial" w:hAnsi="Arial"/>
                <w:sz w:val="18"/>
                <w:szCs w:val="18"/>
                <w:color w:val="auto"/>
              </w:rPr>
              <w:t>doubtful accounts and returns</w:t>
            </w:r>
          </w:p>
        </w:tc>
        <w:tc>
          <w:tcPr>
            <w:tcW w:w="520" w:type="dxa"/>
            <w:vAlign w:val="bottom"/>
          </w:tcPr>
          <w:p>
            <w:pPr>
              <w:spacing w:after="0"/>
              <w:rPr>
                <w:sz w:val="17"/>
                <w:szCs w:val="17"/>
                <w:color w:val="auto"/>
              </w:rPr>
            </w:pPr>
          </w:p>
        </w:tc>
        <w:tc>
          <w:tcPr>
            <w:tcW w:w="1040" w:type="dxa"/>
            <w:vAlign w:val="bottom"/>
            <w:tcBorders>
              <w:right w:val="single" w:sz="8" w:color="auto"/>
            </w:tcBorders>
          </w:tcPr>
          <w:p>
            <w:pPr>
              <w:jc w:val="right"/>
              <w:ind w:right="373"/>
              <w:spacing w:after="0" w:line="200" w:lineRule="exact"/>
              <w:rPr>
                <w:sz w:val="20"/>
                <w:szCs w:val="20"/>
                <w:color w:val="auto"/>
              </w:rPr>
            </w:pPr>
            <w:r>
              <w:rPr>
                <w:rFonts w:ascii="Arial" w:cs="Arial" w:eastAsia="Arial" w:hAnsi="Arial"/>
                <w:sz w:val="18"/>
                <w:szCs w:val="18"/>
                <w:color w:val="auto"/>
              </w:rPr>
              <w:t>346.1</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13"/>
              <w:spacing w:after="0" w:line="200" w:lineRule="exact"/>
              <w:rPr>
                <w:sz w:val="20"/>
                <w:szCs w:val="20"/>
                <w:color w:val="auto"/>
              </w:rPr>
            </w:pPr>
            <w:r>
              <w:rPr>
                <w:rFonts w:ascii="Arial" w:cs="Arial" w:eastAsia="Arial" w:hAnsi="Arial"/>
                <w:sz w:val="18"/>
                <w:szCs w:val="18"/>
                <w:color w:val="auto"/>
              </w:rPr>
              <w:t>374.2</w:t>
            </w:r>
          </w:p>
        </w:tc>
      </w:tr>
      <w:tr>
        <w:trPr>
          <w:trHeight w:val="203"/>
        </w:trPr>
        <w:tc>
          <w:tcPr>
            <w:tcW w:w="8640" w:type="dxa"/>
            <w:vAlign w:val="bottom"/>
            <w:tcBorders>
              <w:right w:val="single" w:sz="8" w:color="auto"/>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Inventories</w:t>
            </w:r>
          </w:p>
        </w:tc>
        <w:tc>
          <w:tcPr>
            <w:tcW w:w="52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336.3</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332.1</w:t>
            </w:r>
          </w:p>
        </w:tc>
      </w:tr>
      <w:tr>
        <w:trPr>
          <w:trHeight w:val="203"/>
        </w:trPr>
        <w:tc>
          <w:tcPr>
            <w:tcW w:w="864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Loans to Fortune Brands, Inc.</w:t>
            </w:r>
          </w:p>
        </w:tc>
        <w:tc>
          <w:tcPr>
            <w:tcW w:w="520" w:type="dxa"/>
            <w:vAlign w:val="bottom"/>
          </w:tcPr>
          <w:p>
            <w:pPr>
              <w:spacing w:after="0"/>
              <w:rPr>
                <w:sz w:val="17"/>
                <w:szCs w:val="17"/>
                <w:color w:val="auto"/>
              </w:rPr>
            </w:pPr>
          </w:p>
        </w:tc>
        <w:tc>
          <w:tcPr>
            <w:tcW w:w="1040" w:type="dxa"/>
            <w:vAlign w:val="bottom"/>
            <w:tcBorders>
              <w:right w:val="single" w:sz="8" w:color="auto"/>
            </w:tcBorders>
          </w:tcPr>
          <w:p>
            <w:pPr>
              <w:jc w:val="right"/>
              <w:ind w:right="373"/>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571.7</w:t>
            </w:r>
          </w:p>
        </w:tc>
      </w:tr>
      <w:tr>
        <w:trPr>
          <w:trHeight w:val="203"/>
        </w:trPr>
        <w:tc>
          <w:tcPr>
            <w:tcW w:w="8640" w:type="dxa"/>
            <w:vAlign w:val="bottom"/>
            <w:tcBorders>
              <w:bottom w:val="single" w:sz="8" w:color="auto"/>
              <w:right w:val="single" w:sz="8" w:color="auto"/>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Other current assets</w:t>
            </w:r>
          </w:p>
        </w:tc>
        <w:tc>
          <w:tcPr>
            <w:tcW w:w="5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right w:val="single" w:sz="8" w:color="auto"/>
            </w:tcBorders>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150.3</w:t>
            </w:r>
          </w:p>
        </w:tc>
        <w:tc>
          <w:tcPr>
            <w:tcW w:w="4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127.3</w:t>
            </w:r>
          </w:p>
        </w:tc>
      </w:tr>
      <w:tr>
        <w:trPr>
          <w:trHeight w:val="196"/>
        </w:trPr>
        <w:tc>
          <w:tcPr>
            <w:tcW w:w="8640" w:type="dxa"/>
            <w:vAlign w:val="bottom"/>
            <w:tcBorders>
              <w:bottom w:val="single" w:sz="8" w:color="auto"/>
              <w:right w:val="single" w:sz="8" w:color="auto"/>
            </w:tcBorders>
          </w:tcPr>
          <w:p>
            <w:pPr>
              <w:ind w:left="660"/>
              <w:spacing w:after="0" w:line="196" w:lineRule="exact"/>
              <w:rPr>
                <w:sz w:val="20"/>
                <w:szCs w:val="20"/>
                <w:color w:val="auto"/>
              </w:rPr>
            </w:pPr>
            <w:r>
              <w:rPr>
                <w:rFonts w:ascii="Arial" w:cs="Arial" w:eastAsia="Arial" w:hAnsi="Arial"/>
                <w:sz w:val="18"/>
                <w:szCs w:val="18"/>
                <w:b w:val="1"/>
                <w:bCs w:val="1"/>
                <w:color w:val="auto"/>
              </w:rPr>
              <w:t>TOTAL CURRENT ASSETS</w:t>
            </w: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jc w:val="right"/>
              <w:ind w:right="373"/>
              <w:spacing w:after="0" w:line="196" w:lineRule="exact"/>
              <w:rPr>
                <w:sz w:val="20"/>
                <w:szCs w:val="20"/>
                <w:color w:val="auto"/>
              </w:rPr>
            </w:pPr>
            <w:r>
              <w:rPr>
                <w:rFonts w:ascii="Arial" w:cs="Arial" w:eastAsia="Arial" w:hAnsi="Arial"/>
                <w:sz w:val="18"/>
                <w:szCs w:val="18"/>
                <w:color w:val="auto"/>
              </w:rPr>
              <w:t>953.5</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w w:val="96"/>
              </w:rPr>
              <w:t>1,466.0</w:t>
            </w:r>
          </w:p>
        </w:tc>
      </w:tr>
      <w:tr>
        <w:trPr>
          <w:trHeight w:val="196"/>
        </w:trPr>
        <w:tc>
          <w:tcPr>
            <w:tcW w:w="8640" w:type="dxa"/>
            <w:vAlign w:val="bottom"/>
            <w:tcBorders>
              <w:right w:val="single" w:sz="8" w:color="auto"/>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Property, plant and equipment, net of accumulated depreciation</w:t>
            </w:r>
          </w:p>
        </w:tc>
        <w:tc>
          <w:tcPr>
            <w:tcW w:w="52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jc w:val="right"/>
              <w:ind w:right="373"/>
              <w:spacing w:after="0" w:line="196" w:lineRule="exact"/>
              <w:rPr>
                <w:sz w:val="20"/>
                <w:szCs w:val="20"/>
                <w:color w:val="auto"/>
              </w:rPr>
            </w:pPr>
            <w:r>
              <w:rPr>
                <w:rFonts w:ascii="Arial" w:cs="Arial" w:eastAsia="Arial" w:hAnsi="Arial"/>
                <w:sz w:val="18"/>
                <w:szCs w:val="18"/>
                <w:color w:val="auto"/>
              </w:rPr>
              <w:t>525.8</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rPr>
              <w:t>550.0</w:t>
            </w:r>
          </w:p>
        </w:tc>
      </w:tr>
      <w:tr>
        <w:trPr>
          <w:trHeight w:val="203"/>
        </w:trPr>
        <w:tc>
          <w:tcPr>
            <w:tcW w:w="864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Goodwill resulting from business acquisitions</w:t>
            </w:r>
          </w:p>
        </w:tc>
        <w:tc>
          <w:tcPr>
            <w:tcW w:w="520" w:type="dxa"/>
            <w:vAlign w:val="bottom"/>
          </w:tcPr>
          <w:p>
            <w:pPr>
              <w:spacing w:after="0"/>
              <w:rPr>
                <w:sz w:val="17"/>
                <w:szCs w:val="17"/>
                <w:color w:val="auto"/>
              </w:rPr>
            </w:pPr>
          </w:p>
        </w:tc>
        <w:tc>
          <w:tcPr>
            <w:tcW w:w="1040" w:type="dxa"/>
            <w:vAlign w:val="bottom"/>
            <w:tcBorders>
              <w:right w:val="single" w:sz="8" w:color="auto"/>
            </w:tcBorders>
          </w:tcPr>
          <w:p>
            <w:pPr>
              <w:jc w:val="right"/>
              <w:ind w:right="373"/>
              <w:spacing w:after="0" w:line="202" w:lineRule="exact"/>
              <w:rPr>
                <w:sz w:val="20"/>
                <w:szCs w:val="20"/>
                <w:color w:val="auto"/>
              </w:rPr>
            </w:pPr>
            <w:r>
              <w:rPr>
                <w:rFonts w:ascii="Arial" w:cs="Arial" w:eastAsia="Arial" w:hAnsi="Arial"/>
                <w:sz w:val="18"/>
                <w:szCs w:val="18"/>
                <w:color w:val="auto"/>
                <w:w w:val="93"/>
              </w:rPr>
              <w:t>1,366.6</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w w:val="96"/>
              </w:rPr>
              <w:t>1,364.9</w:t>
            </w:r>
          </w:p>
        </w:tc>
      </w:tr>
      <w:tr>
        <w:trPr>
          <w:trHeight w:val="203"/>
        </w:trPr>
        <w:tc>
          <w:tcPr>
            <w:tcW w:w="8640" w:type="dxa"/>
            <w:vAlign w:val="bottom"/>
            <w:tcBorders>
              <w:right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intangible assets, net of accumulated amortization</w:t>
            </w:r>
          </w:p>
        </w:tc>
        <w:tc>
          <w:tcPr>
            <w:tcW w:w="52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697.3</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798.8</w:t>
            </w:r>
          </w:p>
        </w:tc>
      </w:tr>
      <w:tr>
        <w:trPr>
          <w:trHeight w:val="203"/>
        </w:trPr>
        <w:tc>
          <w:tcPr>
            <w:tcW w:w="8640" w:type="dxa"/>
            <w:vAlign w:val="bottom"/>
            <w:tcBorders>
              <w:bottom w:val="single" w:sz="8" w:color="auto"/>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Other assets</w:t>
            </w: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jc w:val="right"/>
              <w:ind w:right="373"/>
              <w:spacing w:after="0" w:line="202" w:lineRule="exact"/>
              <w:rPr>
                <w:sz w:val="20"/>
                <w:szCs w:val="20"/>
                <w:color w:val="auto"/>
              </w:rPr>
            </w:pPr>
            <w:r>
              <w:rPr>
                <w:rFonts w:ascii="Arial" w:cs="Arial" w:eastAsia="Arial" w:hAnsi="Arial"/>
                <w:sz w:val="18"/>
                <w:szCs w:val="18"/>
                <w:color w:val="auto"/>
              </w:rPr>
              <w:t>94.7</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77.9</w:t>
            </w:r>
          </w:p>
        </w:tc>
      </w:tr>
      <w:tr>
        <w:trPr>
          <w:trHeight w:val="196"/>
        </w:trPr>
        <w:tc>
          <w:tcPr>
            <w:tcW w:w="8640" w:type="dxa"/>
            <w:vAlign w:val="bottom"/>
            <w:tcBorders>
              <w:bottom w:val="single" w:sz="8" w:color="auto"/>
              <w:right w:val="single" w:sz="8" w:color="auto"/>
            </w:tcBorders>
            <w:shd w:val="clear" w:color="auto" w:fill="CCEEFF"/>
          </w:tcPr>
          <w:p>
            <w:pPr>
              <w:ind w:left="660"/>
              <w:spacing w:after="0" w:line="196" w:lineRule="exact"/>
              <w:rPr>
                <w:sz w:val="20"/>
                <w:szCs w:val="20"/>
                <w:color w:val="auto"/>
              </w:rPr>
            </w:pPr>
            <w:r>
              <w:rPr>
                <w:rFonts w:ascii="Arial" w:cs="Arial" w:eastAsia="Arial" w:hAnsi="Arial"/>
                <w:sz w:val="18"/>
                <w:szCs w:val="18"/>
                <w:b w:val="1"/>
                <w:bCs w:val="1"/>
                <w:color w:val="auto"/>
              </w:rPr>
              <w:t>TOTAL ASSETS</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FF"/>
          </w:tcPr>
          <w:p>
            <w:pPr>
              <w:jc w:val="right"/>
              <w:ind w:right="373"/>
              <w:spacing w:after="0" w:line="196" w:lineRule="exact"/>
              <w:rPr>
                <w:sz w:val="20"/>
                <w:szCs w:val="20"/>
                <w:color w:val="auto"/>
              </w:rPr>
            </w:pPr>
            <w:r>
              <w:rPr>
                <w:rFonts w:ascii="Arial" w:cs="Arial" w:eastAsia="Arial" w:hAnsi="Arial"/>
                <w:sz w:val="18"/>
                <w:szCs w:val="18"/>
                <w:color w:val="auto"/>
                <w:w w:val="93"/>
              </w:rPr>
              <w:t>3,637.9</w:t>
            </w:r>
          </w:p>
        </w:tc>
        <w:tc>
          <w:tcPr>
            <w:tcW w:w="4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w w:val="96"/>
              </w:rPr>
              <w:t>4,257.6</w:t>
            </w:r>
          </w:p>
        </w:tc>
      </w:tr>
      <w:tr>
        <w:trPr>
          <w:trHeight w:val="196"/>
        </w:trPr>
        <w:tc>
          <w:tcPr>
            <w:tcW w:w="86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5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8640" w:type="dxa"/>
            <w:vAlign w:val="bottom"/>
            <w:tcBorders>
              <w:right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Current liabilities</w:t>
            </w:r>
          </w:p>
        </w:tc>
        <w:tc>
          <w:tcPr>
            <w:tcW w:w="52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864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Notes payable to banks</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tcPr>
          <w:p>
            <w:pPr>
              <w:jc w:val="right"/>
              <w:ind w:right="373"/>
              <w:spacing w:after="0" w:line="202" w:lineRule="exact"/>
              <w:rPr>
                <w:sz w:val="20"/>
                <w:szCs w:val="20"/>
                <w:color w:val="auto"/>
              </w:rPr>
            </w:pPr>
            <w:r>
              <w:rPr>
                <w:rFonts w:ascii="Arial" w:cs="Arial" w:eastAsia="Arial" w:hAnsi="Arial"/>
                <w:sz w:val="18"/>
                <w:szCs w:val="18"/>
                <w:color w:val="auto"/>
              </w:rPr>
              <w:t>3.8</w:t>
            </w:r>
          </w:p>
        </w:tc>
        <w:tc>
          <w:tcPr>
            <w:tcW w:w="4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3.0</w:t>
            </w:r>
          </w:p>
        </w:tc>
      </w:tr>
      <w:tr>
        <w:trPr>
          <w:trHeight w:val="203"/>
        </w:trPr>
        <w:tc>
          <w:tcPr>
            <w:tcW w:w="8640" w:type="dxa"/>
            <w:vAlign w:val="bottom"/>
            <w:tcBorders>
              <w:right w:val="single" w:sz="8" w:color="auto"/>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Current portion of long-term debt</w:t>
            </w:r>
          </w:p>
        </w:tc>
        <w:tc>
          <w:tcPr>
            <w:tcW w:w="52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17.5</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864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Accounts payable</w:t>
            </w:r>
          </w:p>
        </w:tc>
        <w:tc>
          <w:tcPr>
            <w:tcW w:w="520" w:type="dxa"/>
            <w:vAlign w:val="bottom"/>
          </w:tcPr>
          <w:p>
            <w:pPr>
              <w:spacing w:after="0"/>
              <w:rPr>
                <w:sz w:val="17"/>
                <w:szCs w:val="17"/>
                <w:color w:val="auto"/>
              </w:rPr>
            </w:pPr>
          </w:p>
        </w:tc>
        <w:tc>
          <w:tcPr>
            <w:tcW w:w="1040" w:type="dxa"/>
            <w:vAlign w:val="bottom"/>
            <w:tcBorders>
              <w:right w:val="single" w:sz="8" w:color="auto"/>
            </w:tcBorders>
          </w:tcPr>
          <w:p>
            <w:pPr>
              <w:jc w:val="right"/>
              <w:ind w:right="373"/>
              <w:spacing w:after="0" w:line="202" w:lineRule="exact"/>
              <w:rPr>
                <w:sz w:val="20"/>
                <w:szCs w:val="20"/>
                <w:color w:val="auto"/>
              </w:rPr>
            </w:pPr>
            <w:r>
              <w:rPr>
                <w:rFonts w:ascii="Arial" w:cs="Arial" w:eastAsia="Arial" w:hAnsi="Arial"/>
                <w:sz w:val="18"/>
                <w:szCs w:val="18"/>
                <w:color w:val="auto"/>
              </w:rPr>
              <w:t>260.7</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252.8</w:t>
            </w:r>
          </w:p>
        </w:tc>
      </w:tr>
      <w:tr>
        <w:trPr>
          <w:trHeight w:val="203"/>
        </w:trPr>
        <w:tc>
          <w:tcPr>
            <w:tcW w:w="8640" w:type="dxa"/>
            <w:vAlign w:val="bottom"/>
            <w:tcBorders>
              <w:bottom w:val="single" w:sz="8" w:color="auto"/>
              <w:right w:val="single" w:sz="8" w:color="auto"/>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Other current liabilities</w:t>
            </w:r>
          </w:p>
        </w:tc>
        <w:tc>
          <w:tcPr>
            <w:tcW w:w="5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right w:val="single" w:sz="8" w:color="auto"/>
            </w:tcBorders>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315.8</w:t>
            </w:r>
          </w:p>
        </w:tc>
        <w:tc>
          <w:tcPr>
            <w:tcW w:w="4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320.7</w:t>
            </w:r>
          </w:p>
        </w:tc>
      </w:tr>
      <w:tr>
        <w:trPr>
          <w:trHeight w:val="196"/>
        </w:trPr>
        <w:tc>
          <w:tcPr>
            <w:tcW w:w="8640" w:type="dxa"/>
            <w:vAlign w:val="bottom"/>
            <w:tcBorders>
              <w:bottom w:val="single" w:sz="8" w:color="auto"/>
              <w:right w:val="single" w:sz="8" w:color="auto"/>
            </w:tcBorders>
          </w:tcPr>
          <w:p>
            <w:pPr>
              <w:ind w:left="660"/>
              <w:spacing w:after="0" w:line="196" w:lineRule="exact"/>
              <w:rPr>
                <w:sz w:val="20"/>
                <w:szCs w:val="20"/>
                <w:color w:val="auto"/>
              </w:rPr>
            </w:pPr>
            <w:r>
              <w:rPr>
                <w:rFonts w:ascii="Arial" w:cs="Arial" w:eastAsia="Arial" w:hAnsi="Arial"/>
                <w:sz w:val="18"/>
                <w:szCs w:val="18"/>
                <w:b w:val="1"/>
                <w:bCs w:val="1"/>
                <w:color w:val="auto"/>
              </w:rPr>
              <w:t>TOTAL CURRENT LIABILITIES</w:t>
            </w: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jc w:val="right"/>
              <w:ind w:right="373"/>
              <w:spacing w:after="0" w:line="196" w:lineRule="exact"/>
              <w:rPr>
                <w:sz w:val="20"/>
                <w:szCs w:val="20"/>
                <w:color w:val="auto"/>
              </w:rPr>
            </w:pPr>
            <w:r>
              <w:rPr>
                <w:rFonts w:ascii="Arial" w:cs="Arial" w:eastAsia="Arial" w:hAnsi="Arial"/>
                <w:sz w:val="18"/>
                <w:szCs w:val="18"/>
                <w:color w:val="auto"/>
              </w:rPr>
              <w:t>597.8</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576.5</w:t>
            </w:r>
          </w:p>
        </w:tc>
      </w:tr>
      <w:tr>
        <w:trPr>
          <w:trHeight w:val="196"/>
        </w:trPr>
        <w:tc>
          <w:tcPr>
            <w:tcW w:w="8640" w:type="dxa"/>
            <w:vAlign w:val="bottom"/>
            <w:tcBorders>
              <w:right w:val="single" w:sz="8" w:color="auto"/>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Long-term debt</w:t>
            </w:r>
          </w:p>
        </w:tc>
        <w:tc>
          <w:tcPr>
            <w:tcW w:w="52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jc w:val="right"/>
              <w:ind w:right="373"/>
              <w:spacing w:after="0" w:line="196" w:lineRule="exact"/>
              <w:rPr>
                <w:sz w:val="20"/>
                <w:szCs w:val="20"/>
                <w:color w:val="auto"/>
              </w:rPr>
            </w:pPr>
            <w:r>
              <w:rPr>
                <w:rFonts w:ascii="Arial" w:cs="Arial" w:eastAsia="Arial" w:hAnsi="Arial"/>
                <w:sz w:val="18"/>
                <w:szCs w:val="18"/>
                <w:color w:val="auto"/>
              </w:rPr>
              <w:t>389.3</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rPr>
              <w:t>16.8</w:t>
            </w:r>
          </w:p>
        </w:tc>
      </w:tr>
      <w:tr>
        <w:trPr>
          <w:trHeight w:val="203"/>
        </w:trPr>
        <w:tc>
          <w:tcPr>
            <w:tcW w:w="864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Deferred income taxes</w:t>
            </w:r>
          </w:p>
        </w:tc>
        <w:tc>
          <w:tcPr>
            <w:tcW w:w="520" w:type="dxa"/>
            <w:vAlign w:val="bottom"/>
          </w:tcPr>
          <w:p>
            <w:pPr>
              <w:spacing w:after="0"/>
              <w:rPr>
                <w:sz w:val="17"/>
                <w:szCs w:val="17"/>
                <w:color w:val="auto"/>
              </w:rPr>
            </w:pPr>
          </w:p>
        </w:tc>
        <w:tc>
          <w:tcPr>
            <w:tcW w:w="1040" w:type="dxa"/>
            <w:vAlign w:val="bottom"/>
            <w:tcBorders>
              <w:right w:val="single" w:sz="8" w:color="auto"/>
            </w:tcBorders>
          </w:tcPr>
          <w:p>
            <w:pPr>
              <w:jc w:val="right"/>
              <w:ind w:right="373"/>
              <w:spacing w:after="0" w:line="202" w:lineRule="exact"/>
              <w:rPr>
                <w:sz w:val="20"/>
                <w:szCs w:val="20"/>
                <w:color w:val="auto"/>
              </w:rPr>
            </w:pPr>
            <w:r>
              <w:rPr>
                <w:rFonts w:ascii="Arial" w:cs="Arial" w:eastAsia="Arial" w:hAnsi="Arial"/>
                <w:sz w:val="18"/>
                <w:szCs w:val="18"/>
                <w:color w:val="auto"/>
              </w:rPr>
              <w:t>204.1</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267.4</w:t>
            </w:r>
          </w:p>
        </w:tc>
      </w:tr>
      <w:tr>
        <w:trPr>
          <w:trHeight w:val="203"/>
        </w:trPr>
        <w:tc>
          <w:tcPr>
            <w:tcW w:w="8640" w:type="dxa"/>
            <w:vAlign w:val="bottom"/>
            <w:tcBorders>
              <w:right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Accrued defined benefit plans</w:t>
            </w:r>
          </w:p>
        </w:tc>
        <w:tc>
          <w:tcPr>
            <w:tcW w:w="52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248.2</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136.0</w:t>
            </w:r>
          </w:p>
        </w:tc>
      </w:tr>
      <w:tr>
        <w:trPr>
          <w:trHeight w:val="203"/>
        </w:trPr>
        <w:tc>
          <w:tcPr>
            <w:tcW w:w="864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Loans from Fortune Brands, Inc.</w:t>
            </w:r>
          </w:p>
        </w:tc>
        <w:tc>
          <w:tcPr>
            <w:tcW w:w="520" w:type="dxa"/>
            <w:vAlign w:val="bottom"/>
          </w:tcPr>
          <w:p>
            <w:pPr>
              <w:spacing w:after="0"/>
              <w:rPr>
                <w:sz w:val="17"/>
                <w:szCs w:val="17"/>
                <w:color w:val="auto"/>
              </w:rPr>
            </w:pPr>
          </w:p>
        </w:tc>
        <w:tc>
          <w:tcPr>
            <w:tcW w:w="1040" w:type="dxa"/>
            <w:vAlign w:val="bottom"/>
            <w:tcBorders>
              <w:right w:val="single" w:sz="8" w:color="auto"/>
            </w:tcBorders>
          </w:tcPr>
          <w:p>
            <w:pPr>
              <w:jc w:val="right"/>
              <w:ind w:right="373"/>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w w:val="96"/>
              </w:rPr>
              <w:t>3,214.0</w:t>
            </w:r>
          </w:p>
        </w:tc>
      </w:tr>
      <w:tr>
        <w:trPr>
          <w:trHeight w:val="203"/>
        </w:trPr>
        <w:tc>
          <w:tcPr>
            <w:tcW w:w="8640" w:type="dxa"/>
            <w:vAlign w:val="bottom"/>
            <w:tcBorders>
              <w:bottom w:val="single" w:sz="8" w:color="auto"/>
              <w:right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non-current liabilities</w:t>
            </w:r>
          </w:p>
        </w:tc>
        <w:tc>
          <w:tcPr>
            <w:tcW w:w="5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right w:val="single" w:sz="8" w:color="auto"/>
            </w:tcBorders>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74.0</w:t>
            </w:r>
          </w:p>
        </w:tc>
        <w:tc>
          <w:tcPr>
            <w:tcW w:w="4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103.6</w:t>
            </w:r>
          </w:p>
        </w:tc>
      </w:tr>
      <w:tr>
        <w:trPr>
          <w:trHeight w:val="196"/>
        </w:trPr>
        <w:tc>
          <w:tcPr>
            <w:tcW w:w="8640" w:type="dxa"/>
            <w:vAlign w:val="bottom"/>
            <w:tcBorders>
              <w:bottom w:val="single" w:sz="8" w:color="auto"/>
              <w:right w:val="single" w:sz="8" w:color="auto"/>
            </w:tcBorders>
          </w:tcPr>
          <w:p>
            <w:pPr>
              <w:ind w:left="660"/>
              <w:spacing w:after="0" w:line="196" w:lineRule="exact"/>
              <w:rPr>
                <w:sz w:val="20"/>
                <w:szCs w:val="20"/>
                <w:color w:val="auto"/>
              </w:rPr>
            </w:pPr>
            <w:r>
              <w:rPr>
                <w:rFonts w:ascii="Arial" w:cs="Arial" w:eastAsia="Arial" w:hAnsi="Arial"/>
                <w:sz w:val="18"/>
                <w:szCs w:val="18"/>
                <w:b w:val="1"/>
                <w:bCs w:val="1"/>
                <w:color w:val="auto"/>
              </w:rPr>
              <w:t>TOTAL LIABILITIES</w:t>
            </w: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jc w:val="right"/>
              <w:ind w:right="373"/>
              <w:spacing w:after="0" w:line="196" w:lineRule="exact"/>
              <w:rPr>
                <w:sz w:val="20"/>
                <w:szCs w:val="20"/>
                <w:color w:val="auto"/>
              </w:rPr>
            </w:pPr>
            <w:r>
              <w:rPr>
                <w:rFonts w:ascii="Arial" w:cs="Arial" w:eastAsia="Arial" w:hAnsi="Arial"/>
                <w:sz w:val="18"/>
                <w:szCs w:val="18"/>
                <w:color w:val="auto"/>
                <w:w w:val="93"/>
              </w:rPr>
              <w:t>1,513.4</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w w:val="96"/>
              </w:rPr>
              <w:t>4,314.3</w:t>
            </w:r>
          </w:p>
        </w:tc>
      </w:tr>
      <w:tr>
        <w:trPr>
          <w:trHeight w:val="196"/>
        </w:trPr>
        <w:tc>
          <w:tcPr>
            <w:tcW w:w="8640" w:type="dxa"/>
            <w:vAlign w:val="bottom"/>
            <w:tcBorders>
              <w:right w:val="single" w:sz="8" w:color="auto"/>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Equity</w:t>
            </w:r>
          </w:p>
        </w:tc>
        <w:tc>
          <w:tcPr>
            <w:tcW w:w="52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864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Common stock</w:t>
            </w:r>
            <w:r>
              <w:rPr>
                <w:rFonts w:ascii="Arial" w:cs="Arial" w:eastAsia="Arial" w:hAnsi="Arial"/>
                <w:sz w:val="11"/>
                <w:szCs w:val="11"/>
                <w:color w:val="auto"/>
              </w:rPr>
              <w:t>(a)</w:t>
            </w:r>
          </w:p>
        </w:tc>
        <w:tc>
          <w:tcPr>
            <w:tcW w:w="520" w:type="dxa"/>
            <w:vAlign w:val="bottom"/>
          </w:tcPr>
          <w:p>
            <w:pPr>
              <w:spacing w:after="0"/>
              <w:rPr>
                <w:sz w:val="17"/>
                <w:szCs w:val="17"/>
                <w:color w:val="auto"/>
              </w:rPr>
            </w:pPr>
          </w:p>
        </w:tc>
        <w:tc>
          <w:tcPr>
            <w:tcW w:w="1040" w:type="dxa"/>
            <w:vAlign w:val="bottom"/>
            <w:tcBorders>
              <w:right w:val="single" w:sz="8" w:color="auto"/>
            </w:tcBorders>
          </w:tcPr>
          <w:p>
            <w:pPr>
              <w:jc w:val="right"/>
              <w:ind w:right="373"/>
              <w:spacing w:after="0" w:line="202" w:lineRule="exact"/>
              <w:rPr>
                <w:sz w:val="20"/>
                <w:szCs w:val="20"/>
                <w:color w:val="auto"/>
              </w:rPr>
            </w:pPr>
            <w:r>
              <w:rPr>
                <w:rFonts w:ascii="Arial" w:cs="Arial" w:eastAsia="Arial" w:hAnsi="Arial"/>
                <w:sz w:val="18"/>
                <w:szCs w:val="18"/>
                <w:color w:val="auto"/>
              </w:rPr>
              <w:t>1.6</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8640" w:type="dxa"/>
            <w:vAlign w:val="bottom"/>
            <w:tcBorders>
              <w:right w:val="single" w:sz="8" w:color="auto"/>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Paid-in capital</w:t>
            </w:r>
            <w:r>
              <w:rPr>
                <w:rFonts w:ascii="Arial" w:cs="Arial" w:eastAsia="Arial" w:hAnsi="Arial"/>
                <w:sz w:val="11"/>
                <w:szCs w:val="11"/>
                <w:color w:val="auto"/>
              </w:rPr>
              <w:t>(b)</w:t>
            </w:r>
          </w:p>
        </w:tc>
        <w:tc>
          <w:tcPr>
            <w:tcW w:w="52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w w:val="93"/>
              </w:rPr>
              <w:t>2,186.4</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703.3</w:t>
            </w:r>
          </w:p>
        </w:tc>
      </w:tr>
      <w:tr>
        <w:trPr>
          <w:trHeight w:val="203"/>
        </w:trPr>
        <w:tc>
          <w:tcPr>
            <w:tcW w:w="864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Accumulated other comprehensive income</w:t>
            </w:r>
          </w:p>
        </w:tc>
        <w:tc>
          <w:tcPr>
            <w:tcW w:w="520" w:type="dxa"/>
            <w:vAlign w:val="bottom"/>
          </w:tcPr>
          <w:p>
            <w:pPr>
              <w:spacing w:after="0"/>
              <w:rPr>
                <w:sz w:val="17"/>
                <w:szCs w:val="17"/>
                <w:color w:val="auto"/>
              </w:rPr>
            </w:pPr>
          </w:p>
        </w:tc>
        <w:tc>
          <w:tcPr>
            <w:tcW w:w="1040" w:type="dxa"/>
            <w:vAlign w:val="bottom"/>
            <w:tcBorders>
              <w:right w:val="single" w:sz="8" w:color="auto"/>
            </w:tcBorders>
          </w:tcPr>
          <w:p>
            <w:pPr>
              <w:jc w:val="right"/>
              <w:ind w:right="373"/>
              <w:spacing w:after="0" w:line="202" w:lineRule="exact"/>
              <w:rPr>
                <w:sz w:val="20"/>
                <w:szCs w:val="20"/>
                <w:color w:val="auto"/>
              </w:rPr>
            </w:pPr>
            <w:r>
              <w:rPr>
                <w:rFonts w:ascii="Arial" w:cs="Arial" w:eastAsia="Arial" w:hAnsi="Arial"/>
                <w:sz w:val="18"/>
                <w:szCs w:val="18"/>
                <w:color w:val="auto"/>
              </w:rPr>
              <w:t>10.6</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29.5</w:t>
            </w:r>
          </w:p>
        </w:tc>
      </w:tr>
      <w:tr>
        <w:trPr>
          <w:trHeight w:val="203"/>
        </w:trPr>
        <w:tc>
          <w:tcPr>
            <w:tcW w:w="8640" w:type="dxa"/>
            <w:vAlign w:val="bottom"/>
            <w:tcBorders>
              <w:right w:val="single" w:sz="8" w:color="auto"/>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Retained deficit</w:t>
            </w:r>
            <w:r>
              <w:rPr>
                <w:rFonts w:ascii="Arial" w:cs="Arial" w:eastAsia="Arial" w:hAnsi="Arial"/>
                <w:sz w:val="11"/>
                <w:szCs w:val="11"/>
                <w:color w:val="auto"/>
              </w:rPr>
              <w:t>(b)</w:t>
            </w:r>
          </w:p>
        </w:tc>
        <w:tc>
          <w:tcPr>
            <w:tcW w:w="52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jc w:val="right"/>
              <w:ind w:right="313"/>
              <w:spacing w:after="0" w:line="202" w:lineRule="exact"/>
              <w:rPr>
                <w:sz w:val="20"/>
                <w:szCs w:val="20"/>
                <w:color w:val="auto"/>
              </w:rPr>
            </w:pPr>
            <w:r>
              <w:rPr>
                <w:rFonts w:ascii="Arial" w:cs="Arial" w:eastAsia="Arial" w:hAnsi="Arial"/>
                <w:sz w:val="18"/>
                <w:szCs w:val="18"/>
                <w:color w:val="auto"/>
              </w:rPr>
              <w:t>(77.7)</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(793.0)</w:t>
            </w:r>
          </w:p>
        </w:tc>
      </w:tr>
      <w:tr>
        <w:trPr>
          <w:trHeight w:val="203"/>
        </w:trPr>
        <w:tc>
          <w:tcPr>
            <w:tcW w:w="8640" w:type="dxa"/>
            <w:vAlign w:val="bottom"/>
            <w:tcBorders>
              <w:bottom w:val="single" w:sz="8" w:color="auto"/>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Treasury stock</w:t>
            </w: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jc w:val="right"/>
              <w:ind w:right="313"/>
              <w:spacing w:after="0" w:line="202" w:lineRule="exact"/>
              <w:rPr>
                <w:sz w:val="20"/>
                <w:szCs w:val="20"/>
                <w:color w:val="auto"/>
              </w:rPr>
            </w:pPr>
            <w:r>
              <w:rPr>
                <w:rFonts w:ascii="Arial" w:cs="Arial" w:eastAsia="Arial" w:hAnsi="Arial"/>
                <w:sz w:val="18"/>
                <w:szCs w:val="18"/>
                <w:color w:val="auto"/>
              </w:rPr>
              <w:t>(0.1)</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196"/>
        </w:trPr>
        <w:tc>
          <w:tcPr>
            <w:tcW w:w="8640" w:type="dxa"/>
            <w:vAlign w:val="bottom"/>
            <w:tcBorders>
              <w:right w:val="single" w:sz="8" w:color="auto"/>
            </w:tcBorders>
            <w:shd w:val="clear" w:color="auto" w:fill="CCEEFF"/>
          </w:tcPr>
          <w:p>
            <w:pPr>
              <w:ind w:left="880"/>
              <w:spacing w:after="0" w:line="196" w:lineRule="exact"/>
              <w:rPr>
                <w:sz w:val="20"/>
                <w:szCs w:val="20"/>
                <w:color w:val="auto"/>
              </w:rPr>
            </w:pPr>
            <w:r>
              <w:rPr>
                <w:rFonts w:ascii="Arial" w:cs="Arial" w:eastAsia="Arial" w:hAnsi="Arial"/>
                <w:sz w:val="18"/>
                <w:szCs w:val="18"/>
                <w:b w:val="1"/>
                <w:bCs w:val="1"/>
                <w:color w:val="auto"/>
              </w:rPr>
              <w:t>TOTAL HOME &amp; SECURITY EQUITY</w:t>
            </w:r>
          </w:p>
        </w:tc>
        <w:tc>
          <w:tcPr>
            <w:tcW w:w="52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jc w:val="right"/>
              <w:ind w:right="373"/>
              <w:spacing w:after="0" w:line="196" w:lineRule="exact"/>
              <w:rPr>
                <w:sz w:val="20"/>
                <w:szCs w:val="20"/>
                <w:color w:val="auto"/>
              </w:rPr>
            </w:pPr>
            <w:r>
              <w:rPr>
                <w:rFonts w:ascii="Arial" w:cs="Arial" w:eastAsia="Arial" w:hAnsi="Arial"/>
                <w:sz w:val="18"/>
                <w:szCs w:val="18"/>
                <w:color w:val="auto"/>
                <w:w w:val="93"/>
              </w:rPr>
              <w:t>2,120.8</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(60.2)</w:t>
            </w:r>
          </w:p>
        </w:tc>
      </w:tr>
      <w:tr>
        <w:trPr>
          <w:trHeight w:val="203"/>
        </w:trPr>
        <w:tc>
          <w:tcPr>
            <w:tcW w:w="8640" w:type="dxa"/>
            <w:vAlign w:val="bottom"/>
            <w:tcBorders>
              <w:bottom w:val="single" w:sz="8" w:color="auto"/>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Noncontrolling interests</w:t>
            </w: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jc w:val="right"/>
              <w:ind w:right="373"/>
              <w:spacing w:after="0" w:line="202" w:lineRule="exact"/>
              <w:rPr>
                <w:sz w:val="20"/>
                <w:szCs w:val="20"/>
                <w:color w:val="auto"/>
              </w:rPr>
            </w:pPr>
            <w:r>
              <w:rPr>
                <w:rFonts w:ascii="Arial" w:cs="Arial" w:eastAsia="Arial" w:hAnsi="Arial"/>
                <w:sz w:val="18"/>
                <w:szCs w:val="18"/>
                <w:color w:val="auto"/>
              </w:rPr>
              <w:t>3.7</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3.5</w:t>
            </w:r>
          </w:p>
        </w:tc>
      </w:tr>
      <w:tr>
        <w:trPr>
          <w:trHeight w:val="196"/>
        </w:trPr>
        <w:tc>
          <w:tcPr>
            <w:tcW w:w="8640" w:type="dxa"/>
            <w:vAlign w:val="bottom"/>
            <w:tcBorders>
              <w:bottom w:val="single" w:sz="8" w:color="auto"/>
              <w:right w:val="single" w:sz="8" w:color="auto"/>
            </w:tcBorders>
            <w:shd w:val="clear" w:color="auto" w:fill="CCEEFF"/>
          </w:tcPr>
          <w:p>
            <w:pPr>
              <w:ind w:left="880"/>
              <w:spacing w:after="0" w:line="196" w:lineRule="exact"/>
              <w:rPr>
                <w:sz w:val="20"/>
                <w:szCs w:val="20"/>
                <w:color w:val="auto"/>
              </w:rPr>
            </w:pPr>
            <w:r>
              <w:rPr>
                <w:rFonts w:ascii="Arial" w:cs="Arial" w:eastAsia="Arial" w:hAnsi="Arial"/>
                <w:sz w:val="18"/>
                <w:szCs w:val="18"/>
                <w:b w:val="1"/>
                <w:bCs w:val="1"/>
                <w:color w:val="auto"/>
              </w:rPr>
              <w:t>TOTAL EQUITY</w:t>
            </w:r>
          </w:p>
        </w:tc>
        <w:tc>
          <w:tcPr>
            <w:tcW w:w="5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right w:val="single" w:sz="8" w:color="auto"/>
            </w:tcBorders>
            <w:shd w:val="clear" w:color="auto" w:fill="CCEEFF"/>
          </w:tcPr>
          <w:p>
            <w:pPr>
              <w:jc w:val="right"/>
              <w:ind w:right="373"/>
              <w:spacing w:after="0" w:line="196" w:lineRule="exact"/>
              <w:rPr>
                <w:sz w:val="20"/>
                <w:szCs w:val="20"/>
                <w:color w:val="auto"/>
              </w:rPr>
            </w:pPr>
            <w:r>
              <w:rPr>
                <w:rFonts w:ascii="Arial" w:cs="Arial" w:eastAsia="Arial" w:hAnsi="Arial"/>
                <w:sz w:val="18"/>
                <w:szCs w:val="18"/>
                <w:color w:val="auto"/>
                <w:w w:val="93"/>
              </w:rPr>
              <w:t>2,124.5</w:t>
            </w:r>
          </w:p>
        </w:tc>
        <w:tc>
          <w:tcPr>
            <w:tcW w:w="4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(56.7)</w:t>
            </w:r>
          </w:p>
        </w:tc>
      </w:tr>
      <w:tr>
        <w:trPr>
          <w:trHeight w:val="203"/>
        </w:trPr>
        <w:tc>
          <w:tcPr>
            <w:tcW w:w="8640" w:type="dxa"/>
            <w:vAlign w:val="bottom"/>
            <w:tcBorders>
              <w:bottom w:val="single" w:sz="8" w:color="auto"/>
              <w:right w:val="single" w:sz="8" w:color="auto"/>
            </w:tcBorders>
          </w:tcPr>
          <w:p>
            <w:pPr>
              <w:ind w:left="660"/>
              <w:spacing w:after="0" w:line="196" w:lineRule="exact"/>
              <w:rPr>
                <w:sz w:val="20"/>
                <w:szCs w:val="20"/>
                <w:color w:val="auto"/>
              </w:rPr>
            </w:pPr>
            <w:r>
              <w:rPr>
                <w:rFonts w:ascii="Arial" w:cs="Arial" w:eastAsia="Arial" w:hAnsi="Arial"/>
                <w:sz w:val="18"/>
                <w:szCs w:val="18"/>
                <w:b w:val="1"/>
                <w:bCs w:val="1"/>
                <w:color w:val="auto"/>
              </w:rPr>
              <w:t>TOTAL LIABILITIES AND EQUITY</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373"/>
              <w:spacing w:after="0" w:line="196" w:lineRule="exact"/>
              <w:rPr>
                <w:sz w:val="20"/>
                <w:szCs w:val="20"/>
                <w:color w:val="auto"/>
              </w:rPr>
            </w:pPr>
            <w:r>
              <w:rPr>
                <w:rFonts w:ascii="Arial" w:cs="Arial" w:eastAsia="Arial" w:hAnsi="Arial"/>
                <w:sz w:val="18"/>
                <w:szCs w:val="18"/>
                <w:color w:val="auto"/>
                <w:w w:val="93"/>
              </w:rPr>
              <w:t>3,637.9</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w w:val="96"/>
              </w:rPr>
              <w:t>4,257.6</w:t>
            </w:r>
          </w:p>
        </w:tc>
      </w:tr>
    </w:tbl>
    <w:p>
      <w:pPr>
        <w:spacing w:after="0" w:line="67" w:lineRule="exact"/>
        <w:rPr>
          <w:sz w:val="20"/>
          <w:szCs w:val="20"/>
          <w:color w:val="auto"/>
        </w:rPr>
      </w:pPr>
    </w:p>
    <w:p>
      <w:pPr>
        <w:ind w:left="220" w:right="280" w:hanging="212"/>
        <w:spacing w:after="0" w:line="190" w:lineRule="auto"/>
        <w:tabs>
          <w:tab w:leader="none" w:pos="220" w:val="left"/>
        </w:tabs>
        <w:numPr>
          <w:ilvl w:val="0"/>
          <w:numId w:val="21"/>
        </w:numPr>
        <w:rPr>
          <w:rFonts w:ascii="Arial" w:cs="Arial" w:eastAsia="Arial" w:hAnsi="Arial"/>
          <w:sz w:val="21"/>
          <w:szCs w:val="21"/>
          <w:color w:val="auto"/>
          <w:vertAlign w:val="superscript"/>
        </w:rPr>
      </w:pPr>
      <w:r>
        <w:rPr>
          <w:rFonts w:ascii="Arial" w:cs="Arial" w:eastAsia="Arial" w:hAnsi="Arial"/>
          <w:sz w:val="13"/>
          <w:szCs w:val="13"/>
          <w:color w:val="auto"/>
        </w:rPr>
        <w:t>On September 27, 2011, shares of Home &amp; Security common stock (par value $0.01 per share) were split from 1,000 shares issued and outstanding and 100,000 shares authorized to approximately 155.1 million shares issued and outstanding and 750 million shares authorized. There were 156.0 million shares outstanding as of December 31, 2011.</w:t>
      </w:r>
    </w:p>
    <w:p>
      <w:pPr>
        <w:spacing w:after="0" w:line="41" w:lineRule="exact"/>
        <w:rPr>
          <w:rFonts w:ascii="Arial" w:cs="Arial" w:eastAsia="Arial" w:hAnsi="Arial"/>
          <w:sz w:val="21"/>
          <w:szCs w:val="21"/>
          <w:color w:val="auto"/>
          <w:vertAlign w:val="superscript"/>
        </w:rPr>
      </w:pPr>
    </w:p>
    <w:p>
      <w:pPr>
        <w:ind w:left="220" w:right="180" w:hanging="212"/>
        <w:spacing w:after="0" w:line="180" w:lineRule="auto"/>
        <w:tabs>
          <w:tab w:leader="none" w:pos="22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In August 2011, the Company converted from a Delaware limited liability company to a Delaware corporation. As a result, the retained deficit prior to the date of conversion was included as additional paid-in-capital in accordance with SEC Staff Accounting Bulletin Topic 4:B.</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2"/>
          <w:szCs w:val="12"/>
          <w:color w:val="auto"/>
        </w:rPr>
        <w:t>Fortune Brands Home &amp; Security,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-5099685</wp:posOffset>
            </wp:positionH>
            <wp:positionV relativeFrom="paragraph">
              <wp:posOffset>-661035</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135890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00" w:space="720"/>
            <w:col w:w="3400"/>
          </w:cols>
          <w:pgMar w:left="240" w:top="459" w:right="239" w:bottom="1440" w:gutter="0" w:footer="0" w:header="0"/>
        </w:sectPr>
      </w:pPr>
    </w:p>
    <w:p>
      <w:pPr>
        <w:spacing w:after="0" w:line="353" w:lineRule="exact"/>
        <w:rPr>
          <w:sz w:val="20"/>
          <w:szCs w:val="20"/>
          <w:color w:val="auto"/>
        </w:rPr>
      </w:pPr>
    </w:p>
    <w:p>
      <w:pPr>
        <w:ind w:left="8560"/>
        <w:spacing w:after="0"/>
        <w:rPr>
          <w:sz w:val="20"/>
          <w:szCs w:val="20"/>
          <w:color w:val="auto"/>
        </w:rPr>
      </w:pPr>
      <w:r>
        <w:rPr>
          <w:rFonts w:ascii="Arial" w:cs="Arial" w:eastAsia="Arial" w:hAnsi="Arial"/>
          <w:sz w:val="14"/>
          <w:szCs w:val="14"/>
          <w:color w:val="auto"/>
        </w:rPr>
        <w:t>For years ended December 31</w:t>
      </w:r>
    </w:p>
    <w:tbl>
      <w:tblPr>
        <w:tblLayout w:type="fixed"/>
        <w:tblInd w:w="0" w:type="dxa"/>
        <w:tblCellMar>
          <w:top w:w="0" w:type="dxa"/>
          <w:left w:w="0" w:type="dxa"/>
          <w:bottom w:w="0" w:type="dxa"/>
          <w:right w:w="0" w:type="dxa"/>
        </w:tblCellMar>
      </w:tblPr>
      <w:tr>
        <w:trPr>
          <w:trHeight w:val="385"/>
        </w:trPr>
        <w:tc>
          <w:tcPr>
            <w:tcW w:w="71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i w:val="1"/>
                <w:iCs w:val="1"/>
                <w:color w:val="auto"/>
              </w:rPr>
              <w:t>(In millions)</w:t>
            </w:r>
          </w:p>
        </w:tc>
        <w:tc>
          <w:tcPr>
            <w:tcW w:w="5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right w:val="single" w:sz="8" w:color="auto"/>
            </w:tcBorders>
          </w:tcPr>
          <w:p>
            <w:pPr>
              <w:jc w:val="right"/>
              <w:ind w:right="413"/>
              <w:spacing w:after="0"/>
              <w:rPr>
                <w:sz w:val="20"/>
                <w:szCs w:val="20"/>
                <w:color w:val="auto"/>
              </w:rPr>
            </w:pPr>
            <w:r>
              <w:rPr>
                <w:rFonts w:ascii="Arial" w:cs="Arial" w:eastAsia="Arial" w:hAnsi="Arial"/>
                <w:sz w:val="14"/>
                <w:szCs w:val="14"/>
                <w:i w:val="1"/>
                <w:iCs w:val="1"/>
                <w:color w:val="auto"/>
              </w:rPr>
              <w:t>2011</w:t>
            </w:r>
          </w:p>
        </w:tc>
        <w:tc>
          <w:tcPr>
            <w:tcW w:w="5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color w:val="auto"/>
              </w:rPr>
              <w:t>2010</w:t>
            </w:r>
          </w:p>
        </w:tc>
        <w:tc>
          <w:tcPr>
            <w:tcW w:w="54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color w:val="auto"/>
              </w:rPr>
              <w:t>2009</w:t>
            </w:r>
          </w:p>
        </w:tc>
      </w:tr>
      <w:tr>
        <w:trPr>
          <w:trHeight w:val="196"/>
        </w:trPr>
        <w:tc>
          <w:tcPr>
            <w:tcW w:w="7180" w:type="dxa"/>
            <w:vAlign w:val="bottom"/>
            <w:tcBorders>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54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3"/>
        </w:trPr>
        <w:tc>
          <w:tcPr>
            <w:tcW w:w="71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Net (loss) income</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tcPr>
          <w:p>
            <w:pPr>
              <w:jc w:val="right"/>
              <w:ind w:right="353"/>
              <w:spacing w:after="0" w:line="202" w:lineRule="exact"/>
              <w:rPr>
                <w:sz w:val="20"/>
                <w:szCs w:val="20"/>
                <w:color w:val="auto"/>
              </w:rPr>
            </w:pPr>
            <w:r>
              <w:rPr>
                <w:rFonts w:ascii="Arial" w:cs="Arial" w:eastAsia="Arial" w:hAnsi="Arial"/>
                <w:sz w:val="18"/>
                <w:szCs w:val="18"/>
                <w:color w:val="auto"/>
              </w:rPr>
              <w:t>(34.6)</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433"/>
              <w:spacing w:after="0" w:line="202" w:lineRule="exact"/>
              <w:rPr>
                <w:sz w:val="20"/>
                <w:szCs w:val="20"/>
                <w:color w:val="auto"/>
              </w:rPr>
            </w:pPr>
            <w:r>
              <w:rPr>
                <w:rFonts w:ascii="Arial" w:cs="Arial" w:eastAsia="Arial" w:hAnsi="Arial"/>
                <w:sz w:val="18"/>
                <w:szCs w:val="18"/>
                <w:color w:val="auto"/>
              </w:rPr>
              <w:t>65.0</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(38.2)</w:t>
            </w:r>
          </w:p>
        </w:tc>
      </w:tr>
      <w:tr>
        <w:trPr>
          <w:trHeight w:val="203"/>
        </w:trPr>
        <w:tc>
          <w:tcPr>
            <w:tcW w:w="71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Non-cash pre-tax (income) expense:</w:t>
            </w:r>
          </w:p>
        </w:tc>
        <w:tc>
          <w:tcPr>
            <w:tcW w:w="54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3"/>
        </w:trPr>
        <w:tc>
          <w:tcPr>
            <w:tcW w:w="71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Depreciation</w:t>
            </w:r>
          </w:p>
        </w:tc>
        <w:tc>
          <w:tcPr>
            <w:tcW w:w="540" w:type="dxa"/>
            <w:vAlign w:val="bottom"/>
          </w:tcPr>
          <w:p>
            <w:pPr>
              <w:spacing w:after="0"/>
              <w:rPr>
                <w:sz w:val="17"/>
                <w:szCs w:val="17"/>
                <w:color w:val="auto"/>
              </w:rPr>
            </w:pPr>
          </w:p>
        </w:tc>
        <w:tc>
          <w:tcPr>
            <w:tcW w:w="1020" w:type="dxa"/>
            <w:vAlign w:val="bottom"/>
            <w:tcBorders>
              <w:right w:val="single" w:sz="8" w:color="auto"/>
            </w:tcBorders>
          </w:tcPr>
          <w:p>
            <w:pPr>
              <w:jc w:val="right"/>
              <w:ind w:right="413"/>
              <w:spacing w:after="0" w:line="202" w:lineRule="exact"/>
              <w:rPr>
                <w:sz w:val="20"/>
                <w:szCs w:val="20"/>
                <w:color w:val="auto"/>
              </w:rPr>
            </w:pPr>
            <w:r>
              <w:rPr>
                <w:rFonts w:ascii="Arial" w:cs="Arial" w:eastAsia="Arial" w:hAnsi="Arial"/>
                <w:sz w:val="18"/>
                <w:szCs w:val="18"/>
                <w:color w:val="auto"/>
              </w:rPr>
              <w:t>97.1</w:t>
            </w:r>
          </w:p>
        </w:tc>
        <w:tc>
          <w:tcPr>
            <w:tcW w:w="560" w:type="dxa"/>
            <w:vAlign w:val="bottom"/>
          </w:tcPr>
          <w:p>
            <w:pPr>
              <w:spacing w:after="0"/>
              <w:rPr>
                <w:sz w:val="17"/>
                <w:szCs w:val="17"/>
                <w:color w:val="auto"/>
              </w:rPr>
            </w:pPr>
          </w:p>
        </w:tc>
        <w:tc>
          <w:tcPr>
            <w:tcW w:w="960" w:type="dxa"/>
            <w:vAlign w:val="bottom"/>
          </w:tcPr>
          <w:p>
            <w:pPr>
              <w:jc w:val="right"/>
              <w:ind w:right="433"/>
              <w:spacing w:after="0" w:line="202" w:lineRule="exact"/>
              <w:rPr>
                <w:sz w:val="20"/>
                <w:szCs w:val="20"/>
                <w:color w:val="auto"/>
              </w:rPr>
            </w:pPr>
            <w:r>
              <w:rPr>
                <w:rFonts w:ascii="Arial" w:cs="Arial" w:eastAsia="Arial" w:hAnsi="Arial"/>
                <w:sz w:val="18"/>
                <w:szCs w:val="18"/>
                <w:color w:val="auto"/>
              </w:rPr>
              <w:t>95.9</w:t>
            </w:r>
          </w:p>
        </w:tc>
        <w:tc>
          <w:tcPr>
            <w:tcW w:w="540" w:type="dxa"/>
            <w:vAlign w:val="bottom"/>
          </w:tcPr>
          <w:p>
            <w:pPr>
              <w:spacing w:after="0"/>
              <w:rPr>
                <w:sz w:val="17"/>
                <w:szCs w:val="17"/>
                <w:color w:val="auto"/>
              </w:rPr>
            </w:pP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115.0</w:t>
            </w:r>
          </w:p>
        </w:tc>
      </w:tr>
      <w:tr>
        <w:trPr>
          <w:trHeight w:val="203"/>
        </w:trPr>
        <w:tc>
          <w:tcPr>
            <w:tcW w:w="7180" w:type="dxa"/>
            <w:vAlign w:val="bottom"/>
            <w:tcBorders>
              <w:right w:val="single" w:sz="8" w:color="auto"/>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Amortization</w:t>
            </w:r>
          </w:p>
        </w:tc>
        <w:tc>
          <w:tcPr>
            <w:tcW w:w="54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14.4</w:t>
            </w: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33"/>
              <w:spacing w:after="0" w:line="202" w:lineRule="exact"/>
              <w:rPr>
                <w:sz w:val="20"/>
                <w:szCs w:val="20"/>
                <w:color w:val="auto"/>
              </w:rPr>
            </w:pPr>
            <w:r>
              <w:rPr>
                <w:rFonts w:ascii="Arial" w:cs="Arial" w:eastAsia="Arial" w:hAnsi="Arial"/>
                <w:sz w:val="18"/>
                <w:szCs w:val="18"/>
                <w:color w:val="auto"/>
              </w:rPr>
              <w:t>15.7</w:t>
            </w: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16.1</w:t>
            </w:r>
          </w:p>
        </w:tc>
      </w:tr>
      <w:tr>
        <w:trPr>
          <w:trHeight w:val="203"/>
        </w:trPr>
        <w:tc>
          <w:tcPr>
            <w:tcW w:w="71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Stock-based compensation</w:t>
            </w:r>
          </w:p>
        </w:tc>
        <w:tc>
          <w:tcPr>
            <w:tcW w:w="540" w:type="dxa"/>
            <w:vAlign w:val="bottom"/>
          </w:tcPr>
          <w:p>
            <w:pPr>
              <w:spacing w:after="0"/>
              <w:rPr>
                <w:sz w:val="17"/>
                <w:szCs w:val="17"/>
                <w:color w:val="auto"/>
              </w:rPr>
            </w:pPr>
          </w:p>
        </w:tc>
        <w:tc>
          <w:tcPr>
            <w:tcW w:w="1020" w:type="dxa"/>
            <w:vAlign w:val="bottom"/>
            <w:tcBorders>
              <w:right w:val="single" w:sz="8" w:color="auto"/>
            </w:tcBorders>
          </w:tcPr>
          <w:p>
            <w:pPr>
              <w:jc w:val="right"/>
              <w:ind w:right="413"/>
              <w:spacing w:after="0" w:line="202" w:lineRule="exact"/>
              <w:rPr>
                <w:sz w:val="20"/>
                <w:szCs w:val="20"/>
                <w:color w:val="auto"/>
              </w:rPr>
            </w:pPr>
            <w:r>
              <w:rPr>
                <w:rFonts w:ascii="Arial" w:cs="Arial" w:eastAsia="Arial" w:hAnsi="Arial"/>
                <w:sz w:val="18"/>
                <w:szCs w:val="18"/>
                <w:color w:val="auto"/>
              </w:rPr>
              <w:t>15.7</w:t>
            </w:r>
          </w:p>
        </w:tc>
        <w:tc>
          <w:tcPr>
            <w:tcW w:w="560" w:type="dxa"/>
            <w:vAlign w:val="bottom"/>
          </w:tcPr>
          <w:p>
            <w:pPr>
              <w:spacing w:after="0"/>
              <w:rPr>
                <w:sz w:val="17"/>
                <w:szCs w:val="17"/>
                <w:color w:val="auto"/>
              </w:rPr>
            </w:pPr>
          </w:p>
        </w:tc>
        <w:tc>
          <w:tcPr>
            <w:tcW w:w="960" w:type="dxa"/>
            <w:vAlign w:val="bottom"/>
          </w:tcPr>
          <w:p>
            <w:pPr>
              <w:jc w:val="right"/>
              <w:ind w:right="433"/>
              <w:spacing w:after="0" w:line="202" w:lineRule="exact"/>
              <w:rPr>
                <w:sz w:val="20"/>
                <w:szCs w:val="20"/>
                <w:color w:val="auto"/>
              </w:rPr>
            </w:pPr>
            <w:r>
              <w:rPr>
                <w:rFonts w:ascii="Arial" w:cs="Arial" w:eastAsia="Arial" w:hAnsi="Arial"/>
                <w:sz w:val="18"/>
                <w:szCs w:val="18"/>
                <w:color w:val="auto"/>
              </w:rPr>
              <w:t>11.7</w:t>
            </w:r>
          </w:p>
        </w:tc>
        <w:tc>
          <w:tcPr>
            <w:tcW w:w="540" w:type="dxa"/>
            <w:vAlign w:val="bottom"/>
          </w:tcPr>
          <w:p>
            <w:pPr>
              <w:spacing w:after="0"/>
              <w:rPr>
                <w:sz w:val="17"/>
                <w:szCs w:val="17"/>
                <w:color w:val="auto"/>
              </w:rPr>
            </w:pP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7.8</w:t>
            </w:r>
          </w:p>
        </w:tc>
      </w:tr>
      <w:tr>
        <w:trPr>
          <w:trHeight w:val="203"/>
        </w:trPr>
        <w:tc>
          <w:tcPr>
            <w:tcW w:w="7180" w:type="dxa"/>
            <w:vAlign w:val="bottom"/>
            <w:tcBorders>
              <w:right w:val="single" w:sz="8" w:color="auto"/>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Restructuring charges</w:t>
            </w:r>
          </w:p>
        </w:tc>
        <w:tc>
          <w:tcPr>
            <w:tcW w:w="54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1.8</w:t>
            </w: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33"/>
              <w:spacing w:after="0" w:line="202" w:lineRule="exact"/>
              <w:rPr>
                <w:sz w:val="20"/>
                <w:szCs w:val="20"/>
                <w:color w:val="auto"/>
              </w:rPr>
            </w:pPr>
            <w:r>
              <w:rPr>
                <w:rFonts w:ascii="Arial" w:cs="Arial" w:eastAsia="Arial" w:hAnsi="Arial"/>
                <w:sz w:val="18"/>
                <w:szCs w:val="18"/>
                <w:color w:val="auto"/>
              </w:rPr>
              <w:t>0.5</w:t>
            </w: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19.1</w:t>
            </w:r>
          </w:p>
        </w:tc>
      </w:tr>
      <w:tr>
        <w:trPr>
          <w:trHeight w:val="203"/>
        </w:trPr>
        <w:tc>
          <w:tcPr>
            <w:tcW w:w="71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Asset impairment charges</w:t>
            </w:r>
          </w:p>
        </w:tc>
        <w:tc>
          <w:tcPr>
            <w:tcW w:w="540" w:type="dxa"/>
            <w:vAlign w:val="bottom"/>
          </w:tcPr>
          <w:p>
            <w:pPr>
              <w:spacing w:after="0"/>
              <w:rPr>
                <w:sz w:val="17"/>
                <w:szCs w:val="17"/>
                <w:color w:val="auto"/>
              </w:rPr>
            </w:pPr>
          </w:p>
        </w:tc>
        <w:tc>
          <w:tcPr>
            <w:tcW w:w="1020" w:type="dxa"/>
            <w:vAlign w:val="bottom"/>
            <w:tcBorders>
              <w:right w:val="single" w:sz="8" w:color="auto"/>
            </w:tcBorders>
          </w:tcPr>
          <w:p>
            <w:pPr>
              <w:jc w:val="right"/>
              <w:ind w:right="413"/>
              <w:spacing w:after="0" w:line="202" w:lineRule="exact"/>
              <w:rPr>
                <w:sz w:val="20"/>
                <w:szCs w:val="20"/>
                <w:color w:val="auto"/>
              </w:rPr>
            </w:pPr>
            <w:r>
              <w:rPr>
                <w:rFonts w:ascii="Arial" w:cs="Arial" w:eastAsia="Arial" w:hAnsi="Arial"/>
                <w:sz w:val="18"/>
                <w:szCs w:val="18"/>
                <w:color w:val="auto"/>
              </w:rPr>
              <w:t>90.0</w:t>
            </w:r>
          </w:p>
        </w:tc>
        <w:tc>
          <w:tcPr>
            <w:tcW w:w="560" w:type="dxa"/>
            <w:vAlign w:val="bottom"/>
          </w:tcPr>
          <w:p>
            <w:pPr>
              <w:spacing w:after="0"/>
              <w:rPr>
                <w:sz w:val="17"/>
                <w:szCs w:val="17"/>
                <w:color w:val="auto"/>
              </w:rPr>
            </w:pPr>
          </w:p>
        </w:tc>
        <w:tc>
          <w:tcPr>
            <w:tcW w:w="960" w:type="dxa"/>
            <w:vAlign w:val="bottom"/>
          </w:tcPr>
          <w:p>
            <w:pPr>
              <w:jc w:val="right"/>
              <w:ind w:right="433"/>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7180" w:type="dxa"/>
            <w:vAlign w:val="bottom"/>
            <w:tcBorders>
              <w:right w:val="single" w:sz="8" w:color="auto"/>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Recognition of actuarial losses (gains)</w:t>
            </w:r>
          </w:p>
        </w:tc>
        <w:tc>
          <w:tcPr>
            <w:tcW w:w="54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80.0</w:t>
            </w: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(3.5)</w:t>
            </w: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r>
      <w:tr>
        <w:trPr>
          <w:trHeight w:val="203"/>
        </w:trPr>
        <w:tc>
          <w:tcPr>
            <w:tcW w:w="71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Deferred taxes</w:t>
            </w:r>
          </w:p>
        </w:tc>
        <w:tc>
          <w:tcPr>
            <w:tcW w:w="540" w:type="dxa"/>
            <w:vAlign w:val="bottom"/>
          </w:tcPr>
          <w:p>
            <w:pPr>
              <w:spacing w:after="0"/>
              <w:rPr>
                <w:sz w:val="17"/>
                <w:szCs w:val="17"/>
                <w:color w:val="auto"/>
              </w:rPr>
            </w:pPr>
          </w:p>
        </w:tc>
        <w:tc>
          <w:tcPr>
            <w:tcW w:w="1020" w:type="dxa"/>
            <w:vAlign w:val="bottom"/>
            <w:tcBorders>
              <w:right w:val="single" w:sz="8" w:color="auto"/>
            </w:tcBorders>
          </w:tcPr>
          <w:p>
            <w:pPr>
              <w:jc w:val="right"/>
              <w:ind w:right="353"/>
              <w:spacing w:after="0" w:line="202" w:lineRule="exact"/>
              <w:rPr>
                <w:sz w:val="20"/>
                <w:szCs w:val="20"/>
                <w:color w:val="auto"/>
              </w:rPr>
            </w:pPr>
            <w:r>
              <w:rPr>
                <w:rFonts w:ascii="Arial" w:cs="Arial" w:eastAsia="Arial" w:hAnsi="Arial"/>
                <w:sz w:val="18"/>
                <w:szCs w:val="18"/>
                <w:color w:val="auto"/>
              </w:rPr>
              <w:t>(62.4)</w:t>
            </w:r>
          </w:p>
        </w:tc>
        <w:tc>
          <w:tcPr>
            <w:tcW w:w="560" w:type="dxa"/>
            <w:vAlign w:val="bottom"/>
          </w:tcPr>
          <w:p>
            <w:pPr>
              <w:spacing w:after="0"/>
              <w:rPr>
                <w:sz w:val="17"/>
                <w:szCs w:val="17"/>
                <w:color w:val="auto"/>
              </w:rPr>
            </w:pPr>
          </w:p>
        </w:tc>
        <w:tc>
          <w:tcPr>
            <w:tcW w:w="960" w:type="dxa"/>
            <w:vAlign w:val="bottom"/>
          </w:tcPr>
          <w:p>
            <w:pPr>
              <w:jc w:val="right"/>
              <w:ind w:right="433"/>
              <w:spacing w:after="0" w:line="202" w:lineRule="exact"/>
              <w:rPr>
                <w:sz w:val="20"/>
                <w:szCs w:val="20"/>
                <w:color w:val="auto"/>
              </w:rPr>
            </w:pPr>
            <w:r>
              <w:rPr>
                <w:rFonts w:ascii="Arial" w:cs="Arial" w:eastAsia="Arial" w:hAnsi="Arial"/>
                <w:sz w:val="18"/>
                <w:szCs w:val="18"/>
                <w:color w:val="auto"/>
              </w:rPr>
              <w:t>27.1</w:t>
            </w:r>
          </w:p>
        </w:tc>
        <w:tc>
          <w:tcPr>
            <w:tcW w:w="5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(21.8)</w:t>
            </w:r>
          </w:p>
        </w:tc>
      </w:tr>
      <w:tr>
        <w:trPr>
          <w:trHeight w:val="203"/>
        </w:trPr>
        <w:tc>
          <w:tcPr>
            <w:tcW w:w="71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Changes in assets and liabilities including effects subsequent to acquisitions:</w:t>
            </w:r>
          </w:p>
        </w:tc>
        <w:tc>
          <w:tcPr>
            <w:tcW w:w="54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3"/>
        </w:trPr>
        <w:tc>
          <w:tcPr>
            <w:tcW w:w="71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Decrease (increase) in accounts receivable</w:t>
            </w:r>
          </w:p>
        </w:tc>
        <w:tc>
          <w:tcPr>
            <w:tcW w:w="540" w:type="dxa"/>
            <w:vAlign w:val="bottom"/>
          </w:tcPr>
          <w:p>
            <w:pPr>
              <w:spacing w:after="0"/>
              <w:rPr>
                <w:sz w:val="17"/>
                <w:szCs w:val="17"/>
                <w:color w:val="auto"/>
              </w:rPr>
            </w:pPr>
          </w:p>
        </w:tc>
        <w:tc>
          <w:tcPr>
            <w:tcW w:w="1020" w:type="dxa"/>
            <w:vAlign w:val="bottom"/>
            <w:tcBorders>
              <w:right w:val="single" w:sz="8" w:color="auto"/>
            </w:tcBorders>
          </w:tcPr>
          <w:p>
            <w:pPr>
              <w:jc w:val="right"/>
              <w:ind w:right="413"/>
              <w:spacing w:after="0" w:line="202" w:lineRule="exact"/>
              <w:rPr>
                <w:sz w:val="20"/>
                <w:szCs w:val="20"/>
                <w:color w:val="auto"/>
              </w:rPr>
            </w:pPr>
            <w:r>
              <w:rPr>
                <w:rFonts w:ascii="Arial" w:cs="Arial" w:eastAsia="Arial" w:hAnsi="Arial"/>
                <w:sz w:val="18"/>
                <w:szCs w:val="18"/>
                <w:color w:val="auto"/>
              </w:rPr>
              <w:t>26.9</w:t>
            </w:r>
          </w:p>
        </w:tc>
        <w:tc>
          <w:tcPr>
            <w:tcW w:w="560" w:type="dxa"/>
            <w:vAlign w:val="bottom"/>
          </w:tcPr>
          <w:p>
            <w:pPr>
              <w:spacing w:after="0"/>
              <w:rPr>
                <w:sz w:val="17"/>
                <w:szCs w:val="17"/>
                <w:color w:val="auto"/>
              </w:rPr>
            </w:pPr>
          </w:p>
        </w:tc>
        <w:tc>
          <w:tcPr>
            <w:tcW w:w="960" w:type="dxa"/>
            <w:vAlign w:val="bottom"/>
          </w:tcPr>
          <w:p>
            <w:pPr>
              <w:jc w:val="right"/>
              <w:ind w:right="373"/>
              <w:spacing w:after="0" w:line="202" w:lineRule="exact"/>
              <w:rPr>
                <w:sz w:val="20"/>
                <w:szCs w:val="20"/>
                <w:color w:val="auto"/>
              </w:rPr>
            </w:pPr>
            <w:r>
              <w:rPr>
                <w:rFonts w:ascii="Arial" w:cs="Arial" w:eastAsia="Arial" w:hAnsi="Arial"/>
                <w:sz w:val="18"/>
                <w:szCs w:val="18"/>
                <w:color w:val="auto"/>
              </w:rPr>
              <w:t>(20.8)</w:t>
            </w:r>
          </w:p>
        </w:tc>
        <w:tc>
          <w:tcPr>
            <w:tcW w:w="540" w:type="dxa"/>
            <w:vAlign w:val="bottom"/>
          </w:tcPr>
          <w:p>
            <w:pPr>
              <w:spacing w:after="0"/>
              <w:rPr>
                <w:sz w:val="17"/>
                <w:szCs w:val="17"/>
                <w:color w:val="auto"/>
              </w:rPr>
            </w:pP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43.3</w:t>
            </w:r>
          </w:p>
        </w:tc>
      </w:tr>
      <w:tr>
        <w:trPr>
          <w:trHeight w:val="203"/>
        </w:trPr>
        <w:tc>
          <w:tcPr>
            <w:tcW w:w="7180" w:type="dxa"/>
            <w:vAlign w:val="bottom"/>
            <w:tcBorders>
              <w:right w:val="single" w:sz="8" w:color="auto"/>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(Increase) decrease in inventories</w:t>
            </w:r>
          </w:p>
        </w:tc>
        <w:tc>
          <w:tcPr>
            <w:tcW w:w="54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353"/>
              <w:spacing w:after="0" w:line="202" w:lineRule="exact"/>
              <w:rPr>
                <w:sz w:val="20"/>
                <w:szCs w:val="20"/>
                <w:color w:val="auto"/>
              </w:rPr>
            </w:pPr>
            <w:r>
              <w:rPr>
                <w:rFonts w:ascii="Arial" w:cs="Arial" w:eastAsia="Arial" w:hAnsi="Arial"/>
                <w:sz w:val="18"/>
                <w:szCs w:val="18"/>
                <w:color w:val="auto"/>
              </w:rPr>
              <w:t>(4.6)</w:t>
            </w: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(34.4)</w:t>
            </w: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45.1</w:t>
            </w:r>
          </w:p>
        </w:tc>
      </w:tr>
      <w:tr>
        <w:trPr>
          <w:trHeight w:val="203"/>
        </w:trPr>
        <w:tc>
          <w:tcPr>
            <w:tcW w:w="71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Increase in accounts payable</w:t>
            </w:r>
          </w:p>
        </w:tc>
        <w:tc>
          <w:tcPr>
            <w:tcW w:w="540" w:type="dxa"/>
            <w:vAlign w:val="bottom"/>
          </w:tcPr>
          <w:p>
            <w:pPr>
              <w:spacing w:after="0"/>
              <w:rPr>
                <w:sz w:val="17"/>
                <w:szCs w:val="17"/>
                <w:color w:val="auto"/>
              </w:rPr>
            </w:pPr>
          </w:p>
        </w:tc>
        <w:tc>
          <w:tcPr>
            <w:tcW w:w="1020" w:type="dxa"/>
            <w:vAlign w:val="bottom"/>
            <w:tcBorders>
              <w:right w:val="single" w:sz="8" w:color="auto"/>
            </w:tcBorders>
          </w:tcPr>
          <w:p>
            <w:pPr>
              <w:jc w:val="right"/>
              <w:ind w:right="413"/>
              <w:spacing w:after="0" w:line="202" w:lineRule="exact"/>
              <w:rPr>
                <w:sz w:val="20"/>
                <w:szCs w:val="20"/>
                <w:color w:val="auto"/>
              </w:rPr>
            </w:pPr>
            <w:r>
              <w:rPr>
                <w:rFonts w:ascii="Arial" w:cs="Arial" w:eastAsia="Arial" w:hAnsi="Arial"/>
                <w:sz w:val="18"/>
                <w:szCs w:val="18"/>
                <w:color w:val="auto"/>
              </w:rPr>
              <w:t>6.7</w:t>
            </w:r>
          </w:p>
        </w:tc>
        <w:tc>
          <w:tcPr>
            <w:tcW w:w="560" w:type="dxa"/>
            <w:vAlign w:val="bottom"/>
          </w:tcPr>
          <w:p>
            <w:pPr>
              <w:spacing w:after="0"/>
              <w:rPr>
                <w:sz w:val="17"/>
                <w:szCs w:val="17"/>
                <w:color w:val="auto"/>
              </w:rPr>
            </w:pPr>
          </w:p>
        </w:tc>
        <w:tc>
          <w:tcPr>
            <w:tcW w:w="960" w:type="dxa"/>
            <w:vAlign w:val="bottom"/>
          </w:tcPr>
          <w:p>
            <w:pPr>
              <w:jc w:val="right"/>
              <w:ind w:right="433"/>
              <w:spacing w:after="0" w:line="202" w:lineRule="exact"/>
              <w:rPr>
                <w:sz w:val="20"/>
                <w:szCs w:val="20"/>
                <w:color w:val="auto"/>
              </w:rPr>
            </w:pPr>
            <w:r>
              <w:rPr>
                <w:rFonts w:ascii="Arial" w:cs="Arial" w:eastAsia="Arial" w:hAnsi="Arial"/>
                <w:sz w:val="18"/>
                <w:szCs w:val="18"/>
                <w:color w:val="auto"/>
              </w:rPr>
              <w:t>16.3</w:t>
            </w:r>
          </w:p>
        </w:tc>
        <w:tc>
          <w:tcPr>
            <w:tcW w:w="540" w:type="dxa"/>
            <w:vAlign w:val="bottom"/>
          </w:tcPr>
          <w:p>
            <w:pPr>
              <w:spacing w:after="0"/>
              <w:rPr>
                <w:sz w:val="17"/>
                <w:szCs w:val="17"/>
                <w:color w:val="auto"/>
              </w:rPr>
            </w:pP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12.6</w:t>
            </w:r>
          </w:p>
        </w:tc>
      </w:tr>
      <w:tr>
        <w:trPr>
          <w:trHeight w:val="203"/>
        </w:trPr>
        <w:tc>
          <w:tcPr>
            <w:tcW w:w="7180" w:type="dxa"/>
            <w:vAlign w:val="bottom"/>
            <w:tcBorders>
              <w:right w:val="single" w:sz="8" w:color="auto"/>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(Increase) decrease in other assets</w:t>
            </w:r>
          </w:p>
        </w:tc>
        <w:tc>
          <w:tcPr>
            <w:tcW w:w="54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353"/>
              <w:spacing w:after="0" w:line="202" w:lineRule="exact"/>
              <w:rPr>
                <w:sz w:val="20"/>
                <w:szCs w:val="20"/>
                <w:color w:val="auto"/>
              </w:rPr>
            </w:pPr>
            <w:r>
              <w:rPr>
                <w:rFonts w:ascii="Arial" w:cs="Arial" w:eastAsia="Arial" w:hAnsi="Arial"/>
                <w:sz w:val="18"/>
                <w:szCs w:val="18"/>
                <w:color w:val="auto"/>
              </w:rPr>
              <w:t>(39.0)</w:t>
            </w: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(5.0)</w:t>
            </w: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17.0</w:t>
            </w:r>
          </w:p>
        </w:tc>
      </w:tr>
      <w:tr>
        <w:trPr>
          <w:trHeight w:val="203"/>
        </w:trPr>
        <w:tc>
          <w:tcPr>
            <w:tcW w:w="71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Increase (decrease) in accrued taxes</w:t>
            </w:r>
          </w:p>
        </w:tc>
        <w:tc>
          <w:tcPr>
            <w:tcW w:w="540" w:type="dxa"/>
            <w:vAlign w:val="bottom"/>
          </w:tcPr>
          <w:p>
            <w:pPr>
              <w:spacing w:after="0"/>
              <w:rPr>
                <w:sz w:val="17"/>
                <w:szCs w:val="17"/>
                <w:color w:val="auto"/>
              </w:rPr>
            </w:pPr>
          </w:p>
        </w:tc>
        <w:tc>
          <w:tcPr>
            <w:tcW w:w="1020" w:type="dxa"/>
            <w:vAlign w:val="bottom"/>
            <w:tcBorders>
              <w:right w:val="single" w:sz="8" w:color="auto"/>
            </w:tcBorders>
          </w:tcPr>
          <w:p>
            <w:pPr>
              <w:jc w:val="right"/>
              <w:ind w:right="413"/>
              <w:spacing w:after="0" w:line="202" w:lineRule="exact"/>
              <w:rPr>
                <w:sz w:val="20"/>
                <w:szCs w:val="20"/>
                <w:color w:val="auto"/>
              </w:rPr>
            </w:pPr>
            <w:r>
              <w:rPr>
                <w:rFonts w:ascii="Arial" w:cs="Arial" w:eastAsia="Arial" w:hAnsi="Arial"/>
                <w:sz w:val="18"/>
                <w:szCs w:val="18"/>
                <w:color w:val="auto"/>
              </w:rPr>
              <w:t>50.4</w:t>
            </w:r>
          </w:p>
        </w:tc>
        <w:tc>
          <w:tcPr>
            <w:tcW w:w="560" w:type="dxa"/>
            <w:vAlign w:val="bottom"/>
          </w:tcPr>
          <w:p>
            <w:pPr>
              <w:spacing w:after="0"/>
              <w:rPr>
                <w:sz w:val="17"/>
                <w:szCs w:val="17"/>
                <w:color w:val="auto"/>
              </w:rPr>
            </w:pPr>
          </w:p>
        </w:tc>
        <w:tc>
          <w:tcPr>
            <w:tcW w:w="960" w:type="dxa"/>
            <w:vAlign w:val="bottom"/>
          </w:tcPr>
          <w:p>
            <w:pPr>
              <w:jc w:val="right"/>
              <w:ind w:right="373"/>
              <w:spacing w:after="0" w:line="202" w:lineRule="exact"/>
              <w:rPr>
                <w:sz w:val="20"/>
                <w:szCs w:val="20"/>
                <w:color w:val="auto"/>
              </w:rPr>
            </w:pPr>
            <w:r>
              <w:rPr>
                <w:rFonts w:ascii="Arial" w:cs="Arial" w:eastAsia="Arial" w:hAnsi="Arial"/>
                <w:sz w:val="18"/>
                <w:szCs w:val="18"/>
                <w:color w:val="auto"/>
              </w:rPr>
              <w:t>(14.4)</w:t>
            </w:r>
          </w:p>
        </w:tc>
        <w:tc>
          <w:tcPr>
            <w:tcW w:w="540" w:type="dxa"/>
            <w:vAlign w:val="bottom"/>
          </w:tcPr>
          <w:p>
            <w:pPr>
              <w:spacing w:after="0"/>
              <w:rPr>
                <w:sz w:val="17"/>
                <w:szCs w:val="17"/>
                <w:color w:val="auto"/>
              </w:rPr>
            </w:pP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38.9</w:t>
            </w:r>
          </w:p>
        </w:tc>
      </w:tr>
      <w:tr>
        <w:trPr>
          <w:trHeight w:val="203"/>
        </w:trPr>
        <w:tc>
          <w:tcPr>
            <w:tcW w:w="7180" w:type="dxa"/>
            <w:vAlign w:val="bottom"/>
            <w:tcBorders>
              <w:bottom w:val="single" w:sz="8" w:color="auto"/>
              <w:right w:val="single" w:sz="8" w:color="auto"/>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(Decrease) increase in accrued expenses and other liabilities</w:t>
            </w:r>
          </w:p>
        </w:tc>
        <w:tc>
          <w:tcPr>
            <w:tcW w:w="5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right w:val="single" w:sz="8" w:color="auto"/>
            </w:tcBorders>
            <w:shd w:val="clear" w:color="auto" w:fill="CCEEFF"/>
          </w:tcPr>
          <w:p>
            <w:pPr>
              <w:jc w:val="right"/>
              <w:ind w:right="353"/>
              <w:spacing w:after="0" w:line="202" w:lineRule="exact"/>
              <w:rPr>
                <w:sz w:val="20"/>
                <w:szCs w:val="20"/>
                <w:color w:val="auto"/>
              </w:rPr>
            </w:pPr>
            <w:r>
              <w:rPr>
                <w:rFonts w:ascii="Arial" w:cs="Arial" w:eastAsia="Arial" w:hAnsi="Arial"/>
                <w:sz w:val="18"/>
                <w:szCs w:val="18"/>
                <w:color w:val="auto"/>
              </w:rPr>
              <w:t>(67.0)</w:t>
            </w:r>
          </w:p>
        </w:tc>
        <w:tc>
          <w:tcPr>
            <w:tcW w:w="5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(15.2)</w:t>
            </w:r>
          </w:p>
        </w:tc>
        <w:tc>
          <w:tcPr>
            <w:tcW w:w="5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19.6</w:t>
            </w:r>
          </w:p>
        </w:tc>
      </w:tr>
      <w:tr>
        <w:trPr>
          <w:trHeight w:val="196"/>
        </w:trPr>
        <w:tc>
          <w:tcPr>
            <w:tcW w:w="718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OPERATING ACTIVITIES</w:t>
            </w: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jc w:val="right"/>
              <w:ind w:right="413"/>
              <w:spacing w:after="0" w:line="196" w:lineRule="exact"/>
              <w:rPr>
                <w:sz w:val="20"/>
                <w:szCs w:val="20"/>
                <w:color w:val="auto"/>
              </w:rPr>
            </w:pPr>
            <w:r>
              <w:rPr>
                <w:rFonts w:ascii="Arial" w:cs="Arial" w:eastAsia="Arial" w:hAnsi="Arial"/>
                <w:sz w:val="18"/>
                <w:szCs w:val="18"/>
                <w:color w:val="auto"/>
              </w:rPr>
              <w:t>175.4</w:t>
            </w: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3"/>
              <w:spacing w:after="0" w:line="196" w:lineRule="exact"/>
              <w:rPr>
                <w:sz w:val="20"/>
                <w:szCs w:val="20"/>
                <w:color w:val="auto"/>
              </w:rPr>
            </w:pPr>
            <w:r>
              <w:rPr>
                <w:rFonts w:ascii="Arial" w:cs="Arial" w:eastAsia="Arial" w:hAnsi="Arial"/>
                <w:sz w:val="18"/>
                <w:szCs w:val="18"/>
                <w:color w:val="auto"/>
                <w:w w:val="93"/>
              </w:rPr>
              <w:t>138.9</w:t>
            </w:r>
          </w:p>
        </w:tc>
        <w:tc>
          <w:tcPr>
            <w:tcW w:w="5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269.3</w:t>
            </w:r>
          </w:p>
        </w:tc>
      </w:tr>
      <w:tr>
        <w:trPr>
          <w:trHeight w:val="196"/>
        </w:trPr>
        <w:tc>
          <w:tcPr>
            <w:tcW w:w="7180" w:type="dxa"/>
            <w:vAlign w:val="bottom"/>
            <w:tcBorders>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INVESTING ACTIVITIES</w:t>
            </w:r>
          </w:p>
        </w:tc>
        <w:tc>
          <w:tcPr>
            <w:tcW w:w="54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3"/>
        </w:trPr>
        <w:tc>
          <w:tcPr>
            <w:tcW w:w="71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Capital expenditures</w:t>
            </w:r>
          </w:p>
        </w:tc>
        <w:tc>
          <w:tcPr>
            <w:tcW w:w="540" w:type="dxa"/>
            <w:vAlign w:val="bottom"/>
          </w:tcPr>
          <w:p>
            <w:pPr>
              <w:spacing w:after="0"/>
              <w:rPr>
                <w:sz w:val="17"/>
                <w:szCs w:val="17"/>
                <w:color w:val="auto"/>
              </w:rPr>
            </w:pPr>
          </w:p>
        </w:tc>
        <w:tc>
          <w:tcPr>
            <w:tcW w:w="1020" w:type="dxa"/>
            <w:vAlign w:val="bottom"/>
            <w:tcBorders>
              <w:right w:val="single" w:sz="8" w:color="auto"/>
            </w:tcBorders>
          </w:tcPr>
          <w:p>
            <w:pPr>
              <w:jc w:val="right"/>
              <w:ind w:right="353"/>
              <w:spacing w:after="0" w:line="202" w:lineRule="exact"/>
              <w:rPr>
                <w:sz w:val="20"/>
                <w:szCs w:val="20"/>
                <w:color w:val="auto"/>
              </w:rPr>
            </w:pPr>
            <w:r>
              <w:rPr>
                <w:rFonts w:ascii="Arial" w:cs="Arial" w:eastAsia="Arial" w:hAnsi="Arial"/>
                <w:sz w:val="18"/>
                <w:szCs w:val="18"/>
                <w:color w:val="auto"/>
              </w:rPr>
              <w:t>(68.5)</w:t>
            </w:r>
          </w:p>
        </w:tc>
        <w:tc>
          <w:tcPr>
            <w:tcW w:w="560" w:type="dxa"/>
            <w:vAlign w:val="bottom"/>
          </w:tcPr>
          <w:p>
            <w:pPr>
              <w:spacing w:after="0"/>
              <w:rPr>
                <w:sz w:val="17"/>
                <w:szCs w:val="17"/>
                <w:color w:val="auto"/>
              </w:rPr>
            </w:pPr>
          </w:p>
        </w:tc>
        <w:tc>
          <w:tcPr>
            <w:tcW w:w="960" w:type="dxa"/>
            <w:vAlign w:val="bottom"/>
          </w:tcPr>
          <w:p>
            <w:pPr>
              <w:jc w:val="right"/>
              <w:ind w:right="373"/>
              <w:spacing w:after="0" w:line="202" w:lineRule="exact"/>
              <w:rPr>
                <w:sz w:val="20"/>
                <w:szCs w:val="20"/>
                <w:color w:val="auto"/>
              </w:rPr>
            </w:pPr>
            <w:r>
              <w:rPr>
                <w:rFonts w:ascii="Arial" w:cs="Arial" w:eastAsia="Arial" w:hAnsi="Arial"/>
                <w:sz w:val="18"/>
                <w:szCs w:val="18"/>
                <w:color w:val="auto"/>
              </w:rPr>
              <w:t>(58.3)</w:t>
            </w:r>
          </w:p>
        </w:tc>
        <w:tc>
          <w:tcPr>
            <w:tcW w:w="5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(43.3)</w:t>
            </w:r>
          </w:p>
        </w:tc>
      </w:tr>
      <w:tr>
        <w:trPr>
          <w:trHeight w:val="203"/>
        </w:trPr>
        <w:tc>
          <w:tcPr>
            <w:tcW w:w="71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Acquisitions, net of cash acquired</w:t>
            </w:r>
          </w:p>
        </w:tc>
        <w:tc>
          <w:tcPr>
            <w:tcW w:w="54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353"/>
              <w:spacing w:after="0" w:line="202" w:lineRule="exact"/>
              <w:rPr>
                <w:sz w:val="20"/>
                <w:szCs w:val="20"/>
                <w:color w:val="auto"/>
              </w:rPr>
            </w:pPr>
            <w:r>
              <w:rPr>
                <w:rFonts w:ascii="Arial" w:cs="Arial" w:eastAsia="Arial" w:hAnsi="Arial"/>
                <w:sz w:val="18"/>
                <w:szCs w:val="18"/>
                <w:color w:val="auto"/>
              </w:rPr>
              <w:t>(6.0)</w:t>
            </w: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33"/>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7180" w:type="dxa"/>
            <w:vAlign w:val="bottom"/>
            <w:tcBorders>
              <w:bottom w:val="single" w:sz="8" w:color="auto"/>
              <w:right w:val="single" w:sz="8" w:color="auto"/>
            </w:tcBorders>
          </w:tcPr>
          <w:p>
            <w:pPr>
              <w:spacing w:after="0" w:line="202" w:lineRule="exact"/>
              <w:rPr>
                <w:sz w:val="20"/>
                <w:szCs w:val="20"/>
                <w:color w:val="auto"/>
              </w:rPr>
            </w:pPr>
            <w:r>
              <w:rPr>
                <w:rFonts w:ascii="Arial" w:cs="Arial" w:eastAsia="Arial" w:hAnsi="Arial"/>
                <w:sz w:val="18"/>
                <w:szCs w:val="18"/>
                <w:color w:val="auto"/>
              </w:rPr>
              <w:t>Proceeds from the disposition of assets</w:t>
            </w: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jc w:val="right"/>
              <w:ind w:right="413"/>
              <w:spacing w:after="0" w:line="202" w:lineRule="exact"/>
              <w:rPr>
                <w:sz w:val="20"/>
                <w:szCs w:val="20"/>
                <w:color w:val="auto"/>
              </w:rPr>
            </w:pPr>
            <w:r>
              <w:rPr>
                <w:rFonts w:ascii="Arial" w:cs="Arial" w:eastAsia="Arial" w:hAnsi="Arial"/>
                <w:sz w:val="18"/>
                <w:szCs w:val="18"/>
                <w:color w:val="auto"/>
              </w:rPr>
              <w:t>3.5</w:t>
            </w: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3"/>
              <w:spacing w:after="0" w:line="202" w:lineRule="exact"/>
              <w:rPr>
                <w:sz w:val="20"/>
                <w:szCs w:val="20"/>
                <w:color w:val="auto"/>
              </w:rPr>
            </w:pPr>
            <w:r>
              <w:rPr>
                <w:rFonts w:ascii="Arial" w:cs="Arial" w:eastAsia="Arial" w:hAnsi="Arial"/>
                <w:sz w:val="18"/>
                <w:szCs w:val="18"/>
                <w:color w:val="auto"/>
              </w:rPr>
              <w:t>2.6</w:t>
            </w:r>
          </w:p>
        </w:tc>
        <w:tc>
          <w:tcPr>
            <w:tcW w:w="5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11.3</w:t>
            </w:r>
          </w:p>
        </w:tc>
      </w:tr>
      <w:tr>
        <w:trPr>
          <w:trHeight w:val="196"/>
        </w:trPr>
        <w:tc>
          <w:tcPr>
            <w:tcW w:w="7180" w:type="dxa"/>
            <w:vAlign w:val="bottom"/>
            <w:tcBorders>
              <w:bottom w:val="single" w:sz="8" w:color="auto"/>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CASH USED IN INVESTING ACTIVITIES</w:t>
            </w:r>
          </w:p>
        </w:tc>
        <w:tc>
          <w:tcPr>
            <w:tcW w:w="5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right w:val="single" w:sz="8" w:color="auto"/>
            </w:tcBorders>
            <w:shd w:val="clear" w:color="auto" w:fill="CCEEFF"/>
          </w:tcPr>
          <w:p>
            <w:pPr>
              <w:jc w:val="right"/>
              <w:ind w:right="353"/>
              <w:spacing w:after="0" w:line="196" w:lineRule="exact"/>
              <w:rPr>
                <w:sz w:val="20"/>
                <w:szCs w:val="20"/>
                <w:color w:val="auto"/>
              </w:rPr>
            </w:pPr>
            <w:r>
              <w:rPr>
                <w:rFonts w:ascii="Arial" w:cs="Arial" w:eastAsia="Arial" w:hAnsi="Arial"/>
                <w:sz w:val="18"/>
                <w:szCs w:val="18"/>
                <w:color w:val="auto"/>
              </w:rPr>
              <w:t>(71.0)</w:t>
            </w:r>
          </w:p>
        </w:tc>
        <w:tc>
          <w:tcPr>
            <w:tcW w:w="5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73"/>
              <w:spacing w:after="0" w:line="196" w:lineRule="exact"/>
              <w:rPr>
                <w:sz w:val="20"/>
                <w:szCs w:val="20"/>
                <w:color w:val="auto"/>
              </w:rPr>
            </w:pPr>
            <w:r>
              <w:rPr>
                <w:rFonts w:ascii="Arial" w:cs="Arial" w:eastAsia="Arial" w:hAnsi="Arial"/>
                <w:sz w:val="18"/>
                <w:szCs w:val="18"/>
                <w:color w:val="auto"/>
              </w:rPr>
              <w:t>(55.7)</w:t>
            </w:r>
          </w:p>
        </w:tc>
        <w:tc>
          <w:tcPr>
            <w:tcW w:w="5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(32.0)</w:t>
            </w:r>
          </w:p>
        </w:tc>
      </w:tr>
      <w:tr>
        <w:trPr>
          <w:trHeight w:val="196"/>
        </w:trPr>
        <w:tc>
          <w:tcPr>
            <w:tcW w:w="71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FINANCING ACTIVITIES</w:t>
            </w:r>
          </w:p>
        </w:tc>
        <w:tc>
          <w:tcPr>
            <w:tcW w:w="54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71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Increase in short-term debt</w:t>
            </w:r>
          </w:p>
        </w:tc>
        <w:tc>
          <w:tcPr>
            <w:tcW w:w="54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1.4</w:t>
            </w: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33"/>
              <w:spacing w:after="0" w:line="202" w:lineRule="exact"/>
              <w:rPr>
                <w:sz w:val="20"/>
                <w:szCs w:val="20"/>
                <w:color w:val="auto"/>
              </w:rPr>
            </w:pPr>
            <w:r>
              <w:rPr>
                <w:rFonts w:ascii="Arial" w:cs="Arial" w:eastAsia="Arial" w:hAnsi="Arial"/>
                <w:sz w:val="18"/>
                <w:szCs w:val="18"/>
                <w:color w:val="auto"/>
              </w:rPr>
              <w:t>1.7</w:t>
            </w: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1.1</w:t>
            </w:r>
          </w:p>
        </w:tc>
      </w:tr>
      <w:tr>
        <w:trPr>
          <w:trHeight w:val="203"/>
        </w:trPr>
        <w:tc>
          <w:tcPr>
            <w:tcW w:w="71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Issuance of long-term debt</w:t>
            </w:r>
          </w:p>
        </w:tc>
        <w:tc>
          <w:tcPr>
            <w:tcW w:w="540" w:type="dxa"/>
            <w:vAlign w:val="bottom"/>
          </w:tcPr>
          <w:p>
            <w:pPr>
              <w:spacing w:after="0"/>
              <w:rPr>
                <w:sz w:val="17"/>
                <w:szCs w:val="17"/>
                <w:color w:val="auto"/>
              </w:rPr>
            </w:pPr>
          </w:p>
        </w:tc>
        <w:tc>
          <w:tcPr>
            <w:tcW w:w="1020" w:type="dxa"/>
            <w:vAlign w:val="bottom"/>
            <w:tcBorders>
              <w:right w:val="single" w:sz="8" w:color="auto"/>
            </w:tcBorders>
          </w:tcPr>
          <w:p>
            <w:pPr>
              <w:jc w:val="right"/>
              <w:ind w:right="413"/>
              <w:spacing w:after="0" w:line="202" w:lineRule="exact"/>
              <w:rPr>
                <w:sz w:val="20"/>
                <w:szCs w:val="20"/>
                <w:color w:val="auto"/>
              </w:rPr>
            </w:pPr>
            <w:r>
              <w:rPr>
                <w:rFonts w:ascii="Arial" w:cs="Arial" w:eastAsia="Arial" w:hAnsi="Arial"/>
                <w:sz w:val="18"/>
                <w:szCs w:val="18"/>
                <w:color w:val="auto"/>
              </w:rPr>
              <w:t>510.0</w:t>
            </w:r>
          </w:p>
        </w:tc>
        <w:tc>
          <w:tcPr>
            <w:tcW w:w="560" w:type="dxa"/>
            <w:vAlign w:val="bottom"/>
          </w:tcPr>
          <w:p>
            <w:pPr>
              <w:spacing w:after="0"/>
              <w:rPr>
                <w:sz w:val="17"/>
                <w:szCs w:val="17"/>
                <w:color w:val="auto"/>
              </w:rPr>
            </w:pPr>
          </w:p>
        </w:tc>
        <w:tc>
          <w:tcPr>
            <w:tcW w:w="960" w:type="dxa"/>
            <w:vAlign w:val="bottom"/>
          </w:tcPr>
          <w:p>
            <w:pPr>
              <w:jc w:val="right"/>
              <w:ind w:right="433"/>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71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Repayment of long-term debt</w:t>
            </w:r>
          </w:p>
        </w:tc>
        <w:tc>
          <w:tcPr>
            <w:tcW w:w="54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353"/>
              <w:spacing w:after="0" w:line="202" w:lineRule="exact"/>
              <w:rPr>
                <w:sz w:val="20"/>
                <w:szCs w:val="20"/>
                <w:color w:val="auto"/>
              </w:rPr>
            </w:pPr>
            <w:r>
              <w:rPr>
                <w:rFonts w:ascii="Arial" w:cs="Arial" w:eastAsia="Arial" w:hAnsi="Arial"/>
                <w:sz w:val="18"/>
                <w:szCs w:val="18"/>
                <w:color w:val="auto"/>
                <w:w w:val="98"/>
              </w:rPr>
              <w:t>(120.0)</w:t>
            </w: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(7.1)</w:t>
            </w: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r>
      <w:tr>
        <w:trPr>
          <w:trHeight w:val="203"/>
        </w:trPr>
        <w:tc>
          <w:tcPr>
            <w:tcW w:w="71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Proceeds from the exercise of stock options</w:t>
            </w:r>
          </w:p>
        </w:tc>
        <w:tc>
          <w:tcPr>
            <w:tcW w:w="540" w:type="dxa"/>
            <w:vAlign w:val="bottom"/>
          </w:tcPr>
          <w:p>
            <w:pPr>
              <w:spacing w:after="0"/>
              <w:rPr>
                <w:sz w:val="17"/>
                <w:szCs w:val="17"/>
                <w:color w:val="auto"/>
              </w:rPr>
            </w:pPr>
          </w:p>
        </w:tc>
        <w:tc>
          <w:tcPr>
            <w:tcW w:w="1020" w:type="dxa"/>
            <w:vAlign w:val="bottom"/>
            <w:tcBorders>
              <w:right w:val="single" w:sz="8" w:color="auto"/>
            </w:tcBorders>
          </w:tcPr>
          <w:p>
            <w:pPr>
              <w:jc w:val="right"/>
              <w:ind w:right="413"/>
              <w:spacing w:after="0" w:line="202" w:lineRule="exact"/>
              <w:rPr>
                <w:sz w:val="20"/>
                <w:szCs w:val="20"/>
                <w:color w:val="auto"/>
              </w:rPr>
            </w:pPr>
            <w:r>
              <w:rPr>
                <w:rFonts w:ascii="Arial" w:cs="Arial" w:eastAsia="Arial" w:hAnsi="Arial"/>
                <w:sz w:val="18"/>
                <w:szCs w:val="18"/>
                <w:color w:val="auto"/>
              </w:rPr>
              <w:t>11.0</w:t>
            </w:r>
          </w:p>
        </w:tc>
        <w:tc>
          <w:tcPr>
            <w:tcW w:w="560" w:type="dxa"/>
            <w:vAlign w:val="bottom"/>
          </w:tcPr>
          <w:p>
            <w:pPr>
              <w:spacing w:after="0"/>
              <w:rPr>
                <w:sz w:val="17"/>
                <w:szCs w:val="17"/>
                <w:color w:val="auto"/>
              </w:rPr>
            </w:pPr>
          </w:p>
        </w:tc>
        <w:tc>
          <w:tcPr>
            <w:tcW w:w="960" w:type="dxa"/>
            <w:vAlign w:val="bottom"/>
          </w:tcPr>
          <w:p>
            <w:pPr>
              <w:jc w:val="right"/>
              <w:ind w:right="433"/>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71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loan payments to Fortune Brands, Inc.</w:t>
            </w:r>
          </w:p>
        </w:tc>
        <w:tc>
          <w:tcPr>
            <w:tcW w:w="54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91.2</w:t>
            </w: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(96.6)</w:t>
            </w: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(238.6)</w:t>
            </w:r>
          </w:p>
        </w:tc>
      </w:tr>
      <w:tr>
        <w:trPr>
          <w:trHeight w:val="203"/>
        </w:trPr>
        <w:tc>
          <w:tcPr>
            <w:tcW w:w="71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Dividends to Fortune Brands, Inc.</w:t>
            </w:r>
          </w:p>
        </w:tc>
        <w:tc>
          <w:tcPr>
            <w:tcW w:w="540" w:type="dxa"/>
            <w:vAlign w:val="bottom"/>
          </w:tcPr>
          <w:p>
            <w:pPr>
              <w:spacing w:after="0"/>
              <w:rPr>
                <w:sz w:val="17"/>
                <w:szCs w:val="17"/>
                <w:color w:val="auto"/>
              </w:rPr>
            </w:pPr>
          </w:p>
        </w:tc>
        <w:tc>
          <w:tcPr>
            <w:tcW w:w="1020" w:type="dxa"/>
            <w:vAlign w:val="bottom"/>
            <w:tcBorders>
              <w:right w:val="single" w:sz="8" w:color="auto"/>
            </w:tcBorders>
          </w:tcPr>
          <w:p>
            <w:pPr>
              <w:jc w:val="right"/>
              <w:ind w:right="353"/>
              <w:spacing w:after="0" w:line="202" w:lineRule="exact"/>
              <w:rPr>
                <w:sz w:val="20"/>
                <w:szCs w:val="20"/>
                <w:color w:val="auto"/>
              </w:rPr>
            </w:pPr>
            <w:r>
              <w:rPr>
                <w:rFonts w:ascii="Arial" w:cs="Arial" w:eastAsia="Arial" w:hAnsi="Arial"/>
                <w:sz w:val="18"/>
                <w:szCs w:val="18"/>
                <w:color w:val="auto"/>
                <w:w w:val="98"/>
              </w:rPr>
              <w:t>(548.9)</w:t>
            </w:r>
          </w:p>
        </w:tc>
        <w:tc>
          <w:tcPr>
            <w:tcW w:w="560" w:type="dxa"/>
            <w:vAlign w:val="bottom"/>
          </w:tcPr>
          <w:p>
            <w:pPr>
              <w:spacing w:after="0"/>
              <w:rPr>
                <w:sz w:val="17"/>
                <w:szCs w:val="17"/>
                <w:color w:val="auto"/>
              </w:rPr>
            </w:pPr>
          </w:p>
        </w:tc>
        <w:tc>
          <w:tcPr>
            <w:tcW w:w="960" w:type="dxa"/>
            <w:vAlign w:val="bottom"/>
          </w:tcPr>
          <w:p>
            <w:pPr>
              <w:jc w:val="right"/>
              <w:ind w:right="433"/>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71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Fortune Brands, Inc. capital contribution</w:t>
            </w:r>
            <w:r>
              <w:rPr>
                <w:rFonts w:ascii="Arial" w:cs="Arial" w:eastAsia="Arial" w:hAnsi="Arial"/>
                <w:sz w:val="11"/>
                <w:szCs w:val="11"/>
                <w:color w:val="auto"/>
              </w:rPr>
              <w:t>(a)</w:t>
            </w:r>
          </w:p>
        </w:tc>
        <w:tc>
          <w:tcPr>
            <w:tcW w:w="54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15.9</w:t>
            </w: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33"/>
              <w:spacing w:after="0" w:line="202" w:lineRule="exact"/>
              <w:rPr>
                <w:sz w:val="20"/>
                <w:szCs w:val="20"/>
                <w:color w:val="auto"/>
              </w:rPr>
            </w:pPr>
            <w:r>
              <w:rPr>
                <w:rFonts w:ascii="Arial" w:cs="Arial" w:eastAsia="Arial" w:hAnsi="Arial"/>
                <w:sz w:val="18"/>
                <w:szCs w:val="18"/>
                <w:color w:val="auto"/>
              </w:rPr>
              <w:t>20.3</w:t>
            </w: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21.7</w:t>
            </w:r>
          </w:p>
        </w:tc>
      </w:tr>
      <w:tr>
        <w:trPr>
          <w:trHeight w:val="203"/>
        </w:trPr>
        <w:tc>
          <w:tcPr>
            <w:tcW w:w="7180" w:type="dxa"/>
            <w:vAlign w:val="bottom"/>
            <w:tcBorders>
              <w:bottom w:val="single" w:sz="8" w:color="auto"/>
              <w:right w:val="single" w:sz="8" w:color="auto"/>
            </w:tcBorders>
          </w:tcPr>
          <w:p>
            <w:pPr>
              <w:spacing w:after="0" w:line="202" w:lineRule="exact"/>
              <w:rPr>
                <w:sz w:val="20"/>
                <w:szCs w:val="20"/>
                <w:color w:val="auto"/>
              </w:rPr>
            </w:pPr>
            <w:r>
              <w:rPr>
                <w:rFonts w:ascii="Arial" w:cs="Arial" w:eastAsia="Arial" w:hAnsi="Arial"/>
                <w:sz w:val="18"/>
                <w:szCs w:val="18"/>
                <w:color w:val="auto"/>
              </w:rPr>
              <w:t>Other financing activities, net</w:t>
            </w: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jc w:val="right"/>
              <w:ind w:right="353"/>
              <w:spacing w:after="0" w:line="202" w:lineRule="exact"/>
              <w:rPr>
                <w:sz w:val="20"/>
                <w:szCs w:val="20"/>
                <w:color w:val="auto"/>
              </w:rPr>
            </w:pPr>
            <w:r>
              <w:rPr>
                <w:rFonts w:ascii="Arial" w:cs="Arial" w:eastAsia="Arial" w:hAnsi="Arial"/>
                <w:sz w:val="18"/>
                <w:szCs w:val="18"/>
                <w:color w:val="auto"/>
              </w:rPr>
              <w:t>(4.1)</w:t>
            </w: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3"/>
              <w:spacing w:after="0" w:line="202" w:lineRule="exact"/>
              <w:rPr>
                <w:sz w:val="20"/>
                <w:szCs w:val="20"/>
                <w:color w:val="auto"/>
              </w:rPr>
            </w:pPr>
            <w:r>
              <w:rPr>
                <w:rFonts w:ascii="Arial" w:cs="Arial" w:eastAsia="Arial" w:hAnsi="Arial"/>
                <w:sz w:val="18"/>
                <w:szCs w:val="18"/>
                <w:color w:val="auto"/>
              </w:rPr>
              <w:t>0.3</w:t>
            </w:r>
          </w:p>
        </w:tc>
        <w:tc>
          <w:tcPr>
            <w:tcW w:w="5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w:t>
            </w:r>
          </w:p>
        </w:tc>
      </w:tr>
      <w:tr>
        <w:trPr>
          <w:trHeight w:val="196"/>
        </w:trPr>
        <w:tc>
          <w:tcPr>
            <w:tcW w:w="7180" w:type="dxa"/>
            <w:vAlign w:val="bottom"/>
            <w:tcBorders>
              <w:bottom w:val="single" w:sz="8" w:color="auto"/>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CASH USED IN FINANCING ACTIVITIES</w:t>
            </w:r>
          </w:p>
        </w:tc>
        <w:tc>
          <w:tcPr>
            <w:tcW w:w="5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right w:val="single" w:sz="8" w:color="auto"/>
            </w:tcBorders>
            <w:shd w:val="clear" w:color="auto" w:fill="CCEEFF"/>
          </w:tcPr>
          <w:p>
            <w:pPr>
              <w:jc w:val="right"/>
              <w:ind w:right="353"/>
              <w:spacing w:after="0" w:line="196" w:lineRule="exact"/>
              <w:rPr>
                <w:sz w:val="20"/>
                <w:szCs w:val="20"/>
                <w:color w:val="auto"/>
              </w:rPr>
            </w:pPr>
            <w:r>
              <w:rPr>
                <w:rFonts w:ascii="Arial" w:cs="Arial" w:eastAsia="Arial" w:hAnsi="Arial"/>
                <w:sz w:val="18"/>
                <w:szCs w:val="18"/>
                <w:color w:val="auto"/>
              </w:rPr>
              <w:t>(43.5)</w:t>
            </w:r>
          </w:p>
        </w:tc>
        <w:tc>
          <w:tcPr>
            <w:tcW w:w="5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73"/>
              <w:spacing w:after="0" w:line="196" w:lineRule="exact"/>
              <w:rPr>
                <w:sz w:val="20"/>
                <w:szCs w:val="20"/>
                <w:color w:val="auto"/>
              </w:rPr>
            </w:pPr>
            <w:r>
              <w:rPr>
                <w:rFonts w:ascii="Arial" w:cs="Arial" w:eastAsia="Arial" w:hAnsi="Arial"/>
                <w:sz w:val="18"/>
                <w:szCs w:val="18"/>
                <w:color w:val="auto"/>
              </w:rPr>
              <w:t>(81.4)</w:t>
            </w:r>
          </w:p>
        </w:tc>
        <w:tc>
          <w:tcPr>
            <w:tcW w:w="5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(221.8)</w:t>
            </w:r>
          </w:p>
        </w:tc>
      </w:tr>
      <w:tr>
        <w:trPr>
          <w:trHeight w:val="196"/>
        </w:trPr>
        <w:tc>
          <w:tcPr>
            <w:tcW w:w="7180" w:type="dxa"/>
            <w:vAlign w:val="bottom"/>
            <w:tcBorders>
              <w:bottom w:val="single" w:sz="8" w:color="auto"/>
              <w:right w:val="single" w:sz="8" w:color="auto"/>
            </w:tcBorders>
          </w:tcPr>
          <w:p>
            <w:pPr>
              <w:ind w:left="440"/>
              <w:spacing w:after="0" w:line="196" w:lineRule="exact"/>
              <w:rPr>
                <w:sz w:val="20"/>
                <w:szCs w:val="20"/>
                <w:color w:val="auto"/>
              </w:rPr>
            </w:pPr>
            <w:r>
              <w:rPr>
                <w:rFonts w:ascii="Arial" w:cs="Arial" w:eastAsia="Arial" w:hAnsi="Arial"/>
                <w:sz w:val="18"/>
                <w:szCs w:val="18"/>
                <w:color w:val="auto"/>
              </w:rPr>
              <w:t>Effect of foreign exchange rate changes on cash</w:t>
            </w: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jc w:val="right"/>
              <w:ind w:right="353"/>
              <w:spacing w:after="0" w:line="196" w:lineRule="exact"/>
              <w:rPr>
                <w:sz w:val="20"/>
                <w:szCs w:val="20"/>
                <w:color w:val="auto"/>
              </w:rPr>
            </w:pPr>
            <w:r>
              <w:rPr>
                <w:rFonts w:ascii="Arial" w:cs="Arial" w:eastAsia="Arial" w:hAnsi="Arial"/>
                <w:sz w:val="18"/>
                <w:szCs w:val="18"/>
                <w:color w:val="auto"/>
              </w:rPr>
              <w:t>(0.8)</w:t>
            </w: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3"/>
              <w:spacing w:after="0" w:line="196" w:lineRule="exact"/>
              <w:rPr>
                <w:sz w:val="20"/>
                <w:szCs w:val="20"/>
                <w:color w:val="auto"/>
              </w:rPr>
            </w:pPr>
            <w:r>
              <w:rPr>
                <w:rFonts w:ascii="Arial" w:cs="Arial" w:eastAsia="Arial" w:hAnsi="Arial"/>
                <w:sz w:val="18"/>
                <w:szCs w:val="18"/>
                <w:color w:val="auto"/>
              </w:rPr>
              <w:t>1.1</w:t>
            </w:r>
          </w:p>
        </w:tc>
        <w:tc>
          <w:tcPr>
            <w:tcW w:w="5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7180" w:type="dxa"/>
            <w:vAlign w:val="bottom"/>
            <w:tcBorders>
              <w:bottom w:val="single" w:sz="8" w:color="auto"/>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CASH AND CASH EQUIVALENTS</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CCEEFF"/>
          </w:tcPr>
          <w:p>
            <w:pPr>
              <w:jc w:val="right"/>
              <w:ind w:right="413"/>
              <w:spacing w:after="0" w:line="196" w:lineRule="exact"/>
              <w:rPr>
                <w:sz w:val="20"/>
                <w:szCs w:val="20"/>
                <w:color w:val="auto"/>
              </w:rPr>
            </w:pPr>
            <w:r>
              <w:rPr>
                <w:rFonts w:ascii="Arial" w:cs="Arial" w:eastAsia="Arial" w:hAnsi="Arial"/>
                <w:sz w:val="18"/>
                <w:szCs w:val="18"/>
                <w:color w:val="auto"/>
              </w:rPr>
              <w:t>60.1</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433"/>
              <w:spacing w:after="0" w:line="196" w:lineRule="exact"/>
              <w:rPr>
                <w:sz w:val="20"/>
                <w:szCs w:val="20"/>
                <w:color w:val="auto"/>
              </w:rPr>
            </w:pPr>
            <w:r>
              <w:rPr>
                <w:rFonts w:ascii="Arial" w:cs="Arial" w:eastAsia="Arial" w:hAnsi="Arial"/>
                <w:sz w:val="18"/>
                <w:szCs w:val="18"/>
                <w:color w:val="auto"/>
              </w:rPr>
              <w:t>2.9</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rPr>
              <w:t>8.7</w:t>
            </w:r>
          </w:p>
        </w:tc>
      </w:tr>
      <w:tr>
        <w:trPr>
          <w:trHeight w:val="196"/>
        </w:trPr>
        <w:tc>
          <w:tcPr>
            <w:tcW w:w="718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Cash and cash equivalents at beginning of year</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ind w:right="413"/>
              <w:spacing w:after="0" w:line="196" w:lineRule="exact"/>
              <w:rPr>
                <w:sz w:val="20"/>
                <w:szCs w:val="20"/>
                <w:color w:val="auto"/>
              </w:rPr>
            </w:pPr>
            <w:r>
              <w:rPr>
                <w:rFonts w:ascii="Arial" w:cs="Arial" w:eastAsia="Arial" w:hAnsi="Arial"/>
                <w:sz w:val="18"/>
                <w:szCs w:val="18"/>
                <w:color w:val="auto"/>
              </w:rPr>
              <w:t>60.7</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433"/>
              <w:spacing w:after="0" w:line="196" w:lineRule="exact"/>
              <w:rPr>
                <w:sz w:val="20"/>
                <w:szCs w:val="20"/>
                <w:color w:val="auto"/>
              </w:rPr>
            </w:pPr>
            <w:r>
              <w:rPr>
                <w:rFonts w:ascii="Arial" w:cs="Arial" w:eastAsia="Arial" w:hAnsi="Arial"/>
                <w:sz w:val="18"/>
                <w:szCs w:val="18"/>
                <w:color w:val="auto"/>
              </w:rPr>
              <w:t>57.8</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49.1</w:t>
            </w:r>
          </w:p>
        </w:tc>
      </w:tr>
      <w:tr>
        <w:trPr>
          <w:trHeight w:val="203"/>
        </w:trPr>
        <w:tc>
          <w:tcPr>
            <w:tcW w:w="7180" w:type="dxa"/>
            <w:vAlign w:val="bottom"/>
            <w:tcBorders>
              <w:bottom w:val="single" w:sz="8" w:color="auto"/>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 at end of year</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CCEEFF"/>
          </w:tcPr>
          <w:p>
            <w:pPr>
              <w:jc w:val="right"/>
              <w:ind w:right="413"/>
              <w:spacing w:after="0" w:line="196" w:lineRule="exact"/>
              <w:rPr>
                <w:sz w:val="20"/>
                <w:szCs w:val="20"/>
                <w:color w:val="auto"/>
              </w:rPr>
            </w:pPr>
            <w:r>
              <w:rPr>
                <w:rFonts w:ascii="Arial" w:cs="Arial" w:eastAsia="Arial" w:hAnsi="Arial"/>
                <w:sz w:val="18"/>
                <w:szCs w:val="18"/>
                <w:color w:val="auto"/>
              </w:rPr>
              <w:t>120.8</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433"/>
              <w:spacing w:after="0" w:line="196" w:lineRule="exact"/>
              <w:rPr>
                <w:sz w:val="20"/>
                <w:szCs w:val="20"/>
                <w:color w:val="auto"/>
              </w:rPr>
            </w:pPr>
            <w:r>
              <w:rPr>
                <w:rFonts w:ascii="Arial" w:cs="Arial" w:eastAsia="Arial" w:hAnsi="Arial"/>
                <w:sz w:val="18"/>
                <w:szCs w:val="18"/>
                <w:color w:val="auto"/>
              </w:rPr>
              <w:t>60.7</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rPr>
              <w:t>57.8</w:t>
            </w:r>
          </w:p>
        </w:tc>
      </w:tr>
      <w:tr>
        <w:trPr>
          <w:trHeight w:val="203"/>
        </w:trPr>
        <w:tc>
          <w:tcPr>
            <w:tcW w:w="71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Cash paid during the year for:</w:t>
            </w:r>
          </w:p>
        </w:tc>
        <w:tc>
          <w:tcPr>
            <w:tcW w:w="54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7180" w:type="dxa"/>
            <w:vAlign w:val="bottom"/>
            <w:tcBorders>
              <w:right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External interest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2.6</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433"/>
              <w:spacing w:after="0" w:line="202" w:lineRule="exact"/>
              <w:rPr>
                <w:sz w:val="20"/>
                <w:szCs w:val="20"/>
                <w:color w:val="auto"/>
              </w:rPr>
            </w:pPr>
            <w:r>
              <w:rPr>
                <w:rFonts w:ascii="Arial" w:cs="Arial" w:eastAsia="Arial" w:hAnsi="Arial"/>
                <w:sz w:val="18"/>
                <w:szCs w:val="18"/>
                <w:color w:val="auto"/>
              </w:rPr>
              <w:t>0.6</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0.5</w:t>
            </w:r>
          </w:p>
        </w:tc>
      </w:tr>
      <w:tr>
        <w:trPr>
          <w:trHeight w:val="203"/>
        </w:trPr>
        <w:tc>
          <w:tcPr>
            <w:tcW w:w="71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Related party interest</w:t>
            </w:r>
          </w:p>
        </w:tc>
        <w:tc>
          <w:tcPr>
            <w:tcW w:w="540" w:type="dxa"/>
            <w:vAlign w:val="bottom"/>
          </w:tcPr>
          <w:p>
            <w:pPr>
              <w:spacing w:after="0"/>
              <w:rPr>
                <w:sz w:val="17"/>
                <w:szCs w:val="17"/>
                <w:color w:val="auto"/>
              </w:rPr>
            </w:pPr>
          </w:p>
        </w:tc>
        <w:tc>
          <w:tcPr>
            <w:tcW w:w="1020" w:type="dxa"/>
            <w:vAlign w:val="bottom"/>
            <w:tcBorders>
              <w:right w:val="single" w:sz="8" w:color="auto"/>
            </w:tcBorders>
          </w:tcPr>
          <w:p>
            <w:pPr>
              <w:jc w:val="right"/>
              <w:ind w:right="413"/>
              <w:spacing w:after="0" w:line="202" w:lineRule="exact"/>
              <w:rPr>
                <w:sz w:val="20"/>
                <w:szCs w:val="20"/>
                <w:color w:val="auto"/>
              </w:rPr>
            </w:pPr>
            <w:r>
              <w:rPr>
                <w:rFonts w:ascii="Arial" w:cs="Arial" w:eastAsia="Arial" w:hAnsi="Arial"/>
                <w:sz w:val="18"/>
                <w:szCs w:val="18"/>
                <w:color w:val="auto"/>
              </w:rPr>
              <w:t>63.7</w:t>
            </w:r>
          </w:p>
        </w:tc>
        <w:tc>
          <w:tcPr>
            <w:tcW w:w="560" w:type="dxa"/>
            <w:vAlign w:val="bottom"/>
          </w:tcPr>
          <w:p>
            <w:pPr>
              <w:spacing w:after="0"/>
              <w:rPr>
                <w:sz w:val="17"/>
                <w:szCs w:val="17"/>
                <w:color w:val="auto"/>
              </w:rPr>
            </w:pPr>
          </w:p>
        </w:tc>
        <w:tc>
          <w:tcPr>
            <w:tcW w:w="960" w:type="dxa"/>
            <w:vAlign w:val="bottom"/>
          </w:tcPr>
          <w:p>
            <w:pPr>
              <w:jc w:val="right"/>
              <w:ind w:right="433"/>
              <w:spacing w:after="0" w:line="202" w:lineRule="exact"/>
              <w:rPr>
                <w:sz w:val="20"/>
                <w:szCs w:val="20"/>
                <w:color w:val="auto"/>
              </w:rPr>
            </w:pPr>
            <w:r>
              <w:rPr>
                <w:rFonts w:ascii="Arial" w:cs="Arial" w:eastAsia="Arial" w:hAnsi="Arial"/>
                <w:sz w:val="18"/>
                <w:szCs w:val="18"/>
                <w:color w:val="auto"/>
                <w:w w:val="93"/>
              </w:rPr>
              <w:t>121.7</w:t>
            </w:r>
          </w:p>
        </w:tc>
        <w:tc>
          <w:tcPr>
            <w:tcW w:w="540" w:type="dxa"/>
            <w:vAlign w:val="bottom"/>
          </w:tcPr>
          <w:p>
            <w:pPr>
              <w:spacing w:after="0"/>
              <w:rPr>
                <w:sz w:val="17"/>
                <w:szCs w:val="17"/>
                <w:color w:val="auto"/>
              </w:rPr>
            </w:pP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100.8</w:t>
            </w:r>
          </w:p>
        </w:tc>
      </w:tr>
      <w:tr>
        <w:trPr>
          <w:trHeight w:val="203"/>
        </w:trPr>
        <w:tc>
          <w:tcPr>
            <w:tcW w:w="7180" w:type="dxa"/>
            <w:vAlign w:val="bottom"/>
            <w:tcBorders>
              <w:right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taxes paid directly to (received from) taxing authorities</w:t>
            </w:r>
          </w:p>
        </w:tc>
        <w:tc>
          <w:tcPr>
            <w:tcW w:w="54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23.0</w:t>
            </w: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33"/>
              <w:spacing w:after="0" w:line="202" w:lineRule="exact"/>
              <w:rPr>
                <w:sz w:val="20"/>
                <w:szCs w:val="20"/>
                <w:color w:val="auto"/>
              </w:rPr>
            </w:pPr>
            <w:r>
              <w:rPr>
                <w:rFonts w:ascii="Arial" w:cs="Arial" w:eastAsia="Arial" w:hAnsi="Arial"/>
                <w:sz w:val="18"/>
                <w:szCs w:val="18"/>
                <w:color w:val="auto"/>
              </w:rPr>
              <w:t>23.7</w:t>
            </w: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10"/>
        </w:trPr>
        <w:tc>
          <w:tcPr>
            <w:tcW w:w="7180" w:type="dxa"/>
            <w:vAlign w:val="bottom"/>
            <w:tcBorders>
              <w:bottom w:val="single" w:sz="8" w:color="auto"/>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Income taxes paid to (received from) Fortune Brands, Inc.</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413"/>
              <w:spacing w:after="0" w:line="202" w:lineRule="exact"/>
              <w:rPr>
                <w:sz w:val="20"/>
                <w:szCs w:val="20"/>
                <w:color w:val="auto"/>
              </w:rPr>
            </w:pPr>
            <w:r>
              <w:rPr>
                <w:rFonts w:ascii="Arial" w:cs="Arial" w:eastAsia="Arial" w:hAnsi="Arial"/>
                <w:sz w:val="18"/>
                <w:szCs w:val="18"/>
                <w:color w:val="auto"/>
              </w:rPr>
              <w:t>7.6</w:t>
            </w: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3"/>
              <w:spacing w:after="0" w:line="202" w:lineRule="exact"/>
              <w:rPr>
                <w:sz w:val="20"/>
                <w:szCs w:val="20"/>
                <w:color w:val="auto"/>
              </w:rPr>
            </w:pPr>
            <w:r>
              <w:rPr>
                <w:rFonts w:ascii="Arial" w:cs="Arial" w:eastAsia="Arial" w:hAnsi="Arial"/>
                <w:sz w:val="18"/>
                <w:szCs w:val="18"/>
                <w:color w:val="auto"/>
              </w:rPr>
              <w:t>(0.8)</w:t>
            </w: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w:t>
            </w:r>
          </w:p>
        </w:tc>
      </w:tr>
    </w:tbl>
    <w:p>
      <w:pPr>
        <w:spacing w:after="0" w:line="67" w:lineRule="exact"/>
        <w:rPr>
          <w:sz w:val="20"/>
          <w:szCs w:val="20"/>
          <w:color w:val="auto"/>
        </w:rPr>
      </w:pPr>
    </w:p>
    <w:p>
      <w:pPr>
        <w:ind w:left="220" w:right="620" w:hanging="212"/>
        <w:spacing w:after="0" w:line="180" w:lineRule="auto"/>
        <w:tabs>
          <w:tab w:leader="none" w:pos="220" w:val="left"/>
        </w:tabs>
        <w:numPr>
          <w:ilvl w:val="0"/>
          <w:numId w:val="22"/>
        </w:numPr>
        <w:rPr>
          <w:rFonts w:ascii="Arial" w:cs="Arial" w:eastAsia="Arial" w:hAnsi="Arial"/>
          <w:sz w:val="22"/>
          <w:szCs w:val="22"/>
          <w:color w:val="auto"/>
          <w:vertAlign w:val="superscript"/>
        </w:rPr>
      </w:pPr>
      <w:r>
        <w:rPr>
          <w:rFonts w:ascii="Arial" w:cs="Arial" w:eastAsia="Arial" w:hAnsi="Arial"/>
          <w:sz w:val="14"/>
          <w:szCs w:val="14"/>
          <w:color w:val="auto"/>
        </w:rPr>
        <w:t>The allocation of general and administrative expenses provided by Fortune Brands, Inc. (net of tax) is included in the Consolidated Statements of Income and treated as a capital contribution. Refer to Note 3, “Related Party Transactions.”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color w:val="auto"/>
        </w:rPr>
        <w:t>Fortune Brands Home &amp; Security,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-952500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135890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300"/>
          </w:cols>
          <w:pgMar w:left="240" w:top="459" w:right="239" w:bottom="1440" w:gutter="0" w:footer="0" w:header="0"/>
        </w:sect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ind w:right="132"/>
              <w:spacing w:after="0"/>
              <w:rPr>
                <w:sz w:val="20"/>
                <w:szCs w:val="20"/>
                <w:color w:val="auto"/>
              </w:rPr>
            </w:pPr>
            <w:r>
              <w:rPr>
                <w:rFonts w:ascii="Arial" w:cs="Arial" w:eastAsia="Arial" w:hAnsi="Arial"/>
                <w:sz w:val="14"/>
                <w:szCs w:val="14"/>
                <w:color w:val="auto"/>
              </w:rPr>
              <w:t>Accumulated</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Other</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Non-</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0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Common</w:t>
            </w:r>
          </w:p>
        </w:tc>
        <w:tc>
          <w:tcPr>
            <w:tcW w:w="260" w:type="dxa"/>
            <w:vAlign w:val="bottom"/>
          </w:tcPr>
          <w:p>
            <w:pPr>
              <w:spacing w:after="0"/>
              <w:rPr>
                <w:sz w:val="12"/>
                <w:szCs w:val="12"/>
                <w:color w:val="auto"/>
              </w:rPr>
            </w:pP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4"/>
              </w:rPr>
              <w:t>Paid-In</w:t>
            </w:r>
          </w:p>
        </w:tc>
        <w:tc>
          <w:tcPr>
            <w:tcW w:w="13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Comprehensive</w:t>
            </w:r>
          </w:p>
        </w:tc>
        <w:tc>
          <w:tcPr>
            <w:tcW w:w="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Retained</w:t>
            </w:r>
          </w:p>
        </w:tc>
        <w:tc>
          <w:tcPr>
            <w:tcW w:w="9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Treasury</w:t>
            </w:r>
          </w:p>
        </w:tc>
        <w:tc>
          <w:tcPr>
            <w:tcW w:w="9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controlling</w:t>
            </w:r>
          </w:p>
        </w:tc>
        <w:tc>
          <w:tcPr>
            <w:tcW w:w="24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45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color w:val="auto"/>
              </w:rPr>
              <w:t>Stock</w:t>
            </w:r>
          </w:p>
        </w:tc>
        <w:tc>
          <w:tcPr>
            <w:tcW w:w="260" w:type="dxa"/>
            <w:vAlign w:val="bottom"/>
          </w:tcPr>
          <w:p>
            <w:pPr>
              <w:spacing w:after="0"/>
              <w:rPr>
                <w:sz w:val="14"/>
                <w:szCs w:val="14"/>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color w:val="auto"/>
                <w:w w:val="96"/>
              </w:rPr>
              <w:t>Capital</w:t>
            </w:r>
          </w:p>
        </w:tc>
        <w:tc>
          <w:tcPr>
            <w:tcW w:w="240" w:type="dxa"/>
            <w:vAlign w:val="bottom"/>
          </w:tcPr>
          <w:p>
            <w:pPr>
              <w:spacing w:after="0"/>
              <w:rPr>
                <w:sz w:val="14"/>
                <w:szCs w:val="14"/>
                <w:color w:val="auto"/>
              </w:rPr>
            </w:pPr>
          </w:p>
        </w:tc>
        <w:tc>
          <w:tcPr>
            <w:tcW w:w="1080" w:type="dxa"/>
            <w:vAlign w:val="bottom"/>
          </w:tcPr>
          <w:p>
            <w:pPr>
              <w:jc w:val="right"/>
              <w:ind w:right="132"/>
              <w:spacing w:after="0"/>
              <w:rPr>
                <w:sz w:val="20"/>
                <w:szCs w:val="20"/>
                <w:color w:val="auto"/>
              </w:rPr>
            </w:pPr>
            <w:r>
              <w:rPr>
                <w:rFonts w:ascii="Arial" w:cs="Arial" w:eastAsia="Arial" w:hAnsi="Arial"/>
                <w:sz w:val="14"/>
                <w:szCs w:val="14"/>
                <w:color w:val="auto"/>
                <w:w w:val="96"/>
              </w:rPr>
              <w:t>Income (Loss)</w:t>
            </w:r>
          </w:p>
        </w:tc>
        <w:tc>
          <w:tcPr>
            <w:tcW w:w="280" w:type="dxa"/>
            <w:vAlign w:val="bottom"/>
          </w:tcPr>
          <w:p>
            <w:pPr>
              <w:spacing w:after="0"/>
              <w:rPr>
                <w:sz w:val="14"/>
                <w:szCs w:val="14"/>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color w:val="auto"/>
              </w:rPr>
              <w:t>Deficit</w:t>
            </w:r>
          </w:p>
        </w:tc>
        <w:tc>
          <w:tcPr>
            <w:tcW w:w="300" w:type="dxa"/>
            <w:vAlign w:val="bottom"/>
          </w:tcPr>
          <w:p>
            <w:pPr>
              <w:spacing w:after="0"/>
              <w:rPr>
                <w:sz w:val="14"/>
                <w:szCs w:val="14"/>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color w:val="auto"/>
              </w:rPr>
              <w:t>Stock</w:t>
            </w:r>
          </w:p>
        </w:tc>
        <w:tc>
          <w:tcPr>
            <w:tcW w:w="240" w:type="dxa"/>
            <w:vAlign w:val="bottom"/>
          </w:tcPr>
          <w:p>
            <w:pPr>
              <w:spacing w:after="0"/>
              <w:rPr>
                <w:sz w:val="14"/>
                <w:szCs w:val="14"/>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color w:val="auto"/>
                <w:w w:val="96"/>
              </w:rPr>
              <w:t>Interests</w:t>
            </w:r>
          </w:p>
        </w:tc>
        <w:tc>
          <w:tcPr>
            <w:tcW w:w="240" w:type="dxa"/>
            <w:vAlign w:val="bottom"/>
          </w:tcPr>
          <w:p>
            <w:pPr>
              <w:spacing w:after="0"/>
              <w:rPr>
                <w:sz w:val="14"/>
                <w:szCs w:val="14"/>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2008</w:t>
            </w:r>
          </w:p>
        </w:tc>
        <w:tc>
          <w:tcPr>
            <w:tcW w:w="420" w:type="dxa"/>
            <w:vAlign w:val="bottom"/>
            <w:tcBorders>
              <w:top w:val="single" w:sz="8" w:color="auto"/>
              <w:bottom w:val="single" w:sz="8" w:color="auto"/>
            </w:tcBorders>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rPr>
              <w:t>640.7</w:t>
            </w:r>
          </w:p>
        </w:tc>
        <w:tc>
          <w:tcPr>
            <w:tcW w:w="240" w:type="dxa"/>
            <w:vAlign w:val="bottom"/>
            <w:tcBorders>
              <w:top w:val="single" w:sz="8" w:color="auto"/>
              <w:bottom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(6.7)</w:t>
            </w:r>
          </w:p>
        </w:tc>
        <w:tc>
          <w:tcPr>
            <w:tcW w:w="280" w:type="dxa"/>
            <w:vAlign w:val="bottom"/>
            <w:tcBorders>
              <w:top w:val="single" w:sz="8" w:color="auto"/>
              <w:bottom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(817.8)</w:t>
            </w:r>
          </w:p>
        </w:tc>
        <w:tc>
          <w:tcPr>
            <w:tcW w:w="300" w:type="dxa"/>
            <w:vAlign w:val="bottom"/>
            <w:tcBorders>
              <w:top w:val="single" w:sz="8" w:color="auto"/>
              <w:bottom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3.1</w:t>
            </w:r>
          </w:p>
        </w:tc>
        <w:tc>
          <w:tcPr>
            <w:tcW w:w="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loss</w:t>
            </w: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(39.0)</w:t>
            </w: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0.8</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ind w:left="200"/>
              <w:spacing w:after="0" w:line="149" w:lineRule="exact"/>
              <w:rPr>
                <w:sz w:val="20"/>
                <w:szCs w:val="20"/>
                <w:color w:val="auto"/>
              </w:rPr>
            </w:pPr>
            <w:r>
              <w:rPr>
                <w:rFonts w:ascii="Arial" w:cs="Arial" w:eastAsia="Arial" w:hAnsi="Arial"/>
                <w:sz w:val="14"/>
                <w:szCs w:val="14"/>
                <w:color w:val="auto"/>
              </w:rPr>
              <w:t>Translation adjustments</w:t>
            </w:r>
          </w:p>
        </w:tc>
        <w:tc>
          <w:tcPr>
            <w:tcW w:w="42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31.2</w:t>
            </w:r>
          </w:p>
        </w:tc>
        <w:tc>
          <w:tcPr>
            <w:tcW w:w="280" w:type="dxa"/>
            <w:vAlign w:val="bottom"/>
          </w:tcPr>
          <w:p>
            <w:pPr>
              <w:spacing w:after="0"/>
              <w:rPr>
                <w:sz w:val="12"/>
                <w:szCs w:val="12"/>
                <w:color w:val="auto"/>
              </w:rPr>
            </w:pPr>
          </w:p>
        </w:tc>
        <w:tc>
          <w:tcPr>
            <w:tcW w:w="6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Derivative instruments (net of tax benefit of $2.2 million)</w:t>
            </w: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(3.6)</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Defined benefit plan adjustments (net of tax expense of $2.3 million)</w:t>
            </w:r>
          </w:p>
        </w:tc>
        <w:tc>
          <w:tcPr>
            <w:tcW w:w="4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1.9</w:t>
            </w: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Total comprehensive income (loss)</w:t>
            </w:r>
          </w:p>
        </w:tc>
        <w:tc>
          <w:tcPr>
            <w:tcW w:w="4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29.5</w:t>
            </w:r>
          </w:p>
        </w:tc>
        <w:tc>
          <w:tcPr>
            <w:tcW w:w="2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(39.0)</w:t>
            </w:r>
          </w:p>
        </w:tc>
        <w:tc>
          <w:tcPr>
            <w:tcW w:w="3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0.8</w:t>
            </w:r>
          </w:p>
        </w:tc>
        <w:tc>
          <w:tcPr>
            <w:tcW w:w="2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line="142" w:lineRule="exact"/>
              <w:rPr>
                <w:sz w:val="20"/>
                <w:szCs w:val="20"/>
                <w:color w:val="auto"/>
              </w:rPr>
            </w:pPr>
            <w:r>
              <w:rPr>
                <w:rFonts w:ascii="Arial" w:cs="Arial" w:eastAsia="Arial" w:hAnsi="Arial"/>
                <w:sz w:val="14"/>
                <w:szCs w:val="14"/>
                <w:color w:val="auto"/>
              </w:rPr>
              <w:t>Dividends paid to noncontrolling interests</w:t>
            </w:r>
          </w:p>
        </w:tc>
        <w:tc>
          <w:tcPr>
            <w:tcW w:w="42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6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8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4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0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tcPr>
          <w:p>
            <w:pPr>
              <w:jc w:val="right"/>
              <w:ind w:right="92"/>
              <w:spacing w:after="0" w:line="142" w:lineRule="exact"/>
              <w:rPr>
                <w:sz w:val="20"/>
                <w:szCs w:val="20"/>
                <w:color w:val="auto"/>
              </w:rPr>
            </w:pPr>
            <w:r>
              <w:rPr>
                <w:rFonts w:ascii="Arial" w:cs="Arial" w:eastAsia="Arial" w:hAnsi="Arial"/>
                <w:sz w:val="14"/>
                <w:szCs w:val="14"/>
                <w:color w:val="auto"/>
              </w:rPr>
              <w:t>(1.0)</w:t>
            </w:r>
          </w:p>
        </w:tc>
        <w:tc>
          <w:tcPr>
            <w:tcW w:w="24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1"/>
                <w:szCs w:val="11"/>
                <w:color w:val="auto"/>
              </w:rPr>
              <w:t>Fortune Brands, Inc. capital contribution</w:t>
            </w:r>
            <w:r>
              <w:rPr>
                <w:rFonts w:ascii="Arial" w:cs="Arial" w:eastAsia="Arial" w:hAnsi="Arial"/>
                <w:sz w:val="17"/>
                <w:szCs w:val="17"/>
                <w:color w:val="auto"/>
                <w:vertAlign w:val="superscript"/>
              </w:rPr>
              <w:t>(a)</w:t>
            </w:r>
          </w:p>
        </w:tc>
        <w:tc>
          <w:tcPr>
            <w:tcW w:w="4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29.8</w:t>
            </w:r>
          </w:p>
        </w:tc>
        <w:tc>
          <w:tcPr>
            <w:tcW w:w="2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Balance at December 31, 2009</w:t>
            </w:r>
          </w:p>
        </w:tc>
        <w:tc>
          <w:tcPr>
            <w:tcW w:w="42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670.5</w:t>
            </w:r>
          </w:p>
        </w:tc>
        <w:tc>
          <w:tcPr>
            <w:tcW w:w="2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22.8</w:t>
            </w:r>
          </w:p>
        </w:tc>
        <w:tc>
          <w:tcPr>
            <w:tcW w:w="28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(856.8)</w:t>
            </w:r>
          </w:p>
        </w:tc>
        <w:tc>
          <w:tcPr>
            <w:tcW w:w="30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2.9</w:t>
            </w:r>
          </w:p>
        </w:tc>
        <w:tc>
          <w:tcPr>
            <w:tcW w:w="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42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63.8</w:t>
            </w:r>
          </w:p>
        </w:tc>
        <w:tc>
          <w:tcPr>
            <w:tcW w:w="300" w:type="dxa"/>
            <w:vAlign w:val="bottom"/>
          </w:tcPr>
          <w:p>
            <w:pPr>
              <w:spacing w:after="0"/>
              <w:rPr>
                <w:sz w:val="12"/>
                <w:szCs w:val="12"/>
                <w:color w:val="auto"/>
              </w:rPr>
            </w:pPr>
          </w:p>
        </w:tc>
        <w:tc>
          <w:tcPr>
            <w:tcW w:w="6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1.2</w:t>
            </w:r>
          </w:p>
        </w:tc>
        <w:tc>
          <w:tcPr>
            <w:tcW w:w="24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Translation adjustments</w:t>
            </w: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5.4</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ind w:left="200"/>
              <w:spacing w:after="0" w:line="149" w:lineRule="exact"/>
              <w:rPr>
                <w:sz w:val="20"/>
                <w:szCs w:val="20"/>
                <w:color w:val="auto"/>
              </w:rPr>
            </w:pPr>
            <w:r>
              <w:rPr>
                <w:rFonts w:ascii="Arial" w:cs="Arial" w:eastAsia="Arial" w:hAnsi="Arial"/>
                <w:sz w:val="14"/>
                <w:szCs w:val="14"/>
                <w:color w:val="auto"/>
              </w:rPr>
              <w:t>Derivative instruments (net of tax expense of $0.3 million)</w:t>
            </w:r>
          </w:p>
        </w:tc>
        <w:tc>
          <w:tcPr>
            <w:tcW w:w="42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0.5</w:t>
            </w:r>
          </w:p>
        </w:tc>
        <w:tc>
          <w:tcPr>
            <w:tcW w:w="280" w:type="dxa"/>
            <w:vAlign w:val="bottom"/>
          </w:tcPr>
          <w:p>
            <w:pPr>
              <w:spacing w:after="0"/>
              <w:rPr>
                <w:sz w:val="12"/>
                <w:szCs w:val="12"/>
                <w:color w:val="auto"/>
              </w:rPr>
            </w:pPr>
          </w:p>
        </w:tc>
        <w:tc>
          <w:tcPr>
            <w:tcW w:w="6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Borders>
              <w:bottom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Defined benefit plan adjustments (net of tax expense of $5.0 million)</w:t>
            </w:r>
          </w:p>
        </w:tc>
        <w:tc>
          <w:tcPr>
            <w:tcW w:w="4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0.8</w:t>
            </w:r>
          </w:p>
        </w:tc>
        <w:tc>
          <w:tcPr>
            <w:tcW w:w="2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Total comprehensive income</w:t>
            </w:r>
          </w:p>
        </w:tc>
        <w:tc>
          <w:tcPr>
            <w:tcW w:w="4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6.7</w:t>
            </w: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63.8</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1.2</w:t>
            </w: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71.7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Dividends paid to noncontrolling interests</w:t>
            </w: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(0.6)</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Borders>
              <w:bottom w:val="single" w:sz="8" w:color="auto"/>
            </w:tcBorders>
          </w:tcPr>
          <w:p>
            <w:pPr>
              <w:spacing w:after="0" w:line="149" w:lineRule="exact"/>
              <w:rPr>
                <w:sz w:val="20"/>
                <w:szCs w:val="20"/>
                <w:color w:val="auto"/>
              </w:rPr>
            </w:pPr>
            <w:r>
              <w:rPr>
                <w:rFonts w:ascii="Arial" w:cs="Arial" w:eastAsia="Arial" w:hAnsi="Arial"/>
                <w:sz w:val="11"/>
                <w:szCs w:val="11"/>
                <w:color w:val="auto"/>
              </w:rPr>
              <w:t>Fortune Brands, Inc. capital contribution</w:t>
            </w:r>
            <w:r>
              <w:rPr>
                <w:rFonts w:ascii="Arial" w:cs="Arial" w:eastAsia="Arial" w:hAnsi="Arial"/>
                <w:sz w:val="17"/>
                <w:szCs w:val="17"/>
                <w:color w:val="auto"/>
                <w:vertAlign w:val="superscript"/>
              </w:rPr>
              <w:t>(a)</w:t>
            </w:r>
          </w:p>
        </w:tc>
        <w:tc>
          <w:tcPr>
            <w:tcW w:w="4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32.8</w:t>
            </w: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2010</w:t>
            </w:r>
          </w:p>
        </w:tc>
        <w:tc>
          <w:tcPr>
            <w:tcW w:w="420" w:type="dxa"/>
            <w:vAlign w:val="bottom"/>
            <w:tcBorders>
              <w:bottom w:val="single" w:sz="8" w:color="auto"/>
            </w:tcBorders>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rPr>
              <w:t>703.3</w:t>
            </w:r>
          </w:p>
        </w:tc>
        <w:tc>
          <w:tcPr>
            <w:tcW w:w="240" w:type="dxa"/>
            <w:vAlign w:val="bottom"/>
            <w:tcBorders>
              <w:bottom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29.5</w:t>
            </w:r>
          </w:p>
        </w:tc>
        <w:tc>
          <w:tcPr>
            <w:tcW w:w="280" w:type="dxa"/>
            <w:vAlign w:val="bottom"/>
            <w:tcBorders>
              <w:bottom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(793.0)</w:t>
            </w:r>
          </w:p>
        </w:tc>
        <w:tc>
          <w:tcPr>
            <w:tcW w:w="300" w:type="dxa"/>
            <w:vAlign w:val="bottom"/>
            <w:tcBorders>
              <w:bottom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3.5</w:t>
            </w:r>
          </w:p>
        </w:tc>
        <w:tc>
          <w:tcPr>
            <w:tcW w:w="2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(35.6)</w:t>
            </w: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1.0</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ind w:left="200"/>
              <w:spacing w:after="0" w:line="149" w:lineRule="exact"/>
              <w:rPr>
                <w:sz w:val="20"/>
                <w:szCs w:val="20"/>
                <w:color w:val="auto"/>
              </w:rPr>
            </w:pPr>
            <w:r>
              <w:rPr>
                <w:rFonts w:ascii="Arial" w:cs="Arial" w:eastAsia="Arial" w:hAnsi="Arial"/>
                <w:sz w:val="14"/>
                <w:szCs w:val="14"/>
                <w:color w:val="auto"/>
              </w:rPr>
              <w:t>Translation adjustments</w:t>
            </w:r>
          </w:p>
        </w:tc>
        <w:tc>
          <w:tcPr>
            <w:tcW w:w="42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(1.8)</w:t>
            </w:r>
          </w:p>
        </w:tc>
        <w:tc>
          <w:tcPr>
            <w:tcW w:w="280" w:type="dxa"/>
            <w:vAlign w:val="bottom"/>
          </w:tcPr>
          <w:p>
            <w:pPr>
              <w:spacing w:after="0"/>
              <w:rPr>
                <w:sz w:val="12"/>
                <w:szCs w:val="12"/>
                <w:color w:val="auto"/>
              </w:rPr>
            </w:pPr>
          </w:p>
        </w:tc>
        <w:tc>
          <w:tcPr>
            <w:tcW w:w="6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Derivative instruments (net of tax benefit of $0.5 million)</w:t>
            </w: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(0.7)</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Defined benefit plan adjustments (net of tax benefit of $11.1 million)</w:t>
            </w:r>
          </w:p>
        </w:tc>
        <w:tc>
          <w:tcPr>
            <w:tcW w:w="4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(16.4)</w:t>
            </w: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Total comprehensive income</w:t>
            </w:r>
          </w:p>
        </w:tc>
        <w:tc>
          <w:tcPr>
            <w:tcW w:w="4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(18.9)</w:t>
            </w:r>
          </w:p>
        </w:tc>
        <w:tc>
          <w:tcPr>
            <w:tcW w:w="2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(35.6)</w:t>
            </w:r>
          </w:p>
        </w:tc>
        <w:tc>
          <w:tcPr>
            <w:tcW w:w="3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1.0</w:t>
            </w:r>
          </w:p>
        </w:tc>
        <w:tc>
          <w:tcPr>
            <w:tcW w:w="2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line="142" w:lineRule="exact"/>
              <w:rPr>
                <w:sz w:val="20"/>
                <w:szCs w:val="20"/>
                <w:color w:val="auto"/>
              </w:rPr>
            </w:pPr>
            <w:r>
              <w:rPr>
                <w:rFonts w:ascii="Arial" w:cs="Arial" w:eastAsia="Arial" w:hAnsi="Arial"/>
                <w:sz w:val="14"/>
                <w:szCs w:val="14"/>
                <w:color w:val="auto"/>
              </w:rPr>
              <w:t>Common stock split</w:t>
            </w:r>
          </w:p>
        </w:tc>
        <w:tc>
          <w:tcPr>
            <w:tcW w:w="42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1.6</w:t>
            </w:r>
          </w:p>
        </w:tc>
        <w:tc>
          <w:tcPr>
            <w:tcW w:w="260" w:type="dxa"/>
            <w:vAlign w:val="bottom"/>
          </w:tcPr>
          <w:p>
            <w:pPr>
              <w:spacing w:after="0"/>
              <w:rPr>
                <w:sz w:val="12"/>
                <w:szCs w:val="12"/>
                <w:color w:val="auto"/>
              </w:rPr>
            </w:pPr>
          </w:p>
        </w:tc>
        <w:tc>
          <w:tcPr>
            <w:tcW w:w="660" w:type="dxa"/>
            <w:vAlign w:val="bottom"/>
          </w:tcPr>
          <w:p>
            <w:pPr>
              <w:jc w:val="right"/>
              <w:ind w:right="92"/>
              <w:spacing w:after="0" w:line="142" w:lineRule="exact"/>
              <w:rPr>
                <w:sz w:val="20"/>
                <w:szCs w:val="20"/>
                <w:color w:val="auto"/>
              </w:rPr>
            </w:pPr>
            <w:r>
              <w:rPr>
                <w:rFonts w:ascii="Arial" w:cs="Arial" w:eastAsia="Arial" w:hAnsi="Arial"/>
                <w:sz w:val="14"/>
                <w:szCs w:val="14"/>
                <w:color w:val="auto"/>
              </w:rPr>
              <w:t>(1.6)</w:t>
            </w:r>
          </w:p>
        </w:tc>
        <w:tc>
          <w:tcPr>
            <w:tcW w:w="240" w:type="dxa"/>
            <w:vAlign w:val="bottom"/>
          </w:tcPr>
          <w:p>
            <w:pPr>
              <w:spacing w:after="0"/>
              <w:rPr>
                <w:sz w:val="12"/>
                <w:szCs w:val="12"/>
                <w:color w:val="auto"/>
              </w:rPr>
            </w:pPr>
          </w:p>
        </w:tc>
        <w:tc>
          <w:tcPr>
            <w:tcW w:w="108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4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0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60" w:type="dxa"/>
            <w:vAlign w:val="bottom"/>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paid to noncontrolling interests</w:t>
            </w: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(0.8)</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line="149" w:lineRule="exact"/>
              <w:rPr>
                <w:sz w:val="20"/>
                <w:szCs w:val="20"/>
                <w:color w:val="auto"/>
              </w:rPr>
            </w:pPr>
            <w:r>
              <w:rPr>
                <w:rFonts w:ascii="Arial" w:cs="Arial" w:eastAsia="Arial" w:hAnsi="Arial"/>
                <w:sz w:val="14"/>
                <w:szCs w:val="14"/>
                <w:color w:val="auto"/>
              </w:rPr>
              <w:t>Treasury stock purchase</w:t>
            </w:r>
          </w:p>
        </w:tc>
        <w:tc>
          <w:tcPr>
            <w:tcW w:w="42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(0.1)</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to Fortune Brands, Inc.</w:t>
            </w: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(574.3)</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line="149" w:lineRule="exact"/>
              <w:rPr>
                <w:sz w:val="20"/>
                <w:szCs w:val="20"/>
                <w:color w:val="auto"/>
              </w:rPr>
            </w:pPr>
            <w:r>
              <w:rPr>
                <w:rFonts w:ascii="Arial" w:cs="Arial" w:eastAsia="Arial" w:hAnsi="Arial"/>
                <w:sz w:val="11"/>
                <w:szCs w:val="11"/>
                <w:color w:val="auto"/>
              </w:rPr>
              <w:t>Change in legal structure</w:t>
            </w:r>
            <w:r>
              <w:rPr>
                <w:rFonts w:ascii="Arial" w:cs="Arial" w:eastAsia="Arial" w:hAnsi="Arial"/>
                <w:sz w:val="17"/>
                <w:szCs w:val="17"/>
                <w:color w:val="auto"/>
                <w:vertAlign w:val="superscript"/>
              </w:rPr>
              <w:t>(b)</w:t>
            </w:r>
          </w:p>
        </w:tc>
        <w:tc>
          <w:tcPr>
            <w:tcW w:w="42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(750.9)</w:t>
            </w:r>
          </w:p>
        </w:tc>
        <w:tc>
          <w:tcPr>
            <w:tcW w:w="240" w:type="dxa"/>
            <w:vAlign w:val="bottom"/>
          </w:tcPr>
          <w:p>
            <w:pPr>
              <w:spacing w:after="0"/>
              <w:rPr>
                <w:sz w:val="12"/>
                <w:szCs w:val="12"/>
                <w:color w:val="auto"/>
              </w:rPr>
            </w:pPr>
          </w:p>
        </w:tc>
        <w:tc>
          <w:tcPr>
            <w:tcW w:w="10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750.9</w:t>
            </w:r>
          </w:p>
        </w:tc>
        <w:tc>
          <w:tcPr>
            <w:tcW w:w="300" w:type="dxa"/>
            <w:vAlign w:val="bottom"/>
          </w:tcPr>
          <w:p>
            <w:pPr>
              <w:spacing w:after="0"/>
              <w:rPr>
                <w:sz w:val="12"/>
                <w:szCs w:val="12"/>
                <w:color w:val="auto"/>
              </w:rPr>
            </w:pPr>
          </w:p>
        </w:tc>
        <w:tc>
          <w:tcPr>
            <w:tcW w:w="6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26.6</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line="149" w:lineRule="exact"/>
              <w:rPr>
                <w:sz w:val="20"/>
                <w:szCs w:val="20"/>
                <w:color w:val="auto"/>
              </w:rPr>
            </w:pPr>
            <w:r>
              <w:rPr>
                <w:rFonts w:ascii="Arial" w:cs="Arial" w:eastAsia="Arial" w:hAnsi="Arial"/>
                <w:sz w:val="14"/>
                <w:szCs w:val="14"/>
                <w:color w:val="auto"/>
              </w:rPr>
              <w:t>Tax benefit on excercise of stock options</w:t>
            </w:r>
          </w:p>
        </w:tc>
        <w:tc>
          <w:tcPr>
            <w:tcW w:w="42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1.2</w:t>
            </w:r>
          </w:p>
        </w:tc>
        <w:tc>
          <w:tcPr>
            <w:tcW w:w="240" w:type="dxa"/>
            <w:vAlign w:val="bottom"/>
          </w:tcPr>
          <w:p>
            <w:pPr>
              <w:spacing w:after="0"/>
              <w:rPr>
                <w:sz w:val="12"/>
                <w:szCs w:val="12"/>
                <w:color w:val="auto"/>
              </w:rPr>
            </w:pPr>
          </w:p>
        </w:tc>
        <w:tc>
          <w:tcPr>
            <w:tcW w:w="10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1"/>
                <w:szCs w:val="11"/>
                <w:color w:val="auto"/>
              </w:rPr>
              <w:t>Fortune Brands, Inc. capital contribution</w:t>
            </w:r>
            <w:r>
              <w:rPr>
                <w:rFonts w:ascii="Arial" w:cs="Arial" w:eastAsia="Arial" w:hAnsi="Arial"/>
                <w:sz w:val="17"/>
                <w:szCs w:val="17"/>
                <w:color w:val="auto"/>
                <w:vertAlign w:val="superscript"/>
              </w:rPr>
              <w:t>(a)</w:t>
            </w:r>
          </w:p>
        </w:tc>
        <w:tc>
          <w:tcPr>
            <w:tcW w:w="4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89"/>
              </w:rPr>
              <w:t>2,782.1</w:t>
            </w:r>
          </w:p>
        </w:tc>
        <w:tc>
          <w:tcPr>
            <w:tcW w:w="2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4"/>
              </w:rPr>
              <w:t>2,782.1</w:t>
            </w:r>
          </w:p>
        </w:tc>
        <w:tc>
          <w:tcPr>
            <w:tcW w:w="0" w:type="dxa"/>
            <w:vAlign w:val="bottom"/>
          </w:tcPr>
          <w:p>
            <w:pPr>
              <w:spacing w:after="0"/>
              <w:rPr>
                <w:sz w:val="1"/>
                <w:szCs w:val="1"/>
                <w:color w:val="auto"/>
              </w:rPr>
            </w:pPr>
          </w:p>
        </w:tc>
      </w:tr>
      <w:tr>
        <w:trPr>
          <w:trHeight w:val="149"/>
        </w:trPr>
        <w:tc>
          <w:tcPr>
            <w:tcW w:w="20" w:type="dxa"/>
            <w:vAlign w:val="bottom"/>
            <w:tcBorders>
              <w:bottom w:val="single" w:sz="8" w:color="auto"/>
            </w:tcBorders>
          </w:tcPr>
          <w:p>
            <w:pPr>
              <w:spacing w:after="0"/>
              <w:rPr>
                <w:sz w:val="12"/>
                <w:szCs w:val="12"/>
                <w:color w:val="auto"/>
              </w:rPr>
            </w:pPr>
          </w:p>
        </w:tc>
        <w:tc>
          <w:tcPr>
            <w:tcW w:w="45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Balance at December 31, 2011</w:t>
            </w:r>
          </w:p>
        </w:tc>
        <w:tc>
          <w:tcPr>
            <w:tcW w:w="42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1.6</w:t>
            </w: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w w:val="89"/>
              </w:rPr>
              <w:t>2,186.4</w:t>
            </w:r>
          </w:p>
        </w:tc>
        <w:tc>
          <w:tcPr>
            <w:tcW w:w="2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10.6</w:t>
            </w:r>
          </w:p>
        </w:tc>
        <w:tc>
          <w:tcPr>
            <w:tcW w:w="28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(77.7)</w:t>
            </w:r>
          </w:p>
        </w:tc>
        <w:tc>
          <w:tcPr>
            <w:tcW w:w="30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(0.1)</w:t>
            </w:r>
          </w:p>
        </w:tc>
        <w:tc>
          <w:tcPr>
            <w:tcW w:w="2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3.7</w:t>
            </w:r>
          </w:p>
        </w:tc>
        <w:tc>
          <w:tcPr>
            <w:tcW w:w="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w w:val="94"/>
              </w:rPr>
              <w:t>2,124.5</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20" w:right="60" w:hanging="212"/>
        <w:spacing w:after="0" w:line="203" w:lineRule="auto"/>
        <w:tabs>
          <w:tab w:leader="none" w:pos="220" w:val="left"/>
        </w:tabs>
        <w:numPr>
          <w:ilvl w:val="0"/>
          <w:numId w:val="23"/>
        </w:numPr>
        <w:rPr>
          <w:rFonts w:ascii="Arial" w:cs="Arial" w:eastAsia="Arial" w:hAnsi="Arial"/>
          <w:sz w:val="21"/>
          <w:szCs w:val="21"/>
          <w:color w:val="auto"/>
          <w:vertAlign w:val="superscript"/>
        </w:rPr>
      </w:pPr>
      <w:r>
        <w:rPr>
          <w:rFonts w:ascii="Arial" w:cs="Arial" w:eastAsia="Arial" w:hAnsi="Arial"/>
          <w:sz w:val="13"/>
          <w:szCs w:val="13"/>
          <w:color w:val="auto"/>
        </w:rPr>
        <w:t>The allocation of general and administrative expenses, stock-based compensation and the tax benefit on exercise of options provided by Fortune Brands, Inc. (net of tax) is included in the Consolidated Statements of Income and treated as a capital contribution. In addition, in 2011, Fortune Brands, Inc. made equity contributions totaling $2.7 billion to the Company. Any remaining related party loan balances to/from Fortune Brands, Inc. were capitalized immediately prior to the Separation. Refer to Note 3, “Related Party Transactions.”</w:t>
      </w:r>
    </w:p>
    <w:p>
      <w:pPr>
        <w:spacing w:after="0" w:line="42" w:lineRule="exact"/>
        <w:rPr>
          <w:rFonts w:ascii="Arial" w:cs="Arial" w:eastAsia="Arial" w:hAnsi="Arial"/>
          <w:sz w:val="21"/>
          <w:szCs w:val="21"/>
          <w:color w:val="auto"/>
          <w:vertAlign w:val="superscript"/>
        </w:rPr>
      </w:pPr>
    </w:p>
    <w:p>
      <w:pPr>
        <w:ind w:left="220" w:right="320" w:hanging="212"/>
        <w:spacing w:after="0" w:line="180" w:lineRule="auto"/>
        <w:tabs>
          <w:tab w:leader="none" w:pos="220" w:val="left"/>
        </w:tabs>
        <w:numPr>
          <w:ilvl w:val="0"/>
          <w:numId w:val="23"/>
        </w:numPr>
        <w:rPr>
          <w:rFonts w:ascii="Arial" w:cs="Arial" w:eastAsia="Arial" w:hAnsi="Arial"/>
          <w:sz w:val="22"/>
          <w:szCs w:val="22"/>
          <w:color w:val="auto"/>
          <w:vertAlign w:val="superscript"/>
        </w:rPr>
      </w:pPr>
      <w:r>
        <w:rPr>
          <w:rFonts w:ascii="Arial" w:cs="Arial" w:eastAsia="Arial" w:hAnsi="Arial"/>
          <w:sz w:val="14"/>
          <w:szCs w:val="14"/>
          <w:color w:val="auto"/>
        </w:rPr>
        <w:t>In August 2011, the Company converted from a Delaware limited liability company to a Delaware corporation. As a result, the retained deficit is included as additional paid-in-capital in accordance with SEC Staff Accounting Bulletin Topic 4:B.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Basis of Presentation</w:t>
      </w:r>
    </w:p>
    <w:p>
      <w:pPr>
        <w:spacing w:after="0" w:line="15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b w:val="1"/>
          <w:bCs w:val="1"/>
          <w:color w:val="auto"/>
        </w:rPr>
        <w:t xml:space="preserve">Separation </w:t>
      </w:r>
      <w:r>
        <w:rPr>
          <w:rFonts w:ascii="Arial" w:cs="Arial" w:eastAsia="Arial" w:hAnsi="Arial"/>
          <w:sz w:val="18"/>
          <w:szCs w:val="18"/>
          <w:color w:val="auto"/>
        </w:rPr>
        <w:t>On September 27, 2011, the board of directors of Fortune Brands, Inc. (“Former Parent”) approved the spin-off of Fortune Brands</w:t>
      </w:r>
      <w:r>
        <w:rPr>
          <w:rFonts w:ascii="Arial" w:cs="Arial" w:eastAsia="Arial" w:hAnsi="Arial"/>
          <w:sz w:val="18"/>
          <w:szCs w:val="18"/>
          <w:b w:val="1"/>
          <w:bCs w:val="1"/>
          <w:color w:val="auto"/>
        </w:rPr>
        <w:t xml:space="preserve"> </w:t>
      </w:r>
      <w:r>
        <w:rPr>
          <w:rFonts w:ascii="Arial" w:cs="Arial" w:eastAsia="Arial" w:hAnsi="Arial"/>
          <w:sz w:val="18"/>
          <w:szCs w:val="18"/>
          <w:color w:val="auto"/>
        </w:rPr>
        <w:t>Home &amp; Security, Inc. into an independent, publicly traded company (the “Separation”). References to “Home &amp; Security,” “the Company,” “we,” “our” and “us” refer to Fortune Brands Home &amp; Security, Inc. and its consolidated subsidiaries as a whole, unless the context otherwise requires. The Separation was accomplished by increasing the total number of issued and outstanding shares of Home &amp; Security common stock such that 155,052,629 shares of Home &amp; Security common stock were available for distribution to the holders of common stock of our Former Parent (the “Distribution”). The Separation was accomplished pursuant to a Separation and Distribution Agreement, dated September 27, 2011, between our Former Parent and the Company. On October 3, 2011, the Separation was completed, with stockholders of our Former Parent receiving one share of Home &amp; Security common stock for each share of Former Parent common stock held as of 6:00 p.m. New York City Time on September 20, 2011. In addition, we paid a dividend of $548.9 million to our Former Parent prior to the Separation on October 3, 2011 and made a payment of $6.0 million to our Former Parent on January 3, 2012.</w:t>
      </w:r>
    </w:p>
    <w:p>
      <w:pPr>
        <w:spacing w:after="0" w:line="157"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Following the Separation, our Former Parent changed its name to Beam Inc. and retained no ownership interest in Home &amp; Security. Home &amp; Security and Beam Inc. have separate public ownership, boards of directors and management.</w:t>
      </w:r>
    </w:p>
    <w:p>
      <w:pPr>
        <w:spacing w:after="0" w:line="155"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A registration statement on Form 10, as amended (the “Form 10”), describing the Separation was filed by Home &amp; Security with the Securities and Exchange Commission (“SEC”) and was declared effective on September 2, 2011. On October 4, 2011, our common stock began trading “regular-way” on the New York Stock Exchange under the ticker symbol “FBHS”.</w:t>
      </w:r>
    </w:p>
    <w:p>
      <w:pPr>
        <w:spacing w:after="0" w:line="154"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The Company is a leading home and security products company with a portfolio of leading branded products used for residential home repair, remodeling, new construction, security applications and storage.</w:t>
      </w:r>
    </w:p>
    <w:p>
      <w:pPr>
        <w:spacing w:after="0" w:line="13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The consolidated financial statements include the accounts of Home &amp; Security and its majority-owned subsidiaries.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subsidiaries operate on a 52 or 53-week fiscal year.</w:t>
      </w:r>
    </w:p>
    <w:p>
      <w:pPr>
        <w:spacing w:after="0" w:line="1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consolidated financial statements and segment information included in this Annual Report on Form 10-K have been derived principally from the consolidated financial statements of the Company, which prior to the Separation was a wholly-owned subsidiary of our Former Parent, using the historical results of operations, and historical basis of assets and liabilities. Our historical financial statements include allocations of certain general corporate expenses of Former Parent incurred directly by our Former Parent. These allocated expenses include costs associated with legal, finance, treasury, accounting, internal audit and general management services and are included in “Corporate” in the accompanying segment information. During the years ended December 31, 2011, 2010 and 2009, these allocations totaled $23.4 million, $32.0 million and $34.2 million, respectively. The 2011 allocation is for nine months only (January 1, 2011 through the date of the Separation) because Home &amp; Security became an independent company on October 3, 2011. Management believes that the assumptions and methodologies underlying the allocation of these general corporate expenses are reasonable. However, such expenses may not be indicative of the actual level of expense that would have been incurred by the Company if it had operated as a stand-alone company or of the costs expected to be incurred in the future. The consolidated financial statements included in this Annual Report on Form 10-K may not necessarily reflect the Company’s results of operations, financial condition and cash flows in the future or what its results of operations, financial condition and cash flows would have been had the Company been a stand-alone company during the periods presented.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58" w:lineRule="exact"/>
        <w:rPr>
          <w:sz w:val="20"/>
          <w:szCs w:val="20"/>
          <w:color w:val="auto"/>
        </w:rPr>
      </w:pPr>
    </w:p>
    <w:p>
      <w:pPr>
        <w:jc w:val="both"/>
        <w:ind w:right="40"/>
        <w:spacing w:after="0" w:line="249"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presentation of financial statements in accordance with U.S. generally accepted accounting principles (“GAAP”) requires</w:t>
      </w:r>
      <w:r>
        <w:rPr>
          <w:rFonts w:ascii="Arial" w:cs="Arial" w:eastAsia="Arial" w:hAnsi="Arial"/>
          <w:sz w:val="18"/>
          <w:szCs w:val="18"/>
          <w:b w:val="1"/>
          <w:bCs w:val="1"/>
          <w:color w:val="auto"/>
        </w:rPr>
        <w:t xml:space="preserve"> </w:t>
      </w:r>
      <w:r>
        <w:rPr>
          <w:rFonts w:ascii="Arial" w:cs="Arial" w:eastAsia="Arial" w:hAnsi="Arial"/>
          <w:sz w:val="18"/>
          <w:szCs w:val="18"/>
          <w:color w:val="auto"/>
        </w:rPr>
        <w:t>us to make estimates and assumptions that affect reported amounts and related disclosures. Actual results in future periods could differ from those estimates.</w:t>
      </w:r>
    </w:p>
    <w:p>
      <w:pPr>
        <w:spacing w:after="0" w:line="126" w:lineRule="exact"/>
        <w:rPr>
          <w:sz w:val="20"/>
          <w:szCs w:val="20"/>
          <w:color w:val="auto"/>
        </w:rPr>
      </w:pPr>
    </w:p>
    <w:p>
      <w:pPr>
        <w:ind w:right="880"/>
        <w:spacing w:after="0" w:line="264"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Highly liquid investments with an original maturity of three months or less are included in cash and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w:t>
      </w:r>
    </w:p>
    <w:p>
      <w:pPr>
        <w:spacing w:after="0" w:line="112"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color w:val="auto"/>
        </w:rPr>
        <w:t xml:space="preserve">Allowances for Doubtful Accounts </w:t>
      </w:r>
      <w:r>
        <w:rPr>
          <w:rFonts w:ascii="Arial" w:cs="Arial" w:eastAsia="Arial" w:hAnsi="Arial"/>
          <w:sz w:val="18"/>
          <w:szCs w:val="18"/>
          <w:color w:val="auto"/>
        </w:rPr>
        <w:t>Trade receivables are recorded at the stated amount, less allowances for discounts, doubtful accounts and</w:t>
      </w:r>
      <w:r>
        <w:rPr>
          <w:rFonts w:ascii="Arial" w:cs="Arial" w:eastAsia="Arial" w:hAnsi="Arial"/>
          <w:sz w:val="18"/>
          <w:szCs w:val="18"/>
          <w:b w:val="1"/>
          <w:bCs w:val="1"/>
          <w:color w:val="auto"/>
        </w:rPr>
        <w:t xml:space="preserve"> </w:t>
      </w:r>
      <w:r>
        <w:rPr>
          <w:rFonts w:ascii="Arial" w:cs="Arial" w:eastAsia="Arial" w:hAnsi="Arial"/>
          <w:sz w:val="18"/>
          <w:szCs w:val="18"/>
          <w:color w:val="auto"/>
        </w:rPr>
        <w:t>returns. The allowances for doubtful accounts represent estimated uncollectible receivables associated with potential customer defaults on contractual obligations (usually due to customers’ potential insolvency), or discounts related to early payment of accounts receivables by our customers. The allowances include provisions for certain customers where a risk of default has been specifically identified. In addition, the allowances include a provision for customer defaults on a general formula basis when it is determined the risk of some default is probable and estimable, but cannot yet be associated with specific customers. The assessment of the likelihood of customer defaults is based on various factors, including the length of time the receivables are past due, historical experience and existing economic conditions. In accordance with this policy, our allowance for doubtful accounts was $10.6 million and $14.7 million as of December 31, 2011 and 2010, respectively.</w:t>
      </w:r>
    </w:p>
    <w:p>
      <w:pPr>
        <w:spacing w:after="0" w:line="134" w:lineRule="exact"/>
        <w:rPr>
          <w:sz w:val="20"/>
          <w:szCs w:val="20"/>
          <w:color w:val="auto"/>
        </w:rPr>
      </w:pPr>
    </w:p>
    <w:p>
      <w:pPr>
        <w:ind w:right="500"/>
        <w:spacing w:after="0" w:line="244"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The majority of our inventories are accounted for using the first-in, first-out (FIFO) inventory method. Inventory provisions are</w:t>
      </w:r>
      <w:r>
        <w:rPr>
          <w:rFonts w:ascii="Arial" w:cs="Arial" w:eastAsia="Arial" w:hAnsi="Arial"/>
          <w:sz w:val="18"/>
          <w:szCs w:val="18"/>
          <w:b w:val="1"/>
          <w:bCs w:val="1"/>
          <w:color w:val="auto"/>
        </w:rPr>
        <w:t xml:space="preserve"> </w:t>
      </w:r>
      <w:r>
        <w:rPr>
          <w:rFonts w:ascii="Arial" w:cs="Arial" w:eastAsia="Arial" w:hAnsi="Arial"/>
          <w:sz w:val="18"/>
          <w:szCs w:val="18"/>
          <w:color w:val="auto"/>
        </w:rPr>
        <w:t>recorded to reduce inventory to the lower of cost or market value for obsolete or slow moving inventory based on assumptions about future demand and marketability of products, the impact of new product introductions, inventory turns, product spoilage and specific identification of items, such as product discontinuance, engineering/material changes, or regulatory-related changes.</w:t>
      </w:r>
    </w:p>
    <w:p>
      <w:pPr>
        <w:spacing w:after="0" w:line="153"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We also use the last-in, first-out (LIFO) inventory method in those product groups in which metals inventories comprise a significant portion of our inventories. LIFO inventories at December 31, 2011 and 2010 were $159.2 million (with a current cost of $185.6 million) and $152.3 million (with a current cost of $179.2 million), respectively.</w:t>
      </w:r>
    </w:p>
    <w:p>
      <w:pPr>
        <w:spacing w:after="0" w:line="132" w:lineRule="exact"/>
        <w:rPr>
          <w:sz w:val="20"/>
          <w:szCs w:val="20"/>
          <w:color w:val="auto"/>
        </w:rPr>
      </w:pPr>
    </w:p>
    <w:p>
      <w:pPr>
        <w:ind w:right="60"/>
        <w:spacing w:after="0"/>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Property, plant and equipment are carried at cost. Depreciation is provided, principally on a straight-line basis,</w:t>
      </w:r>
      <w:r>
        <w:rPr>
          <w:rFonts w:ascii="Arial" w:cs="Arial" w:eastAsia="Arial" w:hAnsi="Arial"/>
          <w:sz w:val="18"/>
          <w:szCs w:val="18"/>
          <w:b w:val="1"/>
          <w:bCs w:val="1"/>
          <w:color w:val="auto"/>
        </w:rPr>
        <w:t xml:space="preserve"> </w:t>
      </w:r>
      <w:r>
        <w:rPr>
          <w:rFonts w:ascii="Arial" w:cs="Arial" w:eastAsia="Arial" w:hAnsi="Arial"/>
          <w:sz w:val="18"/>
          <w:szCs w:val="18"/>
          <w:color w:val="auto"/>
        </w:rPr>
        <w:t>over the estimated useful lives of the assets. Gains or losses resulting from dispositions are included in operating income. Betterments and renewals, which improve and extend the life of an asset, are capitalized; maintenance and repair costs are expensed as incurred. Assets held for use to be disposed of at a future date are depreciated over the remaining useful life. Assets to be sold are written down to fair value at the time the assets are being actively marketed for sale. As of December 31, 2011 and 2010, the carrying value of assets held for sale was not material. Estimated useful lives of the related assets are as follows:</w:t>
      </w:r>
    </w:p>
    <w:p>
      <w:pPr>
        <w:sectPr>
          <w:pgSz w:w="11900" w:h="16838" w:orient="portrait"/>
          <w:cols w:equalWidth="0" w:num="1">
            <w:col w:w="11420"/>
          </w:cols>
          <w:pgMar w:left="240" w:top="459" w:right="239" w:bottom="1440" w:gutter="0" w:footer="0" w:header="0"/>
        </w:sectPr>
      </w:pPr>
    </w:p>
    <w:p>
      <w:pPr>
        <w:spacing w:after="0" w:line="19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Buildings and leasehold improvements</w:t>
      </w:r>
    </w:p>
    <w:p>
      <w:pPr>
        <w:spacing w:after="0" w:line="1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Machinery and equipment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right"/>
        <w:ind w:right="1600"/>
        <w:spacing w:after="0"/>
        <w:rPr>
          <w:sz w:val="20"/>
          <w:szCs w:val="20"/>
          <w:color w:val="auto"/>
        </w:rPr>
      </w:pPr>
      <w:r>
        <w:rPr>
          <w:rFonts w:ascii="Arial" w:cs="Arial" w:eastAsia="Arial" w:hAnsi="Arial"/>
          <w:sz w:val="16"/>
          <w:szCs w:val="16"/>
          <w:color w:val="auto"/>
        </w:rPr>
        <w:t>15 to 40 years</w:t>
      </w:r>
    </w:p>
    <w:p>
      <w:pPr>
        <w:spacing w:after="0" w:line="19" w:lineRule="exact"/>
        <w:rPr>
          <w:sz w:val="20"/>
          <w:szCs w:val="20"/>
          <w:color w:val="auto"/>
        </w:rPr>
      </w:pPr>
    </w:p>
    <w:p>
      <w:pPr>
        <w:jc w:val="right"/>
        <w:ind w:right="1600"/>
        <w:spacing w:after="0"/>
        <w:rPr>
          <w:sz w:val="20"/>
          <w:szCs w:val="20"/>
          <w:color w:val="auto"/>
        </w:rPr>
      </w:pPr>
      <w:r>
        <w:rPr>
          <w:rFonts w:ascii="Arial" w:cs="Arial" w:eastAsia="Arial" w:hAnsi="Arial"/>
          <w:sz w:val="18"/>
          <w:szCs w:val="18"/>
          <w:color w:val="auto"/>
        </w:rPr>
        <w:t>3 to 10 years</w:t>
      </w:r>
    </w:p>
    <w:p>
      <w:pPr>
        <w:spacing w:after="0" w:line="136" w:lineRule="exact"/>
        <w:rPr>
          <w:sz w:val="20"/>
          <w:szCs w:val="20"/>
          <w:color w:val="auto"/>
        </w:rPr>
      </w:pPr>
    </w:p>
    <w:p>
      <w:pPr>
        <w:sectPr>
          <w:pgSz w:w="11900" w:h="16838" w:orient="portrait"/>
          <w:cols w:equalWidth="0" w:num="2">
            <w:col w:w="8000" w:space="720"/>
            <w:col w:w="2700"/>
          </w:cols>
          <w:pgMar w:left="240" w:top="459" w:right="239" w:bottom="1440" w:gutter="0" w:footer="0" w:header="0"/>
          <w:type w:val="continuous"/>
        </w:sectPr>
      </w:pPr>
    </w:p>
    <w:p>
      <w:pPr>
        <w:ind w:right="40"/>
        <w:spacing w:after="0" w:line="249" w:lineRule="auto"/>
        <w:rPr>
          <w:sz w:val="20"/>
          <w:szCs w:val="20"/>
          <w:color w:val="auto"/>
        </w:rPr>
      </w:pPr>
      <w:r>
        <w:rPr>
          <w:rFonts w:ascii="Arial" w:cs="Arial" w:eastAsia="Arial" w:hAnsi="Arial"/>
          <w:sz w:val="18"/>
          <w:szCs w:val="18"/>
          <w:b w:val="1"/>
          <w:bCs w:val="1"/>
          <w:color w:val="auto"/>
        </w:rPr>
        <w:t xml:space="preserve">Long-lived Assets </w:t>
      </w:r>
      <w:r>
        <w:rPr>
          <w:rFonts w:ascii="Arial" w:cs="Arial" w:eastAsia="Arial" w:hAnsi="Arial"/>
          <w:sz w:val="18"/>
          <w:szCs w:val="18"/>
          <w:color w:val="auto"/>
        </w:rPr>
        <w:t>In accordance with authoritative guidance on property, plant and equipment (Accounting Standards Codification (“ASC”)</w:t>
      </w:r>
      <w:r>
        <w:rPr>
          <w:rFonts w:ascii="Arial" w:cs="Arial" w:eastAsia="Arial" w:hAnsi="Arial"/>
          <w:sz w:val="18"/>
          <w:szCs w:val="18"/>
          <w:b w:val="1"/>
          <w:bCs w:val="1"/>
          <w:color w:val="auto"/>
        </w:rPr>
        <w:t xml:space="preserve"> </w:t>
      </w:r>
      <w:r>
        <w:rPr>
          <w:rFonts w:ascii="Arial" w:cs="Arial" w:eastAsia="Arial" w:hAnsi="Arial"/>
          <w:sz w:val="18"/>
          <w:szCs w:val="18"/>
          <w:color w:val="auto"/>
        </w:rPr>
        <w:t>360), a long-lived asset (including amortizable identifiable intangible assets) or asset group is tested for recoverability whenever events or changes in circumstances indicate that its carrying amount may not be recoverable. When such events occur,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we compare the sum of the undiscounted cash flows expected to result from the use and eventual disposition of the asset or asset group to the carrying amount of the long-lived asset or asset group. The cash flows are based on our best estimate of future cash flows derived from the most recent business projections. If this comparison indicates that there is an impairment, the amount of the impairment is calculated based on fair value. Fair value is estimated primarily using discounted expected future cash flows on a market-participant basis.</w:t>
      </w:r>
    </w:p>
    <w:p>
      <w:pPr>
        <w:spacing w:after="0" w:line="133" w:lineRule="exact"/>
        <w:rPr>
          <w:sz w:val="20"/>
          <w:szCs w:val="20"/>
          <w:color w:val="auto"/>
        </w:rPr>
      </w:pPr>
    </w:p>
    <w:p>
      <w:pPr>
        <w:jc w:val="both"/>
        <w:ind w:right="60"/>
        <w:spacing w:after="0" w:line="296" w:lineRule="auto"/>
        <w:rPr>
          <w:sz w:val="20"/>
          <w:szCs w:val="20"/>
          <w:color w:val="auto"/>
        </w:rPr>
      </w:pPr>
      <w:r>
        <w:rPr>
          <w:rFonts w:ascii="Arial" w:cs="Arial" w:eastAsia="Arial" w:hAnsi="Arial"/>
          <w:sz w:val="16"/>
          <w:szCs w:val="16"/>
          <w:b w:val="1"/>
          <w:bCs w:val="1"/>
          <w:color w:val="auto"/>
        </w:rPr>
        <w:t xml:space="preserve">Goodwill and Indefinite-lived Intangible Assets </w:t>
      </w:r>
      <w:r>
        <w:rPr>
          <w:rFonts w:ascii="Arial" w:cs="Arial" w:eastAsia="Arial" w:hAnsi="Arial"/>
          <w:sz w:val="16"/>
          <w:szCs w:val="16"/>
          <w:color w:val="auto"/>
        </w:rPr>
        <w:t>In accordance with authoritative guidance on goodwill and other intangible assets (ASC 350),</w:t>
      </w:r>
      <w:r>
        <w:rPr>
          <w:rFonts w:ascii="Arial" w:cs="Arial" w:eastAsia="Arial" w:hAnsi="Arial"/>
          <w:sz w:val="16"/>
          <w:szCs w:val="16"/>
          <w:b w:val="1"/>
          <w:bCs w:val="1"/>
          <w:color w:val="auto"/>
        </w:rPr>
        <w:t xml:space="preserve"> </w:t>
      </w:r>
      <w:r>
        <w:rPr>
          <w:rFonts w:ascii="Arial" w:cs="Arial" w:eastAsia="Arial" w:hAnsi="Arial"/>
          <w:sz w:val="16"/>
          <w:szCs w:val="16"/>
          <w:color w:val="auto"/>
        </w:rPr>
        <w:t>goodwill is tested for impairment at least annually in the fourth quarter, and written down when impaired. An interim impairment test is performed if an event occurs or conditions change that would more likely than not reduce the fair value of the reporting unit below the carrying value.</w:t>
      </w:r>
    </w:p>
    <w:p>
      <w:pPr>
        <w:spacing w:after="0" w:line="11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evaluate the recoverability of goodwill using a weighting of the income and market approaches. For the income approach, we use a discounted cash flow model, estimating the future cash flows of the reporting units to which the goodwill relates, and then discounting the future cash flows at a market-participant-derived weighted-average cost of capital. In determining the estimated future cash flows, we consider current and projected future levels of income based on management’s plans for that business; business trends, prospects and market and economic conditions; and market-participant considerations. Furthermore, our projection for the U.S. home products market is inherently subject to a number of uncertain factors, such as employment, home prices, credit availability, new home starts and the rate of home foreclosures. For the market approach, we apply market multiples for peer groups to the operating results of the reporting units to determine each reporting unit’s fair value. The Company’s reporting units are operating segments, or one level below the operating segment. When the estimated fair value of a reporting unit is less than its carrying value, we measure and recognize the amount of the goodwill impairment loss, if any. Impairment losses, limited to the carrying value of goodwill, represent the excess of the carrying value of a reporting unit’s goodwill over the implied fair value of that goodwill. The implied fair value of a reporting unit is estimated based on a hypothetical allocation of each reporting unit’s fair value to all of its underlying assets and liabilities in accordance with the requirements of ASC 350. Both of the reporting units within Advanced Material Windows &amp; Door Systems have goodwill and tradenames for which a 10% reduction in the fair value could trigger an impairment charge in future periods. As of December 31, 2011, these reporting units had indefinite-lived tradenames with an aggregate book value of $227.0 million and goodwill with an aggregate book value of $230.2 million.</w:t>
      </w:r>
    </w:p>
    <w:p>
      <w:pPr>
        <w:spacing w:after="0" w:line="1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ASC 350 requires that purchased intangible assets other than goodwill be amortized over their useful lives unless those lives are determined to be indefinite. The determination of the useful life of an intangible asset other than goodwill is based on factors including historical and tradename performance with respect to consumer name recognition, geographic market presence, market share, and plans for ongoing tradename support and promotion. Certain of our tradenames have been assigned an indefinite life as we currently anticipate that these tradenames will contribute cash flows to the Company indefinitely. Indefinite-lived intangible assets are not amortized, but are evaluated at least annually to determine whether the indefinite useful life is appropriate. We review indefinite-lived intangible assets for impairment annually in the fourth quarter, and whenever market or business events indicate there may be a potential impairment of that intangible. Impairment losses are recorded to the extent that the carrying value of the indefinite-lived intangible asset exceeds its fair value. We measure fair value using the standard relief-from-royalty approach which estimates the present value of royalty income that could be hypothetically earned by licensing the brand name to a third party over the remaining useful life.</w:t>
      </w:r>
    </w:p>
    <w:p>
      <w:pPr>
        <w:spacing w:after="0" w:line="161"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The Company cannot predict the occurrence of certain events or changes in circumstances that might adversely affect the carrying value of goodwill and indefinite-lived intangible assets. Such</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events may include, but are not limited to, the impact of the economic environment; a material negative change in relationships with significant customers; or strategic decisions made in response to economic and competitive conditions.</w:t>
      </w:r>
    </w:p>
    <w:p>
      <w:pPr>
        <w:spacing w:after="0" w:line="13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We provide a range of benefits to employees and retired employees, including pension, postretirement, post-employment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health care benefits.</w:t>
      </w:r>
    </w:p>
    <w:p>
      <w:pPr>
        <w:spacing w:after="0" w:line="134"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In the fourth quarter of 2011, we elected to change our method of recognizing defined benefit costs. Previously, for our defined benefit plans, we used a calculated value for the market-related value of plan assets reflecting changes in the fair value of plan assets over a five-year period. In addition, actuarial gains or losses in excess of 10 percent of the greater of the market-related value of plan assets or the plans’ projected benefit obligation (the “corridor”) were recognized over the remaining service life of plan participants. For postretirement benefit plans, we used a dual corridor where actuarial gains or losses in excess of 20 percent of the projected benefit obligation were recognized faster. Under our new accounting method, we recognize changes in the fair value of plan assets and net actuarial gains or losses in excess of the corridor immediately upon remeasurement, which is at least annually in the fourth quarter of each year. We believe that this new policy is preferable as it reduces the delay in recognition of actuarial gains and losses outside the corridor. This change has been reported through retrospective application of the new policy to all periods presented. The impacts of adjustments made to the financial statements are summarized below:</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1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1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color w:val="auto"/>
              </w:rPr>
              <w:t>Year Ended December 31, 2011</w:t>
            </w:r>
          </w:p>
        </w:tc>
      </w:tr>
      <w:tr>
        <w:trPr>
          <w:trHeight w:val="195"/>
        </w:trPr>
        <w:tc>
          <w:tcPr>
            <w:tcW w:w="4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40" w:type="dxa"/>
            <w:vAlign w:val="bottom"/>
          </w:tcPr>
          <w:p>
            <w:pPr>
              <w:jc w:val="right"/>
              <w:ind w:right="317"/>
              <w:spacing w:after="0"/>
              <w:rPr>
                <w:sz w:val="20"/>
                <w:szCs w:val="20"/>
                <w:color w:val="auto"/>
              </w:rPr>
            </w:pPr>
            <w:r>
              <w:rPr>
                <w:rFonts w:ascii="Arial" w:cs="Arial" w:eastAsia="Arial" w:hAnsi="Arial"/>
                <w:sz w:val="14"/>
                <w:szCs w:val="14"/>
                <w:color w:val="auto"/>
              </w:rPr>
              <w:t>Before</w:t>
            </w:r>
          </w:p>
        </w:tc>
        <w:tc>
          <w:tcPr>
            <w:tcW w:w="1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49"/>
        </w:trPr>
        <w:tc>
          <w:tcPr>
            <w:tcW w:w="4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40" w:type="dxa"/>
            <w:vAlign w:val="bottom"/>
          </w:tcPr>
          <w:p>
            <w:pPr>
              <w:jc w:val="right"/>
              <w:ind w:right="317"/>
              <w:spacing w:after="0" w:line="149" w:lineRule="exact"/>
              <w:rPr>
                <w:sz w:val="20"/>
                <w:szCs w:val="20"/>
                <w:color w:val="auto"/>
              </w:rPr>
            </w:pPr>
            <w:r>
              <w:rPr>
                <w:rFonts w:ascii="Arial" w:cs="Arial" w:eastAsia="Arial" w:hAnsi="Arial"/>
                <w:sz w:val="14"/>
                <w:szCs w:val="14"/>
                <w:color w:val="auto"/>
              </w:rPr>
              <w:t>Accounting</w:t>
            </w:r>
          </w:p>
        </w:tc>
        <w:tc>
          <w:tcPr>
            <w:tcW w:w="1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00" w:type="dxa"/>
            <w:vAlign w:val="bottom"/>
          </w:tcPr>
          <w:p>
            <w:pPr>
              <w:jc w:val="right"/>
              <w:ind w:right="316"/>
              <w:spacing w:after="0" w:line="149" w:lineRule="exact"/>
              <w:rPr>
                <w:sz w:val="20"/>
                <w:szCs w:val="20"/>
                <w:color w:val="auto"/>
              </w:rPr>
            </w:pPr>
            <w:r>
              <w:rPr>
                <w:rFonts w:ascii="Arial" w:cs="Arial" w:eastAsia="Arial" w:hAnsi="Arial"/>
                <w:sz w:val="14"/>
                <w:szCs w:val="14"/>
                <w:color w:val="auto"/>
              </w:rPr>
              <w:t>Effect of</w:t>
            </w:r>
          </w:p>
        </w:tc>
      </w:tr>
      <w:tr>
        <w:trPr>
          <w:trHeight w:val="149"/>
        </w:trPr>
        <w:tc>
          <w:tcPr>
            <w:tcW w:w="4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317"/>
              <w:spacing w:after="0" w:line="149" w:lineRule="exact"/>
              <w:rPr>
                <w:sz w:val="20"/>
                <w:szCs w:val="20"/>
                <w:color w:val="auto"/>
              </w:rPr>
            </w:pPr>
            <w:r>
              <w:rPr>
                <w:rFonts w:ascii="Arial" w:cs="Arial" w:eastAsia="Arial" w:hAnsi="Arial"/>
                <w:sz w:val="14"/>
                <w:szCs w:val="14"/>
                <w:color w:val="auto"/>
              </w:rPr>
              <w:t>Change</w:t>
            </w:r>
          </w:p>
        </w:tc>
        <w:tc>
          <w:tcPr>
            <w:tcW w:w="1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Revised</w:t>
            </w:r>
          </w:p>
        </w:tc>
        <w:tc>
          <w:tcPr>
            <w:tcW w:w="9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16"/>
              <w:spacing w:after="0" w:line="149" w:lineRule="exact"/>
              <w:rPr>
                <w:sz w:val="20"/>
                <w:szCs w:val="20"/>
                <w:color w:val="auto"/>
              </w:rPr>
            </w:pPr>
            <w:r>
              <w:rPr>
                <w:rFonts w:ascii="Arial" w:cs="Arial" w:eastAsia="Arial" w:hAnsi="Arial"/>
                <w:sz w:val="14"/>
                <w:szCs w:val="14"/>
                <w:color w:val="auto"/>
              </w:rPr>
              <w:t>Change</w:t>
            </w:r>
          </w:p>
        </w:tc>
      </w:tr>
      <w:tr>
        <w:trPr>
          <w:trHeight w:val="196"/>
        </w:trPr>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 of products sold</w:t>
            </w: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17"/>
              <w:spacing w:after="0" w:line="196" w:lineRule="exact"/>
              <w:rPr>
                <w:sz w:val="20"/>
                <w:szCs w:val="20"/>
                <w:color w:val="auto"/>
              </w:rPr>
            </w:pPr>
            <w:r>
              <w:rPr>
                <w:rFonts w:ascii="Arial" w:cs="Arial" w:eastAsia="Arial" w:hAnsi="Arial"/>
                <w:sz w:val="18"/>
                <w:szCs w:val="18"/>
                <w:color w:val="auto"/>
              </w:rPr>
              <w:t>$2,297.3</w:t>
            </w:r>
          </w:p>
        </w:tc>
        <w:tc>
          <w:tcPr>
            <w:tcW w:w="1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$2,332.1</w:t>
            </w:r>
          </w:p>
        </w:tc>
        <w:tc>
          <w:tcPr>
            <w:tcW w:w="9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16"/>
              <w:spacing w:after="0" w:line="196" w:lineRule="exact"/>
              <w:rPr>
                <w:sz w:val="20"/>
                <w:szCs w:val="20"/>
                <w:color w:val="auto"/>
              </w:rPr>
            </w:pPr>
            <w:r>
              <w:rPr>
                <w:rFonts w:ascii="Arial" w:cs="Arial" w:eastAsia="Arial" w:hAnsi="Arial"/>
                <w:sz w:val="18"/>
                <w:szCs w:val="18"/>
                <w:color w:val="auto"/>
              </w:rPr>
              <w:t>$ 34.8</w:t>
            </w: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jc w:val="right"/>
              <w:ind w:right="317"/>
              <w:spacing w:after="0" w:line="202" w:lineRule="exact"/>
              <w:rPr>
                <w:sz w:val="20"/>
                <w:szCs w:val="20"/>
                <w:color w:val="auto"/>
              </w:rPr>
            </w:pPr>
            <w:r>
              <w:rPr>
                <w:rFonts w:ascii="Arial" w:cs="Arial" w:eastAsia="Arial" w:hAnsi="Arial"/>
                <w:sz w:val="18"/>
                <w:szCs w:val="18"/>
                <w:color w:val="auto"/>
              </w:rPr>
              <w:t>868.9</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900.6</w:t>
            </w:r>
          </w:p>
        </w:tc>
        <w:tc>
          <w:tcPr>
            <w:tcW w:w="960" w:type="dxa"/>
            <w:vAlign w:val="bottom"/>
          </w:tcPr>
          <w:p>
            <w:pPr>
              <w:spacing w:after="0"/>
              <w:rPr>
                <w:sz w:val="17"/>
                <w:szCs w:val="17"/>
                <w:color w:val="auto"/>
              </w:rPr>
            </w:pPr>
          </w:p>
        </w:tc>
        <w:tc>
          <w:tcPr>
            <w:tcW w:w="1100" w:type="dxa"/>
            <w:vAlign w:val="bottom"/>
          </w:tcPr>
          <w:p>
            <w:pPr>
              <w:jc w:val="right"/>
              <w:ind w:right="316"/>
              <w:spacing w:after="0" w:line="202" w:lineRule="exact"/>
              <w:rPr>
                <w:sz w:val="20"/>
                <w:szCs w:val="20"/>
                <w:color w:val="auto"/>
              </w:rPr>
            </w:pPr>
            <w:r>
              <w:rPr>
                <w:rFonts w:ascii="Arial" w:cs="Arial" w:eastAsia="Arial" w:hAnsi="Arial"/>
                <w:sz w:val="18"/>
                <w:szCs w:val="18"/>
                <w:color w:val="auto"/>
              </w:rPr>
              <w:t>31.7</w:t>
            </w: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 (loss)</w:t>
            </w: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17"/>
              <w:spacing w:after="0" w:line="202" w:lineRule="exact"/>
              <w:rPr>
                <w:sz w:val="20"/>
                <w:szCs w:val="20"/>
                <w:color w:val="auto"/>
              </w:rPr>
            </w:pPr>
            <w:r>
              <w:rPr>
                <w:rFonts w:ascii="Arial" w:cs="Arial" w:eastAsia="Arial" w:hAnsi="Arial"/>
                <w:sz w:val="18"/>
                <w:szCs w:val="18"/>
                <w:color w:val="auto"/>
              </w:rPr>
              <w:t>50.9</w:t>
            </w: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w:t>
            </w:r>
          </w:p>
        </w:tc>
        <w:tc>
          <w:tcPr>
            <w:tcW w:w="9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56"/>
              <w:spacing w:after="0" w:line="202" w:lineRule="exact"/>
              <w:rPr>
                <w:sz w:val="20"/>
                <w:szCs w:val="20"/>
                <w:color w:val="auto"/>
              </w:rPr>
            </w:pPr>
            <w:r>
              <w:rPr>
                <w:rFonts w:ascii="Arial" w:cs="Arial" w:eastAsia="Arial" w:hAnsi="Arial"/>
                <w:sz w:val="18"/>
                <w:szCs w:val="18"/>
                <w:color w:val="auto"/>
              </w:rPr>
              <w:t>(66.5)</w:t>
            </w: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Income (loss) before income taxes</w:t>
            </w: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jc w:val="right"/>
              <w:ind w:right="317"/>
              <w:spacing w:after="0" w:line="202" w:lineRule="exact"/>
              <w:rPr>
                <w:sz w:val="20"/>
                <w:szCs w:val="20"/>
                <w:color w:val="auto"/>
              </w:rPr>
            </w:pPr>
            <w:r>
              <w:rPr>
                <w:rFonts w:ascii="Arial" w:cs="Arial" w:eastAsia="Arial" w:hAnsi="Arial"/>
                <w:sz w:val="18"/>
                <w:szCs w:val="18"/>
                <w:color w:val="auto"/>
              </w:rPr>
              <w:t>22.9</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(43.6)</w:t>
            </w:r>
          </w:p>
        </w:tc>
        <w:tc>
          <w:tcPr>
            <w:tcW w:w="960" w:type="dxa"/>
            <w:vAlign w:val="bottom"/>
          </w:tcPr>
          <w:p>
            <w:pPr>
              <w:spacing w:after="0"/>
              <w:rPr>
                <w:sz w:val="17"/>
                <w:szCs w:val="17"/>
                <w:color w:val="auto"/>
              </w:rPr>
            </w:pPr>
          </w:p>
        </w:tc>
        <w:tc>
          <w:tcPr>
            <w:tcW w:w="1100" w:type="dxa"/>
            <w:vAlign w:val="bottom"/>
          </w:tcPr>
          <w:p>
            <w:pPr>
              <w:jc w:val="right"/>
              <w:ind w:right="256"/>
              <w:spacing w:after="0" w:line="202" w:lineRule="exact"/>
              <w:rPr>
                <w:sz w:val="20"/>
                <w:szCs w:val="20"/>
                <w:color w:val="auto"/>
              </w:rPr>
            </w:pPr>
            <w:r>
              <w:rPr>
                <w:rFonts w:ascii="Arial" w:cs="Arial" w:eastAsia="Arial" w:hAnsi="Arial"/>
                <w:sz w:val="18"/>
                <w:szCs w:val="18"/>
                <w:color w:val="auto"/>
              </w:rPr>
              <w:t>(66.5)</w:t>
            </w: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provision</w:t>
            </w: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17"/>
              <w:spacing w:after="0" w:line="202" w:lineRule="exact"/>
              <w:rPr>
                <w:sz w:val="20"/>
                <w:szCs w:val="20"/>
                <w:color w:val="auto"/>
              </w:rPr>
            </w:pPr>
            <w:r>
              <w:rPr>
                <w:rFonts w:ascii="Arial" w:cs="Arial" w:eastAsia="Arial" w:hAnsi="Arial"/>
                <w:sz w:val="18"/>
                <w:szCs w:val="18"/>
                <w:color w:val="auto"/>
              </w:rPr>
              <w:t>15.9</w:t>
            </w: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w:t>
            </w:r>
          </w:p>
        </w:tc>
        <w:tc>
          <w:tcPr>
            <w:tcW w:w="9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56"/>
              <w:spacing w:after="0" w:line="202" w:lineRule="exact"/>
              <w:rPr>
                <w:sz w:val="20"/>
                <w:szCs w:val="20"/>
                <w:color w:val="auto"/>
              </w:rPr>
            </w:pPr>
            <w:r>
              <w:rPr>
                <w:rFonts w:ascii="Arial" w:cs="Arial" w:eastAsia="Arial" w:hAnsi="Arial"/>
                <w:sz w:val="18"/>
                <w:szCs w:val="18"/>
                <w:color w:val="auto"/>
              </w:rPr>
              <w:t>(24.9)</w:t>
            </w: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jc w:val="right"/>
              <w:ind w:right="317"/>
              <w:spacing w:after="0" w:line="202" w:lineRule="exact"/>
              <w:rPr>
                <w:sz w:val="20"/>
                <w:szCs w:val="20"/>
                <w:color w:val="auto"/>
              </w:rPr>
            </w:pPr>
            <w:r>
              <w:rPr>
                <w:rFonts w:ascii="Arial" w:cs="Arial" w:eastAsia="Arial" w:hAnsi="Arial"/>
                <w:sz w:val="18"/>
                <w:szCs w:val="18"/>
                <w:color w:val="auto"/>
              </w:rPr>
              <w:t>7.0</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(34.6)</w:t>
            </w:r>
          </w:p>
        </w:tc>
        <w:tc>
          <w:tcPr>
            <w:tcW w:w="960" w:type="dxa"/>
            <w:vAlign w:val="bottom"/>
          </w:tcPr>
          <w:p>
            <w:pPr>
              <w:spacing w:after="0"/>
              <w:rPr>
                <w:sz w:val="17"/>
                <w:szCs w:val="17"/>
                <w:color w:val="auto"/>
              </w:rPr>
            </w:pPr>
          </w:p>
        </w:tc>
        <w:tc>
          <w:tcPr>
            <w:tcW w:w="1100" w:type="dxa"/>
            <w:vAlign w:val="bottom"/>
          </w:tcPr>
          <w:p>
            <w:pPr>
              <w:jc w:val="right"/>
              <w:ind w:right="256"/>
              <w:spacing w:after="0" w:line="202" w:lineRule="exact"/>
              <w:rPr>
                <w:sz w:val="20"/>
                <w:szCs w:val="20"/>
                <w:color w:val="auto"/>
              </w:rPr>
            </w:pPr>
            <w:r>
              <w:rPr>
                <w:rFonts w:ascii="Arial" w:cs="Arial" w:eastAsia="Arial" w:hAnsi="Arial"/>
                <w:sz w:val="18"/>
                <w:szCs w:val="18"/>
                <w:color w:val="auto"/>
              </w:rPr>
              <w:t>(41.6)</w:t>
            </w: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 attributable to Home &amp; Security</w:t>
            </w: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17"/>
              <w:spacing w:after="0" w:line="202" w:lineRule="exact"/>
              <w:rPr>
                <w:sz w:val="20"/>
                <w:szCs w:val="20"/>
                <w:color w:val="auto"/>
              </w:rPr>
            </w:pPr>
            <w:r>
              <w:rPr>
                <w:rFonts w:ascii="Arial" w:cs="Arial" w:eastAsia="Arial" w:hAnsi="Arial"/>
                <w:sz w:val="18"/>
                <w:szCs w:val="18"/>
                <w:color w:val="auto"/>
              </w:rPr>
              <w:t>6.0</w:t>
            </w: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(35.6)</w:t>
            </w:r>
          </w:p>
        </w:tc>
        <w:tc>
          <w:tcPr>
            <w:tcW w:w="9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56"/>
              <w:spacing w:after="0" w:line="202" w:lineRule="exact"/>
              <w:rPr>
                <w:sz w:val="20"/>
                <w:szCs w:val="20"/>
                <w:color w:val="auto"/>
              </w:rPr>
            </w:pPr>
            <w:r>
              <w:rPr>
                <w:rFonts w:ascii="Arial" w:cs="Arial" w:eastAsia="Arial" w:hAnsi="Arial"/>
                <w:sz w:val="18"/>
                <w:szCs w:val="18"/>
                <w:color w:val="auto"/>
              </w:rPr>
              <w:t>(41.6)</w:t>
            </w:r>
          </w:p>
        </w:tc>
      </w:tr>
      <w:tr>
        <w:trPr>
          <w:trHeight w:val="210"/>
        </w:trPr>
        <w:tc>
          <w:tcPr>
            <w:tcW w:w="41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w w:val="99"/>
              </w:rPr>
              <w:t>Basic and diluted earnings (loss) per common share</w:t>
            </w:r>
          </w:p>
        </w:tc>
        <w:tc>
          <w:tcPr>
            <w:tcW w:w="1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17"/>
              <w:spacing w:after="0" w:line="202" w:lineRule="exact"/>
              <w:rPr>
                <w:sz w:val="20"/>
                <w:szCs w:val="20"/>
                <w:color w:val="auto"/>
              </w:rPr>
            </w:pPr>
            <w:r>
              <w:rPr>
                <w:rFonts w:ascii="Arial" w:cs="Arial" w:eastAsia="Arial" w:hAnsi="Arial"/>
                <w:sz w:val="18"/>
                <w:szCs w:val="18"/>
                <w:color w:val="auto"/>
              </w:rPr>
              <w:t>0.04</w:t>
            </w: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(0.23)</w:t>
            </w:r>
          </w:p>
        </w:tc>
        <w:tc>
          <w:tcPr>
            <w:tcW w:w="9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56"/>
              <w:spacing w:after="0" w:line="202" w:lineRule="exact"/>
              <w:rPr>
                <w:sz w:val="20"/>
                <w:szCs w:val="20"/>
                <w:color w:val="auto"/>
              </w:rPr>
            </w:pPr>
            <w:r>
              <w:rPr>
                <w:rFonts w:ascii="Arial" w:cs="Arial" w:eastAsia="Arial" w:hAnsi="Arial"/>
                <w:sz w:val="18"/>
                <w:szCs w:val="18"/>
                <w:color w:val="auto"/>
              </w:rPr>
              <w:t>(0.27)</w:t>
            </w:r>
          </w:p>
        </w:tc>
      </w:tr>
      <w:tr>
        <w:trPr>
          <w:trHeight w:val="203"/>
        </w:trPr>
        <w:tc>
          <w:tcPr>
            <w:tcW w:w="4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2"/>
          </w:tcPr>
          <w:p>
            <w:pPr>
              <w:spacing w:after="0"/>
              <w:rPr>
                <w:sz w:val="17"/>
                <w:szCs w:val="17"/>
                <w:color w:val="auto"/>
              </w:rPr>
            </w:pPr>
          </w:p>
        </w:tc>
        <w:tc>
          <w:tcPr>
            <w:tcW w:w="3580" w:type="dxa"/>
            <w:vAlign w:val="bottom"/>
            <w:tcBorders>
              <w:bottom w:val="single" w:sz="8" w:color="auto"/>
            </w:tcBorders>
            <w:gridSpan w:val="3"/>
          </w:tcPr>
          <w:p>
            <w:pPr>
              <w:spacing w:after="0"/>
              <w:rPr>
                <w:sz w:val="17"/>
                <w:szCs w:val="17"/>
                <w:color w:val="auto"/>
              </w:rPr>
            </w:pPr>
          </w:p>
        </w:tc>
      </w:tr>
      <w:tr>
        <w:trPr>
          <w:trHeight w:val="385"/>
        </w:trPr>
        <w:tc>
          <w:tcPr>
            <w:tcW w:w="41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1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2"/>
          </w:tcPr>
          <w:p>
            <w:pPr>
              <w:jc w:val="right"/>
              <w:ind w:right="277"/>
              <w:spacing w:after="0"/>
              <w:rPr>
                <w:sz w:val="20"/>
                <w:szCs w:val="20"/>
                <w:color w:val="auto"/>
              </w:rPr>
            </w:pPr>
            <w:r>
              <w:rPr>
                <w:rFonts w:ascii="Arial" w:cs="Arial" w:eastAsia="Arial" w:hAnsi="Arial"/>
                <w:sz w:val="14"/>
                <w:szCs w:val="14"/>
                <w:color w:val="auto"/>
              </w:rPr>
              <w:t>Year Ended December 31, 2010</w:t>
            </w:r>
          </w:p>
        </w:tc>
        <w:tc>
          <w:tcPr>
            <w:tcW w:w="358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color w:val="auto"/>
              </w:rPr>
              <w:t>Year Ended December 31, 2009</w:t>
            </w:r>
          </w:p>
        </w:tc>
      </w:tr>
      <w:tr>
        <w:trPr>
          <w:trHeight w:val="195"/>
        </w:trPr>
        <w:tc>
          <w:tcPr>
            <w:tcW w:w="4140" w:type="dxa"/>
            <w:vAlign w:val="bottom"/>
          </w:tcPr>
          <w:p>
            <w:pPr>
              <w:spacing w:after="0"/>
              <w:rPr>
                <w:sz w:val="16"/>
                <w:szCs w:val="16"/>
                <w:color w:val="auto"/>
              </w:rPr>
            </w:pPr>
          </w:p>
        </w:tc>
        <w:tc>
          <w:tcPr>
            <w:tcW w:w="1100" w:type="dxa"/>
            <w:vAlign w:val="bottom"/>
          </w:tcPr>
          <w:p>
            <w:pPr>
              <w:jc w:val="right"/>
              <w:ind w:right="236"/>
              <w:spacing w:after="0"/>
              <w:rPr>
                <w:sz w:val="20"/>
                <w:szCs w:val="20"/>
                <w:color w:val="auto"/>
              </w:rPr>
            </w:pPr>
            <w:r>
              <w:rPr>
                <w:rFonts w:ascii="Arial" w:cs="Arial" w:eastAsia="Arial" w:hAnsi="Arial"/>
                <w:sz w:val="14"/>
                <w:szCs w:val="14"/>
                <w:color w:val="auto"/>
              </w:rPr>
              <w:t>Previously</w:t>
            </w:r>
          </w:p>
        </w:tc>
        <w:tc>
          <w:tcPr>
            <w:tcW w:w="1260" w:type="dxa"/>
            <w:vAlign w:val="bottom"/>
          </w:tcPr>
          <w:p>
            <w:pPr>
              <w:spacing w:after="0"/>
              <w:rPr>
                <w:sz w:val="16"/>
                <w:szCs w:val="16"/>
                <w:color w:val="auto"/>
              </w:rPr>
            </w:pPr>
          </w:p>
        </w:tc>
        <w:tc>
          <w:tcPr>
            <w:tcW w:w="1340" w:type="dxa"/>
            <w:vAlign w:val="bottom"/>
          </w:tcPr>
          <w:p>
            <w:pPr>
              <w:jc w:val="right"/>
              <w:ind w:right="257"/>
              <w:spacing w:after="0"/>
              <w:rPr>
                <w:sz w:val="20"/>
                <w:szCs w:val="20"/>
                <w:color w:val="auto"/>
              </w:rPr>
            </w:pPr>
            <w:r>
              <w:rPr>
                <w:rFonts w:ascii="Arial" w:cs="Arial" w:eastAsia="Arial" w:hAnsi="Arial"/>
                <w:sz w:val="14"/>
                <w:szCs w:val="14"/>
                <w:color w:val="auto"/>
              </w:rPr>
              <w:t>Effect of</w:t>
            </w:r>
          </w:p>
        </w:tc>
        <w:tc>
          <w:tcPr>
            <w:tcW w:w="1520" w:type="dxa"/>
            <w:vAlign w:val="bottom"/>
          </w:tcPr>
          <w:p>
            <w:pPr>
              <w:jc w:val="right"/>
              <w:ind w:right="457"/>
              <w:spacing w:after="0"/>
              <w:rPr>
                <w:sz w:val="20"/>
                <w:szCs w:val="20"/>
                <w:color w:val="auto"/>
              </w:rPr>
            </w:pPr>
            <w:r>
              <w:rPr>
                <w:rFonts w:ascii="Arial" w:cs="Arial" w:eastAsia="Arial" w:hAnsi="Arial"/>
                <w:sz w:val="14"/>
                <w:szCs w:val="14"/>
                <w:color w:val="auto"/>
              </w:rPr>
              <w:t>Previously</w:t>
            </w:r>
          </w:p>
        </w:tc>
        <w:tc>
          <w:tcPr>
            <w:tcW w:w="960" w:type="dxa"/>
            <w:vAlign w:val="bottom"/>
          </w:tcPr>
          <w:p>
            <w:pPr>
              <w:spacing w:after="0"/>
              <w:rPr>
                <w:sz w:val="16"/>
                <w:szCs w:val="16"/>
                <w:color w:val="auto"/>
              </w:rPr>
            </w:pPr>
          </w:p>
        </w:tc>
        <w:tc>
          <w:tcPr>
            <w:tcW w:w="1100" w:type="dxa"/>
            <w:vAlign w:val="bottom"/>
          </w:tcPr>
          <w:p>
            <w:pPr>
              <w:jc w:val="right"/>
              <w:ind w:right="196"/>
              <w:spacing w:after="0"/>
              <w:rPr>
                <w:sz w:val="20"/>
                <w:szCs w:val="20"/>
                <w:color w:val="auto"/>
              </w:rPr>
            </w:pPr>
            <w:r>
              <w:rPr>
                <w:rFonts w:ascii="Arial" w:cs="Arial" w:eastAsia="Arial" w:hAnsi="Arial"/>
                <w:sz w:val="14"/>
                <w:szCs w:val="14"/>
                <w:color w:val="auto"/>
              </w:rPr>
              <w:t>Effect of</w:t>
            </w:r>
          </w:p>
        </w:tc>
      </w:tr>
      <w:tr>
        <w:trPr>
          <w:trHeight w:val="149"/>
        </w:trPr>
        <w:tc>
          <w:tcPr>
            <w:tcW w:w="4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36"/>
              <w:spacing w:after="0" w:line="149" w:lineRule="exact"/>
              <w:rPr>
                <w:sz w:val="20"/>
                <w:szCs w:val="20"/>
                <w:color w:val="auto"/>
              </w:rPr>
            </w:pPr>
            <w:r>
              <w:rPr>
                <w:rFonts w:ascii="Arial" w:cs="Arial" w:eastAsia="Arial" w:hAnsi="Arial"/>
                <w:sz w:val="14"/>
                <w:szCs w:val="14"/>
                <w:color w:val="auto"/>
              </w:rPr>
              <w:t>Reported</w:t>
            </w:r>
          </w:p>
        </w:tc>
        <w:tc>
          <w:tcPr>
            <w:tcW w:w="1260" w:type="dxa"/>
            <w:vAlign w:val="bottom"/>
            <w:tcBorders>
              <w:bottom w:val="single" w:sz="8" w:color="auto"/>
            </w:tcBorders>
          </w:tcPr>
          <w:p>
            <w:pPr>
              <w:jc w:val="right"/>
              <w:ind w:right="156"/>
              <w:spacing w:after="0" w:line="149" w:lineRule="exact"/>
              <w:rPr>
                <w:sz w:val="20"/>
                <w:szCs w:val="20"/>
                <w:color w:val="auto"/>
              </w:rPr>
            </w:pPr>
            <w:r>
              <w:rPr>
                <w:rFonts w:ascii="Arial" w:cs="Arial" w:eastAsia="Arial" w:hAnsi="Arial"/>
                <w:sz w:val="14"/>
                <w:szCs w:val="14"/>
                <w:color w:val="auto"/>
              </w:rPr>
              <w:t>Revised</w:t>
            </w:r>
          </w:p>
        </w:tc>
        <w:tc>
          <w:tcPr>
            <w:tcW w:w="1340" w:type="dxa"/>
            <w:vAlign w:val="bottom"/>
            <w:tcBorders>
              <w:bottom w:val="single" w:sz="8" w:color="auto"/>
            </w:tcBorders>
          </w:tcPr>
          <w:p>
            <w:pPr>
              <w:jc w:val="right"/>
              <w:ind w:right="257"/>
              <w:spacing w:after="0" w:line="149" w:lineRule="exact"/>
              <w:rPr>
                <w:sz w:val="20"/>
                <w:szCs w:val="20"/>
                <w:color w:val="auto"/>
              </w:rPr>
            </w:pPr>
            <w:r>
              <w:rPr>
                <w:rFonts w:ascii="Arial" w:cs="Arial" w:eastAsia="Arial" w:hAnsi="Arial"/>
                <w:sz w:val="14"/>
                <w:szCs w:val="14"/>
                <w:color w:val="auto"/>
              </w:rPr>
              <w:t>Change</w:t>
            </w:r>
          </w:p>
        </w:tc>
        <w:tc>
          <w:tcPr>
            <w:tcW w:w="1520" w:type="dxa"/>
            <w:vAlign w:val="bottom"/>
            <w:tcBorders>
              <w:bottom w:val="single" w:sz="8" w:color="auto"/>
            </w:tcBorders>
          </w:tcPr>
          <w:p>
            <w:pPr>
              <w:jc w:val="right"/>
              <w:ind w:right="457"/>
              <w:spacing w:after="0" w:line="149" w:lineRule="exact"/>
              <w:rPr>
                <w:sz w:val="20"/>
                <w:szCs w:val="20"/>
                <w:color w:val="auto"/>
              </w:rPr>
            </w:pPr>
            <w:r>
              <w:rPr>
                <w:rFonts w:ascii="Arial" w:cs="Arial" w:eastAsia="Arial" w:hAnsi="Arial"/>
                <w:sz w:val="14"/>
                <w:szCs w:val="14"/>
                <w:color w:val="auto"/>
              </w:rPr>
              <w:t>Reported</w:t>
            </w:r>
          </w:p>
        </w:tc>
        <w:tc>
          <w:tcPr>
            <w:tcW w:w="960" w:type="dxa"/>
            <w:vAlign w:val="bottom"/>
            <w:tcBorders>
              <w:bottom w:val="single" w:sz="8" w:color="auto"/>
            </w:tcBorders>
          </w:tcPr>
          <w:p>
            <w:pPr>
              <w:jc w:val="right"/>
              <w:ind w:right="154"/>
              <w:spacing w:after="0" w:line="149" w:lineRule="exact"/>
              <w:rPr>
                <w:sz w:val="20"/>
                <w:szCs w:val="20"/>
                <w:color w:val="auto"/>
              </w:rPr>
            </w:pPr>
            <w:r>
              <w:rPr>
                <w:rFonts w:ascii="Arial" w:cs="Arial" w:eastAsia="Arial" w:hAnsi="Arial"/>
                <w:sz w:val="14"/>
                <w:szCs w:val="14"/>
                <w:color w:val="auto"/>
              </w:rPr>
              <w:t>Revised</w:t>
            </w:r>
          </w:p>
        </w:tc>
        <w:tc>
          <w:tcPr>
            <w:tcW w:w="1100" w:type="dxa"/>
            <w:vAlign w:val="bottom"/>
            <w:tcBorders>
              <w:bottom w:val="single" w:sz="8" w:color="auto"/>
            </w:tcBorders>
          </w:tcPr>
          <w:p>
            <w:pPr>
              <w:jc w:val="right"/>
              <w:ind w:right="196"/>
              <w:spacing w:after="0" w:line="149" w:lineRule="exact"/>
              <w:rPr>
                <w:sz w:val="20"/>
                <w:szCs w:val="20"/>
                <w:color w:val="auto"/>
              </w:rPr>
            </w:pPr>
            <w:r>
              <w:rPr>
                <w:rFonts w:ascii="Arial" w:cs="Arial" w:eastAsia="Arial" w:hAnsi="Arial"/>
                <w:sz w:val="14"/>
                <w:szCs w:val="14"/>
                <w:color w:val="auto"/>
              </w:rPr>
              <w:t>Change</w:t>
            </w:r>
          </w:p>
        </w:tc>
      </w:tr>
      <w:tr>
        <w:trPr>
          <w:trHeight w:val="196"/>
        </w:trPr>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 of products sold</w:t>
            </w:r>
          </w:p>
        </w:tc>
        <w:tc>
          <w:tcPr>
            <w:tcW w:w="1100" w:type="dxa"/>
            <w:vAlign w:val="bottom"/>
            <w:shd w:val="clear" w:color="auto" w:fill="CCEEFF"/>
          </w:tcPr>
          <w:p>
            <w:pPr>
              <w:jc w:val="right"/>
              <w:ind w:right="236"/>
              <w:spacing w:after="0" w:line="196" w:lineRule="exact"/>
              <w:rPr>
                <w:sz w:val="20"/>
                <w:szCs w:val="20"/>
                <w:color w:val="auto"/>
              </w:rPr>
            </w:pPr>
            <w:r>
              <w:rPr>
                <w:rFonts w:ascii="Arial" w:cs="Arial" w:eastAsia="Arial" w:hAnsi="Arial"/>
                <w:sz w:val="18"/>
                <w:szCs w:val="18"/>
                <w:color w:val="auto"/>
              </w:rPr>
              <w:t>$2,182.4</w:t>
            </w:r>
          </w:p>
        </w:tc>
        <w:tc>
          <w:tcPr>
            <w:tcW w:w="1260" w:type="dxa"/>
            <w:vAlign w:val="bottom"/>
            <w:shd w:val="clear" w:color="auto" w:fill="CCEEFF"/>
          </w:tcPr>
          <w:p>
            <w:pPr>
              <w:jc w:val="right"/>
              <w:ind w:right="156"/>
              <w:spacing w:after="0" w:line="196" w:lineRule="exact"/>
              <w:rPr>
                <w:sz w:val="20"/>
                <w:szCs w:val="20"/>
                <w:color w:val="auto"/>
              </w:rPr>
            </w:pPr>
            <w:r>
              <w:rPr>
                <w:rFonts w:ascii="Arial" w:cs="Arial" w:eastAsia="Arial" w:hAnsi="Arial"/>
                <w:sz w:val="18"/>
                <w:szCs w:val="18"/>
                <w:color w:val="auto"/>
              </w:rPr>
              <w:t>$2,177.1</w:t>
            </w:r>
          </w:p>
        </w:tc>
        <w:tc>
          <w:tcPr>
            <w:tcW w:w="1340" w:type="dxa"/>
            <w:vAlign w:val="bottom"/>
            <w:shd w:val="clear" w:color="auto" w:fill="CCEEFF"/>
          </w:tcPr>
          <w:p>
            <w:pPr>
              <w:jc w:val="right"/>
              <w:ind w:right="217"/>
              <w:spacing w:after="0" w:line="196" w:lineRule="exact"/>
              <w:rPr>
                <w:sz w:val="20"/>
                <w:szCs w:val="20"/>
                <w:color w:val="auto"/>
              </w:rPr>
            </w:pPr>
            <w:r>
              <w:rPr>
                <w:rFonts w:ascii="Arial" w:cs="Arial" w:eastAsia="Arial" w:hAnsi="Arial"/>
                <w:sz w:val="18"/>
                <w:szCs w:val="18"/>
                <w:color w:val="auto"/>
              </w:rPr>
              <w:t>$ (5.3)</w:t>
            </w:r>
          </w:p>
        </w:tc>
        <w:tc>
          <w:tcPr>
            <w:tcW w:w="1520" w:type="dxa"/>
            <w:vAlign w:val="bottom"/>
            <w:shd w:val="clear" w:color="auto" w:fill="CCEEFF"/>
          </w:tcPr>
          <w:p>
            <w:pPr>
              <w:jc w:val="right"/>
              <w:ind w:right="457"/>
              <w:spacing w:after="0" w:line="196" w:lineRule="exact"/>
              <w:rPr>
                <w:sz w:val="20"/>
                <w:szCs w:val="20"/>
                <w:color w:val="auto"/>
              </w:rPr>
            </w:pPr>
            <w:r>
              <w:rPr>
                <w:rFonts w:ascii="Arial" w:cs="Arial" w:eastAsia="Arial" w:hAnsi="Arial"/>
                <w:sz w:val="18"/>
                <w:szCs w:val="18"/>
                <w:color w:val="auto"/>
              </w:rPr>
              <w:t>$2,104.3</w:t>
            </w:r>
          </w:p>
        </w:tc>
        <w:tc>
          <w:tcPr>
            <w:tcW w:w="960" w:type="dxa"/>
            <w:vAlign w:val="bottom"/>
            <w:shd w:val="clear" w:color="auto" w:fill="CCEEFF"/>
          </w:tcPr>
          <w:p>
            <w:pPr>
              <w:jc w:val="right"/>
              <w:ind w:right="154"/>
              <w:spacing w:after="0" w:line="196" w:lineRule="exact"/>
              <w:rPr>
                <w:sz w:val="20"/>
                <w:szCs w:val="20"/>
                <w:color w:val="auto"/>
              </w:rPr>
            </w:pPr>
            <w:r>
              <w:rPr>
                <w:rFonts w:ascii="Arial" w:cs="Arial" w:eastAsia="Arial" w:hAnsi="Arial"/>
                <w:sz w:val="18"/>
                <w:szCs w:val="18"/>
                <w:color w:val="auto"/>
                <w:w w:val="99"/>
              </w:rPr>
              <w:t>$2,101.7</w:t>
            </w:r>
          </w:p>
        </w:tc>
        <w:tc>
          <w:tcPr>
            <w:tcW w:w="1100" w:type="dxa"/>
            <w:vAlign w:val="bottom"/>
            <w:shd w:val="clear" w:color="auto" w:fill="CCEEFF"/>
          </w:tcPr>
          <w:p>
            <w:pPr>
              <w:jc w:val="right"/>
              <w:ind w:right="136"/>
              <w:spacing w:after="0" w:line="196" w:lineRule="exact"/>
              <w:rPr>
                <w:sz w:val="20"/>
                <w:szCs w:val="20"/>
                <w:color w:val="auto"/>
              </w:rPr>
            </w:pPr>
            <w:r>
              <w:rPr>
                <w:rFonts w:ascii="Arial" w:cs="Arial" w:eastAsia="Arial" w:hAnsi="Arial"/>
                <w:sz w:val="18"/>
                <w:szCs w:val="18"/>
                <w:color w:val="auto"/>
              </w:rPr>
              <w:t>$ (2.6)</w:t>
            </w: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100" w:type="dxa"/>
            <w:vAlign w:val="bottom"/>
          </w:tcPr>
          <w:p>
            <w:pPr>
              <w:jc w:val="right"/>
              <w:ind w:right="236"/>
              <w:spacing w:after="0" w:line="202" w:lineRule="exact"/>
              <w:rPr>
                <w:sz w:val="20"/>
                <w:szCs w:val="20"/>
                <w:color w:val="auto"/>
              </w:rPr>
            </w:pPr>
            <w:r>
              <w:rPr>
                <w:rFonts w:ascii="Arial" w:cs="Arial" w:eastAsia="Arial" w:hAnsi="Arial"/>
                <w:sz w:val="18"/>
                <w:szCs w:val="18"/>
                <w:color w:val="auto"/>
              </w:rPr>
              <w:t>839.6</w:t>
            </w:r>
          </w:p>
        </w:tc>
        <w:tc>
          <w:tcPr>
            <w:tcW w:w="126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834.3</w:t>
            </w:r>
          </w:p>
        </w:tc>
        <w:tc>
          <w:tcPr>
            <w:tcW w:w="1340" w:type="dxa"/>
            <w:vAlign w:val="bottom"/>
          </w:tcPr>
          <w:p>
            <w:pPr>
              <w:jc w:val="right"/>
              <w:ind w:right="217"/>
              <w:spacing w:after="0" w:line="202" w:lineRule="exact"/>
              <w:rPr>
                <w:sz w:val="20"/>
                <w:szCs w:val="20"/>
                <w:color w:val="auto"/>
              </w:rPr>
            </w:pPr>
            <w:r>
              <w:rPr>
                <w:rFonts w:ascii="Arial" w:cs="Arial" w:eastAsia="Arial" w:hAnsi="Arial"/>
                <w:sz w:val="18"/>
                <w:szCs w:val="18"/>
                <w:color w:val="auto"/>
              </w:rPr>
              <w:t>(5.3)</w:t>
            </w:r>
          </w:p>
        </w:tc>
        <w:tc>
          <w:tcPr>
            <w:tcW w:w="1520" w:type="dxa"/>
            <w:vAlign w:val="bottom"/>
          </w:tcPr>
          <w:p>
            <w:pPr>
              <w:jc w:val="right"/>
              <w:ind w:right="457"/>
              <w:spacing w:after="0" w:line="202" w:lineRule="exact"/>
              <w:rPr>
                <w:sz w:val="20"/>
                <w:szCs w:val="20"/>
                <w:color w:val="auto"/>
              </w:rPr>
            </w:pPr>
            <w:r>
              <w:rPr>
                <w:rFonts w:ascii="Arial" w:cs="Arial" w:eastAsia="Arial" w:hAnsi="Arial"/>
                <w:sz w:val="18"/>
                <w:szCs w:val="18"/>
                <w:color w:val="auto"/>
              </w:rPr>
              <w:t>815.2</w:t>
            </w:r>
          </w:p>
        </w:tc>
        <w:tc>
          <w:tcPr>
            <w:tcW w:w="96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813.1</w:t>
            </w:r>
          </w:p>
        </w:tc>
        <w:tc>
          <w:tcPr>
            <w:tcW w:w="110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(2.1)</w:t>
            </w: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100" w:type="dxa"/>
            <w:vAlign w:val="bottom"/>
            <w:shd w:val="clear" w:color="auto" w:fill="CCEEFF"/>
          </w:tcPr>
          <w:p>
            <w:pPr>
              <w:jc w:val="right"/>
              <w:ind w:right="236"/>
              <w:spacing w:after="0" w:line="202" w:lineRule="exact"/>
              <w:rPr>
                <w:sz w:val="20"/>
                <w:szCs w:val="20"/>
                <w:color w:val="auto"/>
              </w:rPr>
            </w:pPr>
            <w:r>
              <w:rPr>
                <w:rFonts w:ascii="Arial" w:cs="Arial" w:eastAsia="Arial" w:hAnsi="Arial"/>
                <w:sz w:val="18"/>
                <w:szCs w:val="18"/>
                <w:color w:val="auto"/>
              </w:rPr>
              <w:t>187.8</w:t>
            </w:r>
          </w:p>
        </w:tc>
        <w:tc>
          <w:tcPr>
            <w:tcW w:w="126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198.4</w:t>
            </w:r>
          </w:p>
        </w:tc>
        <w:tc>
          <w:tcPr>
            <w:tcW w:w="1340" w:type="dxa"/>
            <w:vAlign w:val="bottom"/>
            <w:shd w:val="clear" w:color="auto" w:fill="CCEEFF"/>
          </w:tcPr>
          <w:p>
            <w:pPr>
              <w:jc w:val="right"/>
              <w:ind w:right="257"/>
              <w:spacing w:after="0" w:line="202" w:lineRule="exact"/>
              <w:rPr>
                <w:sz w:val="20"/>
                <w:szCs w:val="20"/>
                <w:color w:val="auto"/>
              </w:rPr>
            </w:pPr>
            <w:r>
              <w:rPr>
                <w:rFonts w:ascii="Arial" w:cs="Arial" w:eastAsia="Arial" w:hAnsi="Arial"/>
                <w:sz w:val="18"/>
                <w:szCs w:val="18"/>
                <w:color w:val="auto"/>
              </w:rPr>
              <w:t>10.6</w:t>
            </w:r>
          </w:p>
        </w:tc>
        <w:tc>
          <w:tcPr>
            <w:tcW w:w="1520" w:type="dxa"/>
            <w:vAlign w:val="bottom"/>
            <w:shd w:val="clear" w:color="auto" w:fill="CCEEFF"/>
          </w:tcPr>
          <w:p>
            <w:pPr>
              <w:jc w:val="right"/>
              <w:ind w:right="457"/>
              <w:spacing w:after="0" w:line="202" w:lineRule="exact"/>
              <w:rPr>
                <w:sz w:val="20"/>
                <w:szCs w:val="20"/>
                <w:color w:val="auto"/>
              </w:rPr>
            </w:pPr>
            <w:r>
              <w:rPr>
                <w:rFonts w:ascii="Arial" w:cs="Arial" w:eastAsia="Arial" w:hAnsi="Arial"/>
                <w:sz w:val="18"/>
                <w:szCs w:val="18"/>
                <w:color w:val="auto"/>
              </w:rPr>
              <w:t>49.4</w:t>
            </w:r>
          </w:p>
        </w:tc>
        <w:tc>
          <w:tcPr>
            <w:tcW w:w="96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54.1</w:t>
            </w:r>
          </w:p>
        </w:tc>
        <w:tc>
          <w:tcPr>
            <w:tcW w:w="1100" w:type="dxa"/>
            <w:vAlign w:val="bottom"/>
            <w:shd w:val="clear" w:color="auto" w:fill="CCEEFF"/>
          </w:tcPr>
          <w:p>
            <w:pPr>
              <w:jc w:val="right"/>
              <w:ind w:right="196"/>
              <w:spacing w:after="0" w:line="202" w:lineRule="exact"/>
              <w:rPr>
                <w:sz w:val="20"/>
                <w:szCs w:val="20"/>
                <w:color w:val="auto"/>
              </w:rPr>
            </w:pPr>
            <w:r>
              <w:rPr>
                <w:rFonts w:ascii="Arial" w:cs="Arial" w:eastAsia="Arial" w:hAnsi="Arial"/>
                <w:sz w:val="18"/>
                <w:szCs w:val="18"/>
                <w:color w:val="auto"/>
              </w:rPr>
              <w:t>4.7</w:t>
            </w: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Income (loss) before income taxes</w:t>
            </w:r>
          </w:p>
        </w:tc>
        <w:tc>
          <w:tcPr>
            <w:tcW w:w="1100" w:type="dxa"/>
            <w:vAlign w:val="bottom"/>
          </w:tcPr>
          <w:p>
            <w:pPr>
              <w:jc w:val="right"/>
              <w:ind w:right="236"/>
              <w:spacing w:after="0" w:line="202" w:lineRule="exact"/>
              <w:rPr>
                <w:sz w:val="20"/>
                <w:szCs w:val="20"/>
                <w:color w:val="auto"/>
              </w:rPr>
            </w:pPr>
            <w:r>
              <w:rPr>
                <w:rFonts w:ascii="Arial" w:cs="Arial" w:eastAsia="Arial" w:hAnsi="Arial"/>
                <w:sz w:val="18"/>
                <w:szCs w:val="18"/>
                <w:color w:val="auto"/>
              </w:rPr>
              <w:t>72.5</w:t>
            </w:r>
          </w:p>
        </w:tc>
        <w:tc>
          <w:tcPr>
            <w:tcW w:w="126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83.1</w:t>
            </w:r>
          </w:p>
        </w:tc>
        <w:tc>
          <w:tcPr>
            <w:tcW w:w="1340" w:type="dxa"/>
            <w:vAlign w:val="bottom"/>
          </w:tcPr>
          <w:p>
            <w:pPr>
              <w:jc w:val="right"/>
              <w:ind w:right="257"/>
              <w:spacing w:after="0" w:line="202" w:lineRule="exact"/>
              <w:rPr>
                <w:sz w:val="20"/>
                <w:szCs w:val="20"/>
                <w:color w:val="auto"/>
              </w:rPr>
            </w:pPr>
            <w:r>
              <w:rPr>
                <w:rFonts w:ascii="Arial" w:cs="Arial" w:eastAsia="Arial" w:hAnsi="Arial"/>
                <w:sz w:val="18"/>
                <w:szCs w:val="18"/>
                <w:color w:val="auto"/>
              </w:rPr>
              <w:t>10.6</w:t>
            </w:r>
          </w:p>
        </w:tc>
        <w:tc>
          <w:tcPr>
            <w:tcW w:w="1520" w:type="dxa"/>
            <w:vAlign w:val="bottom"/>
          </w:tcPr>
          <w:p>
            <w:pPr>
              <w:jc w:val="right"/>
              <w:ind w:right="397"/>
              <w:spacing w:after="0" w:line="202" w:lineRule="exact"/>
              <w:rPr>
                <w:sz w:val="20"/>
                <w:szCs w:val="20"/>
                <w:color w:val="auto"/>
              </w:rPr>
            </w:pPr>
            <w:r>
              <w:rPr>
                <w:rFonts w:ascii="Arial" w:cs="Arial" w:eastAsia="Arial" w:hAnsi="Arial"/>
                <w:sz w:val="18"/>
                <w:szCs w:val="18"/>
                <w:color w:val="auto"/>
              </w:rPr>
              <w:t>(34.8)</w:t>
            </w:r>
          </w:p>
        </w:tc>
        <w:tc>
          <w:tcPr>
            <w:tcW w:w="960" w:type="dxa"/>
            <w:vAlign w:val="bottom"/>
          </w:tcPr>
          <w:p>
            <w:pPr>
              <w:jc w:val="right"/>
              <w:ind w:right="94"/>
              <w:spacing w:after="0" w:line="202" w:lineRule="exact"/>
              <w:rPr>
                <w:sz w:val="20"/>
                <w:szCs w:val="20"/>
                <w:color w:val="auto"/>
              </w:rPr>
            </w:pPr>
            <w:r>
              <w:rPr>
                <w:rFonts w:ascii="Arial" w:cs="Arial" w:eastAsia="Arial" w:hAnsi="Arial"/>
                <w:sz w:val="18"/>
                <w:szCs w:val="18"/>
                <w:color w:val="auto"/>
              </w:rPr>
              <w:t>(30.1)</w:t>
            </w:r>
          </w:p>
        </w:tc>
        <w:tc>
          <w:tcPr>
            <w:tcW w:w="1100" w:type="dxa"/>
            <w:vAlign w:val="bottom"/>
          </w:tcPr>
          <w:p>
            <w:pPr>
              <w:jc w:val="right"/>
              <w:ind w:right="196"/>
              <w:spacing w:after="0" w:line="202" w:lineRule="exact"/>
              <w:rPr>
                <w:sz w:val="20"/>
                <w:szCs w:val="20"/>
                <w:color w:val="auto"/>
              </w:rPr>
            </w:pPr>
            <w:r>
              <w:rPr>
                <w:rFonts w:ascii="Arial" w:cs="Arial" w:eastAsia="Arial" w:hAnsi="Arial"/>
                <w:sz w:val="18"/>
                <w:szCs w:val="18"/>
                <w:color w:val="auto"/>
              </w:rPr>
              <w:t>4.7</w:t>
            </w: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provision</w:t>
            </w:r>
          </w:p>
        </w:tc>
        <w:tc>
          <w:tcPr>
            <w:tcW w:w="1100" w:type="dxa"/>
            <w:vAlign w:val="bottom"/>
            <w:shd w:val="clear" w:color="auto" w:fill="CCEEFF"/>
          </w:tcPr>
          <w:p>
            <w:pPr>
              <w:jc w:val="right"/>
              <w:ind w:right="236"/>
              <w:spacing w:after="0" w:line="202" w:lineRule="exact"/>
              <w:rPr>
                <w:sz w:val="20"/>
                <w:szCs w:val="20"/>
                <w:color w:val="auto"/>
              </w:rPr>
            </w:pPr>
            <w:r>
              <w:rPr>
                <w:rFonts w:ascii="Arial" w:cs="Arial" w:eastAsia="Arial" w:hAnsi="Arial"/>
                <w:sz w:val="18"/>
                <w:szCs w:val="18"/>
                <w:color w:val="auto"/>
              </w:rPr>
              <w:t>14.1</w:t>
            </w:r>
          </w:p>
        </w:tc>
        <w:tc>
          <w:tcPr>
            <w:tcW w:w="126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18.1</w:t>
            </w:r>
          </w:p>
        </w:tc>
        <w:tc>
          <w:tcPr>
            <w:tcW w:w="1340" w:type="dxa"/>
            <w:vAlign w:val="bottom"/>
            <w:shd w:val="clear" w:color="auto" w:fill="CCEEFF"/>
          </w:tcPr>
          <w:p>
            <w:pPr>
              <w:jc w:val="right"/>
              <w:ind w:right="257"/>
              <w:spacing w:after="0" w:line="202" w:lineRule="exact"/>
              <w:rPr>
                <w:sz w:val="20"/>
                <w:szCs w:val="20"/>
                <w:color w:val="auto"/>
              </w:rPr>
            </w:pPr>
            <w:r>
              <w:rPr>
                <w:rFonts w:ascii="Arial" w:cs="Arial" w:eastAsia="Arial" w:hAnsi="Arial"/>
                <w:sz w:val="18"/>
                <w:szCs w:val="18"/>
                <w:color w:val="auto"/>
              </w:rPr>
              <w:t>4.0</w:t>
            </w:r>
          </w:p>
        </w:tc>
        <w:tc>
          <w:tcPr>
            <w:tcW w:w="1520" w:type="dxa"/>
            <w:vAlign w:val="bottom"/>
            <w:shd w:val="clear" w:color="auto" w:fill="CCEEFF"/>
          </w:tcPr>
          <w:p>
            <w:pPr>
              <w:jc w:val="right"/>
              <w:ind w:right="457"/>
              <w:spacing w:after="0" w:line="202" w:lineRule="exact"/>
              <w:rPr>
                <w:sz w:val="20"/>
                <w:szCs w:val="20"/>
                <w:color w:val="auto"/>
              </w:rPr>
            </w:pPr>
            <w:r>
              <w:rPr>
                <w:rFonts w:ascii="Arial" w:cs="Arial" w:eastAsia="Arial" w:hAnsi="Arial"/>
                <w:sz w:val="18"/>
                <w:szCs w:val="18"/>
                <w:color w:val="auto"/>
              </w:rPr>
              <w:t>6.3</w:t>
            </w:r>
          </w:p>
        </w:tc>
        <w:tc>
          <w:tcPr>
            <w:tcW w:w="96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8.1</w:t>
            </w:r>
          </w:p>
        </w:tc>
        <w:tc>
          <w:tcPr>
            <w:tcW w:w="1100" w:type="dxa"/>
            <w:vAlign w:val="bottom"/>
            <w:shd w:val="clear" w:color="auto" w:fill="CCEEFF"/>
          </w:tcPr>
          <w:p>
            <w:pPr>
              <w:jc w:val="right"/>
              <w:ind w:right="196"/>
              <w:spacing w:after="0" w:line="202" w:lineRule="exact"/>
              <w:rPr>
                <w:sz w:val="20"/>
                <w:szCs w:val="20"/>
                <w:color w:val="auto"/>
              </w:rPr>
            </w:pPr>
            <w:r>
              <w:rPr>
                <w:rFonts w:ascii="Arial" w:cs="Arial" w:eastAsia="Arial" w:hAnsi="Arial"/>
                <w:sz w:val="18"/>
                <w:szCs w:val="18"/>
                <w:color w:val="auto"/>
              </w:rPr>
              <w:t>1.8</w:t>
            </w: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1100" w:type="dxa"/>
            <w:vAlign w:val="bottom"/>
          </w:tcPr>
          <w:p>
            <w:pPr>
              <w:jc w:val="right"/>
              <w:ind w:right="236"/>
              <w:spacing w:after="0" w:line="202" w:lineRule="exact"/>
              <w:rPr>
                <w:sz w:val="20"/>
                <w:szCs w:val="20"/>
                <w:color w:val="auto"/>
              </w:rPr>
            </w:pPr>
            <w:r>
              <w:rPr>
                <w:rFonts w:ascii="Arial" w:cs="Arial" w:eastAsia="Arial" w:hAnsi="Arial"/>
                <w:sz w:val="18"/>
                <w:szCs w:val="18"/>
                <w:color w:val="auto"/>
              </w:rPr>
              <w:t>58.4</w:t>
            </w:r>
          </w:p>
        </w:tc>
        <w:tc>
          <w:tcPr>
            <w:tcW w:w="126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65.0</w:t>
            </w:r>
          </w:p>
        </w:tc>
        <w:tc>
          <w:tcPr>
            <w:tcW w:w="1340" w:type="dxa"/>
            <w:vAlign w:val="bottom"/>
          </w:tcPr>
          <w:p>
            <w:pPr>
              <w:jc w:val="right"/>
              <w:ind w:right="257"/>
              <w:spacing w:after="0" w:line="202" w:lineRule="exact"/>
              <w:rPr>
                <w:sz w:val="20"/>
                <w:szCs w:val="20"/>
                <w:color w:val="auto"/>
              </w:rPr>
            </w:pPr>
            <w:r>
              <w:rPr>
                <w:rFonts w:ascii="Arial" w:cs="Arial" w:eastAsia="Arial" w:hAnsi="Arial"/>
                <w:sz w:val="18"/>
                <w:szCs w:val="18"/>
                <w:color w:val="auto"/>
              </w:rPr>
              <w:t>6.6</w:t>
            </w:r>
          </w:p>
        </w:tc>
        <w:tc>
          <w:tcPr>
            <w:tcW w:w="1520" w:type="dxa"/>
            <w:vAlign w:val="bottom"/>
          </w:tcPr>
          <w:p>
            <w:pPr>
              <w:jc w:val="right"/>
              <w:ind w:right="397"/>
              <w:spacing w:after="0" w:line="202" w:lineRule="exact"/>
              <w:rPr>
                <w:sz w:val="20"/>
                <w:szCs w:val="20"/>
                <w:color w:val="auto"/>
              </w:rPr>
            </w:pPr>
            <w:r>
              <w:rPr>
                <w:rFonts w:ascii="Arial" w:cs="Arial" w:eastAsia="Arial" w:hAnsi="Arial"/>
                <w:sz w:val="18"/>
                <w:szCs w:val="18"/>
                <w:color w:val="auto"/>
              </w:rPr>
              <w:t>(41.1)</w:t>
            </w:r>
          </w:p>
        </w:tc>
        <w:tc>
          <w:tcPr>
            <w:tcW w:w="960" w:type="dxa"/>
            <w:vAlign w:val="bottom"/>
          </w:tcPr>
          <w:p>
            <w:pPr>
              <w:jc w:val="right"/>
              <w:ind w:right="94"/>
              <w:spacing w:after="0" w:line="202" w:lineRule="exact"/>
              <w:rPr>
                <w:sz w:val="20"/>
                <w:szCs w:val="20"/>
                <w:color w:val="auto"/>
              </w:rPr>
            </w:pPr>
            <w:r>
              <w:rPr>
                <w:rFonts w:ascii="Arial" w:cs="Arial" w:eastAsia="Arial" w:hAnsi="Arial"/>
                <w:sz w:val="18"/>
                <w:szCs w:val="18"/>
                <w:color w:val="auto"/>
              </w:rPr>
              <w:t>(38.2)</w:t>
            </w:r>
          </w:p>
        </w:tc>
        <w:tc>
          <w:tcPr>
            <w:tcW w:w="1100" w:type="dxa"/>
            <w:vAlign w:val="bottom"/>
          </w:tcPr>
          <w:p>
            <w:pPr>
              <w:jc w:val="right"/>
              <w:ind w:right="196"/>
              <w:spacing w:after="0" w:line="202" w:lineRule="exact"/>
              <w:rPr>
                <w:sz w:val="20"/>
                <w:szCs w:val="20"/>
                <w:color w:val="auto"/>
              </w:rPr>
            </w:pPr>
            <w:r>
              <w:rPr>
                <w:rFonts w:ascii="Arial" w:cs="Arial" w:eastAsia="Arial" w:hAnsi="Arial"/>
                <w:sz w:val="18"/>
                <w:szCs w:val="18"/>
                <w:color w:val="auto"/>
              </w:rPr>
              <w:t>2.9</w:t>
            </w: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 attributable to Home &amp; Security</w:t>
            </w:r>
          </w:p>
        </w:tc>
        <w:tc>
          <w:tcPr>
            <w:tcW w:w="1100" w:type="dxa"/>
            <w:vAlign w:val="bottom"/>
            <w:shd w:val="clear" w:color="auto" w:fill="CCEEFF"/>
          </w:tcPr>
          <w:p>
            <w:pPr>
              <w:jc w:val="right"/>
              <w:ind w:right="236"/>
              <w:spacing w:after="0" w:line="202" w:lineRule="exact"/>
              <w:rPr>
                <w:sz w:val="20"/>
                <w:szCs w:val="20"/>
                <w:color w:val="auto"/>
              </w:rPr>
            </w:pPr>
            <w:r>
              <w:rPr>
                <w:rFonts w:ascii="Arial" w:cs="Arial" w:eastAsia="Arial" w:hAnsi="Arial"/>
                <w:sz w:val="18"/>
                <w:szCs w:val="18"/>
                <w:color w:val="auto"/>
              </w:rPr>
              <w:t>57.2</w:t>
            </w:r>
          </w:p>
        </w:tc>
        <w:tc>
          <w:tcPr>
            <w:tcW w:w="126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63.8</w:t>
            </w:r>
          </w:p>
        </w:tc>
        <w:tc>
          <w:tcPr>
            <w:tcW w:w="1340" w:type="dxa"/>
            <w:vAlign w:val="bottom"/>
            <w:shd w:val="clear" w:color="auto" w:fill="CCEEFF"/>
          </w:tcPr>
          <w:p>
            <w:pPr>
              <w:jc w:val="right"/>
              <w:ind w:right="257"/>
              <w:spacing w:after="0" w:line="202" w:lineRule="exact"/>
              <w:rPr>
                <w:sz w:val="20"/>
                <w:szCs w:val="20"/>
                <w:color w:val="auto"/>
              </w:rPr>
            </w:pPr>
            <w:r>
              <w:rPr>
                <w:rFonts w:ascii="Arial" w:cs="Arial" w:eastAsia="Arial" w:hAnsi="Arial"/>
                <w:sz w:val="18"/>
                <w:szCs w:val="18"/>
                <w:color w:val="auto"/>
              </w:rPr>
              <w:t>6.6</w:t>
            </w:r>
          </w:p>
        </w:tc>
        <w:tc>
          <w:tcPr>
            <w:tcW w:w="1520" w:type="dxa"/>
            <w:vAlign w:val="bottom"/>
            <w:shd w:val="clear" w:color="auto" w:fill="CCEEFF"/>
          </w:tcPr>
          <w:p>
            <w:pPr>
              <w:jc w:val="right"/>
              <w:ind w:right="397"/>
              <w:spacing w:after="0" w:line="202" w:lineRule="exact"/>
              <w:rPr>
                <w:sz w:val="20"/>
                <w:szCs w:val="20"/>
                <w:color w:val="auto"/>
              </w:rPr>
            </w:pPr>
            <w:r>
              <w:rPr>
                <w:rFonts w:ascii="Arial" w:cs="Arial" w:eastAsia="Arial" w:hAnsi="Arial"/>
                <w:sz w:val="18"/>
                <w:szCs w:val="18"/>
                <w:color w:val="auto"/>
              </w:rPr>
              <w:t>(41.9)</w:t>
            </w:r>
          </w:p>
        </w:tc>
        <w:tc>
          <w:tcPr>
            <w:tcW w:w="96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(39.0)</w:t>
            </w:r>
          </w:p>
        </w:tc>
        <w:tc>
          <w:tcPr>
            <w:tcW w:w="1100" w:type="dxa"/>
            <w:vAlign w:val="bottom"/>
            <w:shd w:val="clear" w:color="auto" w:fill="CCEEFF"/>
          </w:tcPr>
          <w:p>
            <w:pPr>
              <w:jc w:val="right"/>
              <w:ind w:right="196"/>
              <w:spacing w:after="0" w:line="202" w:lineRule="exact"/>
              <w:rPr>
                <w:sz w:val="20"/>
                <w:szCs w:val="20"/>
                <w:color w:val="auto"/>
              </w:rPr>
            </w:pPr>
            <w:r>
              <w:rPr>
                <w:rFonts w:ascii="Arial" w:cs="Arial" w:eastAsia="Arial" w:hAnsi="Arial"/>
                <w:sz w:val="18"/>
                <w:szCs w:val="18"/>
                <w:color w:val="auto"/>
              </w:rPr>
              <w:t>2.9</w:t>
            </w:r>
          </w:p>
        </w:tc>
      </w:tr>
      <w:tr>
        <w:trPr>
          <w:trHeight w:val="206"/>
        </w:trPr>
        <w:tc>
          <w:tcPr>
            <w:tcW w:w="4140" w:type="dxa"/>
            <w:vAlign w:val="bottom"/>
          </w:tcPr>
          <w:p>
            <w:pPr>
              <w:spacing w:after="0" w:line="206" w:lineRule="exact"/>
              <w:rPr>
                <w:sz w:val="20"/>
                <w:szCs w:val="20"/>
                <w:color w:val="auto"/>
              </w:rPr>
            </w:pPr>
            <w:r>
              <w:rPr>
                <w:rFonts w:ascii="Arial" w:cs="Arial" w:eastAsia="Arial" w:hAnsi="Arial"/>
                <w:sz w:val="18"/>
                <w:szCs w:val="18"/>
                <w:color w:val="auto"/>
              </w:rPr>
              <w:t>Basic and diluted earnings (loss) per common</w:t>
            </w: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6"/>
        </w:trPr>
        <w:tc>
          <w:tcPr>
            <w:tcW w:w="41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share</w:t>
            </w:r>
          </w:p>
        </w:tc>
        <w:tc>
          <w:tcPr>
            <w:tcW w:w="1100" w:type="dxa"/>
            <w:vAlign w:val="bottom"/>
            <w:tcBorders>
              <w:bottom w:val="single" w:sz="8" w:color="auto"/>
            </w:tcBorders>
          </w:tcPr>
          <w:p>
            <w:pPr>
              <w:jc w:val="right"/>
              <w:ind w:right="236"/>
              <w:spacing w:after="0" w:line="200" w:lineRule="exact"/>
              <w:rPr>
                <w:sz w:val="20"/>
                <w:szCs w:val="20"/>
                <w:color w:val="auto"/>
              </w:rPr>
            </w:pPr>
            <w:r>
              <w:rPr>
                <w:rFonts w:ascii="Arial" w:cs="Arial" w:eastAsia="Arial" w:hAnsi="Arial"/>
                <w:sz w:val="18"/>
                <w:szCs w:val="18"/>
                <w:color w:val="auto"/>
              </w:rPr>
              <w:t>0.37</w:t>
            </w:r>
          </w:p>
        </w:tc>
        <w:tc>
          <w:tcPr>
            <w:tcW w:w="1260" w:type="dxa"/>
            <w:vAlign w:val="bottom"/>
            <w:tcBorders>
              <w:bottom w:val="single" w:sz="8" w:color="auto"/>
            </w:tcBorders>
          </w:tcPr>
          <w:p>
            <w:pPr>
              <w:jc w:val="right"/>
              <w:ind w:right="156"/>
              <w:spacing w:after="0" w:line="200" w:lineRule="exact"/>
              <w:rPr>
                <w:sz w:val="20"/>
                <w:szCs w:val="20"/>
                <w:color w:val="auto"/>
              </w:rPr>
            </w:pPr>
            <w:r>
              <w:rPr>
                <w:rFonts w:ascii="Arial" w:cs="Arial" w:eastAsia="Arial" w:hAnsi="Arial"/>
                <w:sz w:val="18"/>
                <w:szCs w:val="18"/>
                <w:color w:val="auto"/>
              </w:rPr>
              <w:t>0.41</w:t>
            </w:r>
          </w:p>
        </w:tc>
        <w:tc>
          <w:tcPr>
            <w:tcW w:w="1340" w:type="dxa"/>
            <w:vAlign w:val="bottom"/>
            <w:tcBorders>
              <w:bottom w:val="single" w:sz="8" w:color="auto"/>
            </w:tcBorders>
          </w:tcPr>
          <w:p>
            <w:pPr>
              <w:jc w:val="right"/>
              <w:ind w:right="257"/>
              <w:spacing w:after="0" w:line="200" w:lineRule="exact"/>
              <w:rPr>
                <w:sz w:val="20"/>
                <w:szCs w:val="20"/>
                <w:color w:val="auto"/>
              </w:rPr>
            </w:pPr>
            <w:r>
              <w:rPr>
                <w:rFonts w:ascii="Arial" w:cs="Arial" w:eastAsia="Arial" w:hAnsi="Arial"/>
                <w:sz w:val="18"/>
                <w:szCs w:val="18"/>
                <w:color w:val="auto"/>
              </w:rPr>
              <w:t>0.04</w:t>
            </w:r>
          </w:p>
        </w:tc>
        <w:tc>
          <w:tcPr>
            <w:tcW w:w="1520" w:type="dxa"/>
            <w:vAlign w:val="bottom"/>
            <w:tcBorders>
              <w:bottom w:val="single" w:sz="8" w:color="auto"/>
            </w:tcBorders>
          </w:tcPr>
          <w:p>
            <w:pPr>
              <w:jc w:val="right"/>
              <w:ind w:right="397"/>
              <w:spacing w:after="0" w:line="200" w:lineRule="exact"/>
              <w:rPr>
                <w:sz w:val="20"/>
                <w:szCs w:val="20"/>
                <w:color w:val="auto"/>
              </w:rPr>
            </w:pPr>
            <w:r>
              <w:rPr>
                <w:rFonts w:ascii="Arial" w:cs="Arial" w:eastAsia="Arial" w:hAnsi="Arial"/>
                <w:sz w:val="18"/>
                <w:szCs w:val="18"/>
                <w:color w:val="auto"/>
              </w:rPr>
              <w:t>(0.27)</w:t>
            </w:r>
          </w:p>
        </w:tc>
        <w:tc>
          <w:tcPr>
            <w:tcW w:w="960" w:type="dxa"/>
            <w:vAlign w:val="bottom"/>
            <w:tcBorders>
              <w:bottom w:val="single" w:sz="8" w:color="auto"/>
            </w:tcBorders>
          </w:tcPr>
          <w:p>
            <w:pPr>
              <w:jc w:val="right"/>
              <w:ind w:right="94"/>
              <w:spacing w:after="0" w:line="200" w:lineRule="exact"/>
              <w:rPr>
                <w:sz w:val="20"/>
                <w:szCs w:val="20"/>
                <w:color w:val="auto"/>
              </w:rPr>
            </w:pPr>
            <w:r>
              <w:rPr>
                <w:rFonts w:ascii="Arial" w:cs="Arial" w:eastAsia="Arial" w:hAnsi="Arial"/>
                <w:sz w:val="18"/>
                <w:szCs w:val="18"/>
                <w:color w:val="auto"/>
              </w:rPr>
              <w:t>(0.25)</w:t>
            </w:r>
          </w:p>
        </w:tc>
        <w:tc>
          <w:tcPr>
            <w:tcW w:w="1100" w:type="dxa"/>
            <w:vAlign w:val="bottom"/>
            <w:tcBorders>
              <w:bottom w:val="single" w:sz="8" w:color="auto"/>
            </w:tcBorders>
          </w:tcPr>
          <w:p>
            <w:pPr>
              <w:jc w:val="right"/>
              <w:ind w:right="196"/>
              <w:spacing w:after="0" w:line="200" w:lineRule="exact"/>
              <w:rPr>
                <w:sz w:val="20"/>
                <w:szCs w:val="20"/>
                <w:color w:val="auto"/>
              </w:rPr>
            </w:pPr>
            <w:r>
              <w:rPr>
                <w:rFonts w:ascii="Arial" w:cs="Arial" w:eastAsia="Arial" w:hAnsi="Arial"/>
                <w:sz w:val="18"/>
                <w:szCs w:val="18"/>
                <w:color w:val="auto"/>
              </w:rPr>
              <w:t>0.02</w:t>
            </w:r>
          </w:p>
        </w:tc>
      </w:tr>
      <w:tr>
        <w:trPr>
          <w:trHeight w:val="363"/>
        </w:trPr>
        <w:tc>
          <w:tcPr>
            <w:tcW w:w="4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jc w:val="right"/>
              <w:ind w:right="596"/>
              <w:spacing w:after="0"/>
              <w:rPr>
                <w:sz w:val="20"/>
                <w:szCs w:val="20"/>
                <w:color w:val="auto"/>
              </w:rPr>
            </w:pPr>
            <w:r>
              <w:rPr>
                <w:rFonts w:ascii="Arial" w:cs="Arial" w:eastAsia="Arial" w:hAnsi="Arial"/>
                <w:sz w:val="18"/>
                <w:szCs w:val="18"/>
                <w:color w:val="auto"/>
              </w:rPr>
              <w:t>55</w:t>
            </w: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i w:val="1"/>
                <w:iCs w:val="1"/>
                <w:color w:val="auto"/>
              </w:rPr>
              <w:t>(In millions)</w:t>
            </w:r>
          </w:p>
        </w:tc>
        <w:tc>
          <w:tcPr>
            <w:tcW w:w="124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spacing w:after="0"/>
              <w:rPr>
                <w:sz w:val="14"/>
                <w:szCs w:val="14"/>
                <w:color w:val="auto"/>
              </w:rPr>
            </w:pPr>
          </w:p>
        </w:tc>
        <w:tc>
          <w:tcPr>
            <w:tcW w:w="2560" w:type="dxa"/>
            <w:vAlign w:val="bottom"/>
            <w:tcBorders>
              <w:top w:val="single" w:sz="8" w:color="auto"/>
              <w:bottom w:val="single" w:sz="8" w:color="auto"/>
            </w:tcBorders>
            <w:gridSpan w:val="3"/>
          </w:tcPr>
          <w:p>
            <w:pPr>
              <w:jc w:val="right"/>
              <w:ind w:right="12"/>
              <w:spacing w:after="0"/>
              <w:rPr>
                <w:sz w:val="20"/>
                <w:szCs w:val="20"/>
                <w:color w:val="auto"/>
              </w:rPr>
            </w:pPr>
            <w:r>
              <w:rPr>
                <w:rFonts w:ascii="Arial" w:cs="Arial" w:eastAsia="Arial" w:hAnsi="Arial"/>
                <w:sz w:val="14"/>
                <w:szCs w:val="14"/>
                <w:color w:val="auto"/>
              </w:rPr>
              <w:t>Year Ended December 31, 2010</w:t>
            </w:r>
          </w:p>
        </w:tc>
      </w:tr>
      <w:tr>
        <w:trPr>
          <w:trHeight w:val="141"/>
        </w:trPr>
        <w:tc>
          <w:tcPr>
            <w:tcW w:w="37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20" w:type="dxa"/>
            <w:vAlign w:val="bottom"/>
            <w:gridSpan w:val="2"/>
          </w:tcPr>
          <w:p>
            <w:pPr>
              <w:jc w:val="right"/>
              <w:ind w:right="94"/>
              <w:spacing w:after="0" w:line="141" w:lineRule="exact"/>
              <w:rPr>
                <w:sz w:val="20"/>
                <w:szCs w:val="20"/>
                <w:color w:val="auto"/>
              </w:rPr>
            </w:pPr>
            <w:r>
              <w:rPr>
                <w:rFonts w:ascii="Arial" w:cs="Arial" w:eastAsia="Arial" w:hAnsi="Arial"/>
                <w:sz w:val="14"/>
                <w:szCs w:val="14"/>
                <w:color w:val="auto"/>
              </w:rPr>
              <w:t>Previously</w:t>
            </w:r>
          </w:p>
        </w:tc>
        <w:tc>
          <w:tcPr>
            <w:tcW w:w="1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20" w:type="dxa"/>
            <w:vAlign w:val="bottom"/>
            <w:gridSpan w:val="2"/>
          </w:tcPr>
          <w:p>
            <w:pPr>
              <w:jc w:val="right"/>
              <w:ind w:right="12"/>
              <w:spacing w:after="0" w:line="141" w:lineRule="exact"/>
              <w:rPr>
                <w:sz w:val="20"/>
                <w:szCs w:val="20"/>
                <w:color w:val="auto"/>
              </w:rPr>
            </w:pPr>
            <w:r>
              <w:rPr>
                <w:rFonts w:ascii="Arial" w:cs="Arial" w:eastAsia="Arial" w:hAnsi="Arial"/>
                <w:sz w:val="14"/>
                <w:szCs w:val="14"/>
                <w:color w:val="auto"/>
              </w:rPr>
              <w:t>Effect of</w:t>
            </w:r>
          </w:p>
        </w:tc>
      </w:tr>
      <w:tr>
        <w:trPr>
          <w:trHeight w:val="149"/>
        </w:trPr>
        <w:tc>
          <w:tcPr>
            <w:tcW w:w="37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94"/>
              <w:spacing w:after="0" w:line="149" w:lineRule="exact"/>
              <w:rPr>
                <w:sz w:val="20"/>
                <w:szCs w:val="20"/>
                <w:color w:val="auto"/>
              </w:rPr>
            </w:pPr>
            <w:r>
              <w:rPr>
                <w:rFonts w:ascii="Arial" w:cs="Arial" w:eastAsia="Arial" w:hAnsi="Arial"/>
                <w:sz w:val="14"/>
                <w:szCs w:val="14"/>
                <w:color w:val="auto"/>
                <w:w w:val="93"/>
              </w:rPr>
              <w:t>Reported</w:t>
            </w:r>
          </w:p>
        </w:tc>
        <w:tc>
          <w:tcPr>
            <w:tcW w:w="11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617"/>
              <w:spacing w:after="0" w:line="149" w:lineRule="exact"/>
              <w:rPr>
                <w:sz w:val="20"/>
                <w:szCs w:val="20"/>
                <w:color w:val="auto"/>
              </w:rPr>
            </w:pPr>
            <w:r>
              <w:rPr>
                <w:rFonts w:ascii="Arial" w:cs="Arial" w:eastAsia="Arial" w:hAnsi="Arial"/>
                <w:sz w:val="14"/>
                <w:szCs w:val="14"/>
                <w:color w:val="auto"/>
              </w:rPr>
              <w:t>Revised</w:t>
            </w:r>
          </w:p>
        </w:tc>
        <w:tc>
          <w:tcPr>
            <w:tcW w:w="1120" w:type="dxa"/>
            <w:vAlign w:val="bottom"/>
            <w:tcBorders>
              <w:bottom w:val="single" w:sz="8" w:color="auto"/>
            </w:tcBorders>
            <w:gridSpan w:val="2"/>
          </w:tcPr>
          <w:p>
            <w:pPr>
              <w:jc w:val="right"/>
              <w:ind w:right="12"/>
              <w:spacing w:after="0" w:line="149" w:lineRule="exact"/>
              <w:rPr>
                <w:sz w:val="20"/>
                <w:szCs w:val="20"/>
                <w:color w:val="auto"/>
              </w:rPr>
            </w:pPr>
            <w:r>
              <w:rPr>
                <w:rFonts w:ascii="Arial" w:cs="Arial" w:eastAsia="Arial" w:hAnsi="Arial"/>
                <w:sz w:val="14"/>
                <w:szCs w:val="14"/>
                <w:color w:val="auto"/>
              </w:rPr>
              <w:t>Change</w:t>
            </w:r>
          </w:p>
        </w:tc>
      </w:tr>
      <w:tr>
        <w:trPr>
          <w:trHeight w:val="196"/>
        </w:trPr>
        <w:tc>
          <w:tcPr>
            <w:tcW w:w="3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Inventories</w:t>
            </w:r>
          </w:p>
        </w:tc>
        <w:tc>
          <w:tcPr>
            <w:tcW w:w="1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4"/>
              <w:spacing w:after="0" w:line="196" w:lineRule="exact"/>
              <w:rPr>
                <w:sz w:val="20"/>
                <w:szCs w:val="20"/>
                <w:color w:val="auto"/>
              </w:rPr>
            </w:pPr>
            <w:r>
              <w:rPr>
                <w:rFonts w:ascii="Arial" w:cs="Arial" w:eastAsia="Arial" w:hAnsi="Arial"/>
                <w:sz w:val="18"/>
                <w:szCs w:val="18"/>
                <w:color w:val="auto"/>
              </w:rPr>
              <w:t>333.0</w:t>
            </w:r>
          </w:p>
        </w:tc>
        <w:tc>
          <w:tcPr>
            <w:tcW w:w="1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617"/>
              <w:spacing w:after="0" w:line="196" w:lineRule="exact"/>
              <w:rPr>
                <w:sz w:val="20"/>
                <w:szCs w:val="20"/>
                <w:color w:val="auto"/>
              </w:rPr>
            </w:pPr>
            <w:r>
              <w:rPr>
                <w:rFonts w:ascii="Arial" w:cs="Arial" w:eastAsia="Arial" w:hAnsi="Arial"/>
                <w:sz w:val="18"/>
                <w:szCs w:val="18"/>
                <w:color w:val="auto"/>
              </w:rPr>
              <w:t>$  332.1</w:t>
            </w:r>
          </w:p>
        </w:tc>
        <w:tc>
          <w:tcPr>
            <w:tcW w:w="660" w:type="dxa"/>
            <w:vAlign w:val="bottom"/>
            <w:shd w:val="clear" w:color="auto" w:fill="CCEEFF"/>
          </w:tcPr>
          <w:p>
            <w:pPr>
              <w:jc w:val="right"/>
              <w:ind w:right="79"/>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(0.9)</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Loans to Former Parent</w:t>
            </w: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572.8</w:t>
            </w:r>
          </w:p>
        </w:tc>
        <w:tc>
          <w:tcPr>
            <w:tcW w:w="1160" w:type="dxa"/>
            <w:vAlign w:val="bottom"/>
          </w:tcPr>
          <w:p>
            <w:pPr>
              <w:spacing w:after="0"/>
              <w:rPr>
                <w:sz w:val="17"/>
                <w:szCs w:val="17"/>
                <w:color w:val="auto"/>
              </w:rPr>
            </w:pPr>
          </w:p>
        </w:tc>
        <w:tc>
          <w:tcPr>
            <w:tcW w:w="1440" w:type="dxa"/>
            <w:vAlign w:val="bottom"/>
          </w:tcPr>
          <w:p>
            <w:pPr>
              <w:jc w:val="right"/>
              <w:ind w:right="617"/>
              <w:spacing w:after="0" w:line="202" w:lineRule="exact"/>
              <w:rPr>
                <w:sz w:val="20"/>
                <w:szCs w:val="20"/>
                <w:color w:val="auto"/>
              </w:rPr>
            </w:pPr>
            <w:r>
              <w:rPr>
                <w:rFonts w:ascii="Arial" w:cs="Arial" w:eastAsia="Arial" w:hAnsi="Arial"/>
                <w:sz w:val="18"/>
                <w:szCs w:val="18"/>
                <w:color w:val="auto"/>
              </w:rPr>
              <w:t>571.7</w:t>
            </w:r>
          </w:p>
        </w:tc>
        <w:tc>
          <w:tcPr>
            <w:tcW w:w="6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current assets</w:t>
            </w:r>
          </w:p>
        </w:tc>
        <w:tc>
          <w:tcPr>
            <w:tcW w:w="1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127.1</w:t>
            </w:r>
          </w:p>
        </w:tc>
        <w:tc>
          <w:tcPr>
            <w:tcW w:w="1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617"/>
              <w:spacing w:after="0" w:line="202" w:lineRule="exact"/>
              <w:rPr>
                <w:sz w:val="20"/>
                <w:szCs w:val="20"/>
                <w:color w:val="auto"/>
              </w:rPr>
            </w:pPr>
            <w:r>
              <w:rPr>
                <w:rFonts w:ascii="Arial" w:cs="Arial" w:eastAsia="Arial" w:hAnsi="Arial"/>
                <w:sz w:val="18"/>
                <w:szCs w:val="18"/>
                <w:color w:val="auto"/>
              </w:rPr>
              <w:t>127.3</w:t>
            </w: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0.2</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gridSpan w:val="2"/>
          </w:tcPr>
          <w:p>
            <w:pPr>
              <w:jc w:val="right"/>
              <w:ind w:right="94"/>
              <w:spacing w:after="0" w:line="202" w:lineRule="exact"/>
              <w:rPr>
                <w:sz w:val="20"/>
                <w:szCs w:val="20"/>
                <w:color w:val="auto"/>
              </w:rPr>
            </w:pPr>
            <w:r>
              <w:rPr>
                <w:rFonts w:ascii="Arial" w:cs="Arial" w:eastAsia="Arial" w:hAnsi="Arial"/>
                <w:sz w:val="18"/>
                <w:szCs w:val="18"/>
                <w:color w:val="auto"/>
              </w:rPr>
              <w:t>4,259.4</w:t>
            </w:r>
          </w:p>
        </w:tc>
        <w:tc>
          <w:tcPr>
            <w:tcW w:w="1160" w:type="dxa"/>
            <w:vAlign w:val="bottom"/>
          </w:tcPr>
          <w:p>
            <w:pPr>
              <w:spacing w:after="0"/>
              <w:rPr>
                <w:sz w:val="17"/>
                <w:szCs w:val="17"/>
                <w:color w:val="auto"/>
              </w:rPr>
            </w:pPr>
          </w:p>
        </w:tc>
        <w:tc>
          <w:tcPr>
            <w:tcW w:w="1440" w:type="dxa"/>
            <w:vAlign w:val="bottom"/>
          </w:tcPr>
          <w:p>
            <w:pPr>
              <w:jc w:val="right"/>
              <w:ind w:right="617"/>
              <w:spacing w:after="0" w:line="202" w:lineRule="exact"/>
              <w:rPr>
                <w:sz w:val="20"/>
                <w:szCs w:val="20"/>
                <w:color w:val="auto"/>
              </w:rPr>
            </w:pPr>
            <w:r>
              <w:rPr>
                <w:rFonts w:ascii="Arial" w:cs="Arial" w:eastAsia="Arial" w:hAnsi="Arial"/>
                <w:sz w:val="18"/>
                <w:szCs w:val="18"/>
                <w:color w:val="auto"/>
              </w:rPr>
              <w:t>4,257.6</w:t>
            </w:r>
          </w:p>
        </w:tc>
        <w:tc>
          <w:tcPr>
            <w:tcW w:w="6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(76.3)</w:t>
            </w:r>
          </w:p>
        </w:tc>
        <w:tc>
          <w:tcPr>
            <w:tcW w:w="1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617"/>
              <w:spacing w:after="0" w:line="202" w:lineRule="exact"/>
              <w:rPr>
                <w:sz w:val="20"/>
                <w:szCs w:val="20"/>
                <w:color w:val="auto"/>
              </w:rPr>
            </w:pPr>
            <w:r>
              <w:rPr>
                <w:rFonts w:ascii="Arial" w:cs="Arial" w:eastAsia="Arial" w:hAnsi="Arial"/>
                <w:sz w:val="18"/>
                <w:szCs w:val="18"/>
                <w:color w:val="auto"/>
              </w:rPr>
              <w:t>29.5</w:t>
            </w:r>
          </w:p>
        </w:tc>
        <w:tc>
          <w:tcPr>
            <w:tcW w:w="112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105.8</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Retained deficit</w:t>
            </w: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(685.4)</w:t>
            </w:r>
          </w:p>
        </w:tc>
        <w:tc>
          <w:tcPr>
            <w:tcW w:w="1160" w:type="dxa"/>
            <w:vAlign w:val="bottom"/>
          </w:tcPr>
          <w:p>
            <w:pPr>
              <w:spacing w:after="0"/>
              <w:rPr>
                <w:sz w:val="17"/>
                <w:szCs w:val="17"/>
                <w:color w:val="auto"/>
              </w:rPr>
            </w:pPr>
          </w:p>
        </w:tc>
        <w:tc>
          <w:tcPr>
            <w:tcW w:w="1440" w:type="dxa"/>
            <w:vAlign w:val="bottom"/>
          </w:tcPr>
          <w:p>
            <w:pPr>
              <w:jc w:val="right"/>
              <w:ind w:right="557"/>
              <w:spacing w:after="0" w:line="202" w:lineRule="exact"/>
              <w:rPr>
                <w:sz w:val="20"/>
                <w:szCs w:val="20"/>
                <w:color w:val="auto"/>
              </w:rPr>
            </w:pPr>
            <w:r>
              <w:rPr>
                <w:rFonts w:ascii="Arial" w:cs="Arial" w:eastAsia="Arial" w:hAnsi="Arial"/>
                <w:sz w:val="18"/>
                <w:szCs w:val="18"/>
                <w:color w:val="auto"/>
              </w:rPr>
              <w:t>(793.0)</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(107.6)</w:t>
            </w: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Home &amp; Security equity</w:t>
            </w:r>
          </w:p>
        </w:tc>
        <w:tc>
          <w:tcPr>
            <w:tcW w:w="1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(58.4)</w:t>
            </w:r>
          </w:p>
        </w:tc>
        <w:tc>
          <w:tcPr>
            <w:tcW w:w="1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557"/>
              <w:spacing w:after="0" w:line="202" w:lineRule="exact"/>
              <w:rPr>
                <w:sz w:val="20"/>
                <w:szCs w:val="20"/>
                <w:color w:val="auto"/>
              </w:rPr>
            </w:pPr>
            <w:r>
              <w:rPr>
                <w:rFonts w:ascii="Arial" w:cs="Arial" w:eastAsia="Arial" w:hAnsi="Arial"/>
                <w:sz w:val="18"/>
                <w:szCs w:val="18"/>
                <w:color w:val="auto"/>
              </w:rPr>
              <w:t>(60.2)</w:t>
            </w: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Total equity</w:t>
            </w: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(54.9)</w:t>
            </w:r>
          </w:p>
        </w:tc>
        <w:tc>
          <w:tcPr>
            <w:tcW w:w="1160" w:type="dxa"/>
            <w:vAlign w:val="bottom"/>
          </w:tcPr>
          <w:p>
            <w:pPr>
              <w:spacing w:after="0"/>
              <w:rPr>
                <w:sz w:val="17"/>
                <w:szCs w:val="17"/>
                <w:color w:val="auto"/>
              </w:rPr>
            </w:pPr>
          </w:p>
        </w:tc>
        <w:tc>
          <w:tcPr>
            <w:tcW w:w="1440" w:type="dxa"/>
            <w:vAlign w:val="bottom"/>
          </w:tcPr>
          <w:p>
            <w:pPr>
              <w:jc w:val="right"/>
              <w:ind w:right="557"/>
              <w:spacing w:after="0" w:line="202" w:lineRule="exact"/>
              <w:rPr>
                <w:sz w:val="20"/>
                <w:szCs w:val="20"/>
                <w:color w:val="auto"/>
              </w:rPr>
            </w:pPr>
            <w:r>
              <w:rPr>
                <w:rFonts w:ascii="Arial" w:cs="Arial" w:eastAsia="Arial" w:hAnsi="Arial"/>
                <w:sz w:val="18"/>
                <w:szCs w:val="18"/>
                <w:color w:val="auto"/>
              </w:rPr>
              <w:t>(56.7)</w:t>
            </w:r>
          </w:p>
        </w:tc>
        <w:tc>
          <w:tcPr>
            <w:tcW w:w="6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 and equity</w:t>
            </w:r>
          </w:p>
        </w:tc>
        <w:tc>
          <w:tcPr>
            <w:tcW w:w="1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4,259.4</w:t>
            </w:r>
          </w:p>
        </w:tc>
        <w:tc>
          <w:tcPr>
            <w:tcW w:w="1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617"/>
              <w:spacing w:after="0" w:line="202" w:lineRule="exact"/>
              <w:rPr>
                <w:sz w:val="20"/>
                <w:szCs w:val="20"/>
                <w:color w:val="auto"/>
              </w:rPr>
            </w:pPr>
            <w:r>
              <w:rPr>
                <w:rFonts w:ascii="Arial" w:cs="Arial" w:eastAsia="Arial" w:hAnsi="Arial"/>
                <w:sz w:val="18"/>
                <w:szCs w:val="18"/>
                <w:color w:val="auto"/>
              </w:rPr>
              <w:t>4,257.6</w:t>
            </w: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r>
      <w:tr>
        <w:trPr>
          <w:trHeight w:val="376"/>
        </w:trPr>
        <w:tc>
          <w:tcPr>
            <w:tcW w:w="3780" w:type="dxa"/>
            <w:vAlign w:val="bottom"/>
          </w:tcPr>
          <w:p>
            <w:pPr>
              <w:spacing w:after="0"/>
              <w:rPr>
                <w:sz w:val="20"/>
                <w:szCs w:val="20"/>
                <w:color w:val="auto"/>
              </w:rPr>
            </w:pPr>
            <w:r>
              <w:rPr>
                <w:rFonts w:ascii="Arial" w:cs="Arial" w:eastAsia="Arial" w:hAnsi="Arial"/>
                <w:sz w:val="18"/>
                <w:szCs w:val="18"/>
                <w:b w:val="1"/>
                <w:bCs w:val="1"/>
                <w:color w:val="auto"/>
              </w:rPr>
              <w:t>Consolidated Statement of Cash Flows</w:t>
            </w: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91"/>
        </w:trPr>
        <w:tc>
          <w:tcPr>
            <w:tcW w:w="37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spacing w:after="0"/>
              <w:rPr>
                <w:sz w:val="16"/>
                <w:szCs w:val="16"/>
                <w:color w:val="auto"/>
              </w:rPr>
            </w:pPr>
          </w:p>
        </w:tc>
      </w:tr>
      <w:tr>
        <w:trPr>
          <w:trHeight w:val="385"/>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millions)</w:t>
            </w:r>
          </w:p>
        </w:tc>
        <w:tc>
          <w:tcPr>
            <w:tcW w:w="1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4"/>
                <w:szCs w:val="14"/>
                <w:color w:val="auto"/>
              </w:rPr>
              <w:t>Year Ended December 31, 2010</w:t>
            </w:r>
          </w:p>
        </w:tc>
        <w:tc>
          <w:tcPr>
            <w:tcW w:w="11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color w:val="auto"/>
              </w:rPr>
              <w:t>Year Ended December 31, 2009</w:t>
            </w:r>
          </w:p>
        </w:tc>
      </w:tr>
      <w:tr>
        <w:trPr>
          <w:trHeight w:val="195"/>
        </w:trPr>
        <w:tc>
          <w:tcPr>
            <w:tcW w:w="3780" w:type="dxa"/>
            <w:vAlign w:val="bottom"/>
          </w:tcPr>
          <w:p>
            <w:pPr>
              <w:spacing w:after="0"/>
              <w:rPr>
                <w:sz w:val="16"/>
                <w:szCs w:val="16"/>
                <w:color w:val="auto"/>
              </w:rPr>
            </w:pPr>
          </w:p>
        </w:tc>
        <w:tc>
          <w:tcPr>
            <w:tcW w:w="1240" w:type="dxa"/>
            <w:vAlign w:val="bottom"/>
          </w:tcPr>
          <w:p>
            <w:pPr>
              <w:jc w:val="right"/>
              <w:ind w:right="198"/>
              <w:spacing w:after="0"/>
              <w:rPr>
                <w:sz w:val="20"/>
                <w:szCs w:val="20"/>
                <w:color w:val="auto"/>
              </w:rPr>
            </w:pPr>
            <w:r>
              <w:rPr>
                <w:rFonts w:ascii="Arial" w:cs="Arial" w:eastAsia="Arial" w:hAnsi="Arial"/>
                <w:sz w:val="14"/>
                <w:szCs w:val="14"/>
                <w:color w:val="auto"/>
              </w:rPr>
              <w:t>Previously</w:t>
            </w:r>
          </w:p>
        </w:tc>
        <w:tc>
          <w:tcPr>
            <w:tcW w:w="1360" w:type="dxa"/>
            <w:vAlign w:val="bottom"/>
          </w:tcPr>
          <w:p>
            <w:pPr>
              <w:spacing w:after="0"/>
              <w:rPr>
                <w:sz w:val="16"/>
                <w:szCs w:val="16"/>
                <w:color w:val="auto"/>
              </w:rPr>
            </w:pPr>
          </w:p>
        </w:tc>
        <w:tc>
          <w:tcPr>
            <w:tcW w:w="1320" w:type="dxa"/>
            <w:vAlign w:val="bottom"/>
            <w:gridSpan w:val="2"/>
          </w:tcPr>
          <w:p>
            <w:pPr>
              <w:jc w:val="right"/>
              <w:ind w:right="274"/>
              <w:spacing w:after="0"/>
              <w:rPr>
                <w:sz w:val="20"/>
                <w:szCs w:val="20"/>
                <w:color w:val="auto"/>
              </w:rPr>
            </w:pPr>
            <w:r>
              <w:rPr>
                <w:rFonts w:ascii="Arial" w:cs="Arial" w:eastAsia="Arial" w:hAnsi="Arial"/>
                <w:sz w:val="14"/>
                <w:szCs w:val="14"/>
                <w:color w:val="auto"/>
              </w:rPr>
              <w:t>Effect of</w:t>
            </w:r>
          </w:p>
        </w:tc>
        <w:tc>
          <w:tcPr>
            <w:tcW w:w="1160" w:type="dxa"/>
            <w:vAlign w:val="bottom"/>
          </w:tcPr>
          <w:p>
            <w:pPr>
              <w:jc w:val="right"/>
              <w:spacing w:after="0"/>
              <w:rPr>
                <w:sz w:val="20"/>
                <w:szCs w:val="20"/>
                <w:color w:val="auto"/>
              </w:rPr>
            </w:pPr>
            <w:r>
              <w:rPr>
                <w:rFonts w:ascii="Arial" w:cs="Arial" w:eastAsia="Arial" w:hAnsi="Arial"/>
                <w:sz w:val="14"/>
                <w:szCs w:val="14"/>
                <w:color w:val="auto"/>
              </w:rPr>
              <w:t>Previously</w:t>
            </w:r>
          </w:p>
        </w:tc>
        <w:tc>
          <w:tcPr>
            <w:tcW w:w="1440" w:type="dxa"/>
            <w:vAlign w:val="bottom"/>
          </w:tcPr>
          <w:p>
            <w:pPr>
              <w:spacing w:after="0"/>
              <w:rPr>
                <w:sz w:val="16"/>
                <w:szCs w:val="16"/>
                <w:color w:val="auto"/>
              </w:rPr>
            </w:pPr>
          </w:p>
        </w:tc>
        <w:tc>
          <w:tcPr>
            <w:tcW w:w="1120" w:type="dxa"/>
            <w:vAlign w:val="bottom"/>
            <w:gridSpan w:val="2"/>
          </w:tcPr>
          <w:p>
            <w:pPr>
              <w:jc w:val="right"/>
              <w:ind w:right="12"/>
              <w:spacing w:after="0"/>
              <w:rPr>
                <w:sz w:val="20"/>
                <w:szCs w:val="20"/>
                <w:color w:val="auto"/>
              </w:rPr>
            </w:pPr>
            <w:r>
              <w:rPr>
                <w:rFonts w:ascii="Arial" w:cs="Arial" w:eastAsia="Arial" w:hAnsi="Arial"/>
                <w:sz w:val="14"/>
                <w:szCs w:val="14"/>
                <w:color w:val="auto"/>
              </w:rPr>
              <w:t>Effect of</w:t>
            </w:r>
          </w:p>
        </w:tc>
      </w:tr>
      <w:tr>
        <w:trPr>
          <w:trHeight w:val="149"/>
        </w:trPr>
        <w:tc>
          <w:tcPr>
            <w:tcW w:w="37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198"/>
              <w:spacing w:after="0" w:line="149" w:lineRule="exact"/>
              <w:rPr>
                <w:sz w:val="20"/>
                <w:szCs w:val="20"/>
                <w:color w:val="auto"/>
              </w:rPr>
            </w:pPr>
            <w:r>
              <w:rPr>
                <w:rFonts w:ascii="Arial" w:cs="Arial" w:eastAsia="Arial" w:hAnsi="Arial"/>
                <w:sz w:val="14"/>
                <w:szCs w:val="14"/>
                <w:color w:val="auto"/>
              </w:rPr>
              <w:t>Reported</w:t>
            </w:r>
          </w:p>
        </w:tc>
        <w:tc>
          <w:tcPr>
            <w:tcW w:w="1360" w:type="dxa"/>
            <w:vAlign w:val="bottom"/>
            <w:tcBorders>
              <w:bottom w:val="single" w:sz="8" w:color="auto"/>
            </w:tcBorders>
          </w:tcPr>
          <w:p>
            <w:pPr>
              <w:jc w:val="right"/>
              <w:ind w:right="258"/>
              <w:spacing w:after="0" w:line="149" w:lineRule="exact"/>
              <w:rPr>
                <w:sz w:val="20"/>
                <w:szCs w:val="20"/>
                <w:color w:val="auto"/>
              </w:rPr>
            </w:pPr>
            <w:r>
              <w:rPr>
                <w:rFonts w:ascii="Arial" w:cs="Arial" w:eastAsia="Arial" w:hAnsi="Arial"/>
                <w:sz w:val="14"/>
                <w:szCs w:val="14"/>
                <w:color w:val="auto"/>
              </w:rPr>
              <w:t>Revised</w:t>
            </w:r>
          </w:p>
        </w:tc>
        <w:tc>
          <w:tcPr>
            <w:tcW w:w="1320" w:type="dxa"/>
            <w:vAlign w:val="bottom"/>
            <w:tcBorders>
              <w:bottom w:val="single" w:sz="8" w:color="auto"/>
            </w:tcBorders>
            <w:gridSpan w:val="2"/>
          </w:tcPr>
          <w:p>
            <w:pPr>
              <w:jc w:val="right"/>
              <w:ind w:right="274"/>
              <w:spacing w:after="0" w:line="149" w:lineRule="exact"/>
              <w:rPr>
                <w:sz w:val="20"/>
                <w:szCs w:val="20"/>
                <w:color w:val="auto"/>
              </w:rPr>
            </w:pPr>
            <w:r>
              <w:rPr>
                <w:rFonts w:ascii="Arial" w:cs="Arial" w:eastAsia="Arial" w:hAnsi="Arial"/>
                <w:sz w:val="14"/>
                <w:szCs w:val="14"/>
                <w:color w:val="auto"/>
              </w:rPr>
              <w:t>Change</w:t>
            </w:r>
          </w:p>
        </w:tc>
        <w:tc>
          <w:tcPr>
            <w:tcW w:w="11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Reported</w:t>
            </w:r>
          </w:p>
        </w:tc>
        <w:tc>
          <w:tcPr>
            <w:tcW w:w="1440" w:type="dxa"/>
            <w:vAlign w:val="bottom"/>
            <w:tcBorders>
              <w:bottom w:val="single" w:sz="8" w:color="auto"/>
            </w:tcBorders>
          </w:tcPr>
          <w:p>
            <w:pPr>
              <w:jc w:val="right"/>
              <w:ind w:right="137"/>
              <w:spacing w:after="0" w:line="149" w:lineRule="exact"/>
              <w:rPr>
                <w:sz w:val="20"/>
                <w:szCs w:val="20"/>
                <w:color w:val="auto"/>
              </w:rPr>
            </w:pPr>
            <w:r>
              <w:rPr>
                <w:rFonts w:ascii="Arial" w:cs="Arial" w:eastAsia="Arial" w:hAnsi="Arial"/>
                <w:sz w:val="14"/>
                <w:szCs w:val="14"/>
                <w:color w:val="auto"/>
              </w:rPr>
              <w:t>Revised</w:t>
            </w:r>
          </w:p>
        </w:tc>
        <w:tc>
          <w:tcPr>
            <w:tcW w:w="1120" w:type="dxa"/>
            <w:vAlign w:val="bottom"/>
            <w:tcBorders>
              <w:bottom w:val="single" w:sz="8" w:color="auto"/>
            </w:tcBorders>
            <w:gridSpan w:val="2"/>
          </w:tcPr>
          <w:p>
            <w:pPr>
              <w:jc w:val="right"/>
              <w:ind w:right="12"/>
              <w:spacing w:after="0" w:line="149" w:lineRule="exact"/>
              <w:rPr>
                <w:sz w:val="20"/>
                <w:szCs w:val="20"/>
                <w:color w:val="auto"/>
              </w:rPr>
            </w:pPr>
            <w:r>
              <w:rPr>
                <w:rFonts w:ascii="Arial" w:cs="Arial" w:eastAsia="Arial" w:hAnsi="Arial"/>
                <w:sz w:val="14"/>
                <w:szCs w:val="14"/>
                <w:color w:val="auto"/>
              </w:rPr>
              <w:t>Change</w:t>
            </w:r>
          </w:p>
        </w:tc>
      </w:tr>
      <w:tr>
        <w:trPr>
          <w:trHeight w:val="196"/>
        </w:trPr>
        <w:tc>
          <w:tcPr>
            <w:tcW w:w="3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1240" w:type="dxa"/>
            <w:vAlign w:val="bottom"/>
          </w:tcPr>
          <w:p>
            <w:pPr>
              <w:jc w:val="right"/>
              <w:ind w:right="198"/>
              <w:spacing w:after="0" w:line="202" w:lineRule="exact"/>
              <w:rPr>
                <w:sz w:val="20"/>
                <w:szCs w:val="20"/>
                <w:color w:val="auto"/>
              </w:rPr>
            </w:pPr>
            <w:r>
              <w:rPr>
                <w:rFonts w:ascii="Arial" w:cs="Arial" w:eastAsia="Arial" w:hAnsi="Arial"/>
                <w:sz w:val="18"/>
                <w:szCs w:val="18"/>
                <w:color w:val="auto"/>
              </w:rPr>
              <w:t>$  58.4</w:t>
            </w:r>
          </w:p>
        </w:tc>
        <w:tc>
          <w:tcPr>
            <w:tcW w:w="1360" w:type="dxa"/>
            <w:vAlign w:val="bottom"/>
          </w:tcPr>
          <w:p>
            <w:pPr>
              <w:jc w:val="right"/>
              <w:ind w:right="258"/>
              <w:spacing w:after="0" w:line="202" w:lineRule="exact"/>
              <w:rPr>
                <w:sz w:val="20"/>
                <w:szCs w:val="20"/>
                <w:color w:val="auto"/>
              </w:rPr>
            </w:pPr>
            <w:r>
              <w:rPr>
                <w:rFonts w:ascii="Arial" w:cs="Arial" w:eastAsia="Arial" w:hAnsi="Arial"/>
                <w:sz w:val="18"/>
                <w:szCs w:val="18"/>
                <w:color w:val="auto"/>
              </w:rPr>
              <w:t>$ 65.0</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6.6</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  (41.1)</w:t>
            </w:r>
          </w:p>
        </w:tc>
        <w:tc>
          <w:tcPr>
            <w:tcW w:w="1440" w:type="dxa"/>
            <w:vAlign w:val="bottom"/>
          </w:tcPr>
          <w:p>
            <w:pPr>
              <w:jc w:val="right"/>
              <w:ind w:right="77"/>
              <w:spacing w:after="0" w:line="202" w:lineRule="exact"/>
              <w:rPr>
                <w:sz w:val="20"/>
                <w:szCs w:val="20"/>
                <w:color w:val="auto"/>
              </w:rPr>
            </w:pPr>
            <w:r>
              <w:rPr>
                <w:rFonts w:ascii="Arial" w:cs="Arial" w:eastAsia="Arial" w:hAnsi="Arial"/>
                <w:sz w:val="18"/>
                <w:szCs w:val="18"/>
                <w:color w:val="auto"/>
              </w:rPr>
              <w:t>$(38.2)</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2.9</w:t>
            </w: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Recognition of actuarial gains</w:t>
            </w:r>
          </w:p>
        </w:tc>
        <w:tc>
          <w:tcPr>
            <w:tcW w:w="1240" w:type="dxa"/>
            <w:vAlign w:val="bottom"/>
            <w:shd w:val="clear" w:color="auto" w:fill="CCEEFF"/>
          </w:tcPr>
          <w:p>
            <w:pPr>
              <w:jc w:val="right"/>
              <w:ind w:right="198"/>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98"/>
              <w:spacing w:after="0" w:line="202" w:lineRule="exact"/>
              <w:rPr>
                <w:sz w:val="20"/>
                <w:szCs w:val="20"/>
                <w:color w:val="auto"/>
              </w:rPr>
            </w:pPr>
            <w:r>
              <w:rPr>
                <w:rFonts w:ascii="Arial" w:cs="Arial" w:eastAsia="Arial" w:hAnsi="Arial"/>
                <w:sz w:val="18"/>
                <w:szCs w:val="18"/>
                <w:color w:val="auto"/>
              </w:rPr>
              <w:t>(3.5)</w:t>
            </w:r>
          </w:p>
        </w:tc>
        <w:tc>
          <w:tcPr>
            <w:tcW w:w="5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(3.5)</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(5.2)</w:t>
            </w: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Deferred taxes</w:t>
            </w:r>
          </w:p>
        </w:tc>
        <w:tc>
          <w:tcPr>
            <w:tcW w:w="1240" w:type="dxa"/>
            <w:vAlign w:val="bottom"/>
          </w:tcPr>
          <w:p>
            <w:pPr>
              <w:jc w:val="right"/>
              <w:ind w:right="198"/>
              <w:spacing w:after="0" w:line="202" w:lineRule="exact"/>
              <w:rPr>
                <w:sz w:val="20"/>
                <w:szCs w:val="20"/>
                <w:color w:val="auto"/>
              </w:rPr>
            </w:pPr>
            <w:r>
              <w:rPr>
                <w:rFonts w:ascii="Arial" w:cs="Arial" w:eastAsia="Arial" w:hAnsi="Arial"/>
                <w:sz w:val="18"/>
                <w:szCs w:val="18"/>
                <w:color w:val="auto"/>
              </w:rPr>
              <w:t>23.0</w:t>
            </w:r>
          </w:p>
        </w:tc>
        <w:tc>
          <w:tcPr>
            <w:tcW w:w="1360" w:type="dxa"/>
            <w:vAlign w:val="bottom"/>
          </w:tcPr>
          <w:p>
            <w:pPr>
              <w:jc w:val="right"/>
              <w:ind w:right="258"/>
              <w:spacing w:after="0" w:line="202" w:lineRule="exact"/>
              <w:rPr>
                <w:sz w:val="20"/>
                <w:szCs w:val="20"/>
                <w:color w:val="auto"/>
              </w:rPr>
            </w:pPr>
            <w:r>
              <w:rPr>
                <w:rFonts w:ascii="Arial" w:cs="Arial" w:eastAsia="Arial" w:hAnsi="Arial"/>
                <w:sz w:val="18"/>
                <w:szCs w:val="18"/>
                <w:color w:val="auto"/>
              </w:rPr>
              <w:t>27.1</w:t>
            </w:r>
          </w:p>
        </w:tc>
        <w:tc>
          <w:tcPr>
            <w:tcW w:w="580" w:type="dxa"/>
            <w:vAlign w:val="bottom"/>
          </w:tcPr>
          <w:p>
            <w:pPr>
              <w:spacing w:after="0"/>
              <w:rPr>
                <w:sz w:val="17"/>
                <w:szCs w:val="17"/>
                <w:color w:val="auto"/>
              </w:rPr>
            </w:pPr>
          </w:p>
        </w:tc>
        <w:tc>
          <w:tcPr>
            <w:tcW w:w="74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4.1</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(23.7)</w:t>
            </w:r>
          </w:p>
        </w:tc>
        <w:tc>
          <w:tcPr>
            <w:tcW w:w="1440" w:type="dxa"/>
            <w:vAlign w:val="bottom"/>
          </w:tcPr>
          <w:p>
            <w:pPr>
              <w:jc w:val="right"/>
              <w:ind w:right="77"/>
              <w:spacing w:after="0" w:line="202" w:lineRule="exact"/>
              <w:rPr>
                <w:sz w:val="20"/>
                <w:szCs w:val="20"/>
                <w:color w:val="auto"/>
              </w:rPr>
            </w:pPr>
            <w:r>
              <w:rPr>
                <w:rFonts w:ascii="Arial" w:cs="Arial" w:eastAsia="Arial" w:hAnsi="Arial"/>
                <w:sz w:val="18"/>
                <w:szCs w:val="18"/>
                <w:color w:val="auto"/>
              </w:rPr>
              <w:t>(21.8)</w:t>
            </w:r>
          </w:p>
        </w:tc>
        <w:tc>
          <w:tcPr>
            <w:tcW w:w="660" w:type="dxa"/>
            <w:vAlign w:val="bottom"/>
          </w:tcPr>
          <w:p>
            <w:pPr>
              <w:spacing w:after="0"/>
              <w:rPr>
                <w:sz w:val="17"/>
                <w:szCs w:val="17"/>
                <w:color w:val="auto"/>
              </w:rPr>
            </w:pPr>
          </w:p>
        </w:tc>
        <w:tc>
          <w:tcPr>
            <w:tcW w:w="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1.9</w:t>
            </w:r>
          </w:p>
        </w:tc>
      </w:tr>
      <w:tr>
        <w:trPr>
          <w:trHeight w:val="206"/>
        </w:trPr>
        <w:tc>
          <w:tcPr>
            <w:tcW w:w="37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(Decrease) increase in accrued expenses and</w:t>
            </w:r>
          </w:p>
        </w:tc>
        <w:tc>
          <w:tcPr>
            <w:tcW w:w="1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199"/>
        </w:trPr>
        <w:tc>
          <w:tcPr>
            <w:tcW w:w="378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other liabilities</w:t>
            </w:r>
          </w:p>
        </w:tc>
        <w:tc>
          <w:tcPr>
            <w:tcW w:w="1240" w:type="dxa"/>
            <w:vAlign w:val="bottom"/>
            <w:shd w:val="clear" w:color="auto" w:fill="CCEEFF"/>
          </w:tcPr>
          <w:p>
            <w:pPr>
              <w:jc w:val="right"/>
              <w:ind w:right="138"/>
              <w:spacing w:after="0" w:line="200" w:lineRule="exact"/>
              <w:rPr>
                <w:sz w:val="20"/>
                <w:szCs w:val="20"/>
                <w:color w:val="auto"/>
              </w:rPr>
            </w:pPr>
            <w:r>
              <w:rPr>
                <w:rFonts w:ascii="Arial" w:cs="Arial" w:eastAsia="Arial" w:hAnsi="Arial"/>
                <w:sz w:val="18"/>
                <w:szCs w:val="18"/>
                <w:color w:val="auto"/>
              </w:rPr>
              <w:t>(8.0)</w:t>
            </w:r>
          </w:p>
        </w:tc>
        <w:tc>
          <w:tcPr>
            <w:tcW w:w="1360" w:type="dxa"/>
            <w:vAlign w:val="bottom"/>
            <w:shd w:val="clear" w:color="auto" w:fill="CCEEFF"/>
          </w:tcPr>
          <w:p>
            <w:pPr>
              <w:jc w:val="right"/>
              <w:ind w:right="198"/>
              <w:spacing w:after="0" w:line="200" w:lineRule="exact"/>
              <w:rPr>
                <w:sz w:val="20"/>
                <w:szCs w:val="20"/>
                <w:color w:val="auto"/>
              </w:rPr>
            </w:pPr>
            <w:r>
              <w:rPr>
                <w:rFonts w:ascii="Arial" w:cs="Arial" w:eastAsia="Arial" w:hAnsi="Arial"/>
                <w:sz w:val="18"/>
                <w:szCs w:val="18"/>
                <w:color w:val="auto"/>
              </w:rPr>
              <w:t>(15.2)</w:t>
            </w:r>
          </w:p>
        </w:tc>
        <w:tc>
          <w:tcPr>
            <w:tcW w:w="5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14"/>
              <w:spacing w:after="0" w:line="200" w:lineRule="exact"/>
              <w:rPr>
                <w:sz w:val="20"/>
                <w:szCs w:val="20"/>
                <w:color w:val="auto"/>
              </w:rPr>
            </w:pPr>
            <w:r>
              <w:rPr>
                <w:rFonts w:ascii="Arial" w:cs="Arial" w:eastAsia="Arial" w:hAnsi="Arial"/>
                <w:sz w:val="18"/>
                <w:szCs w:val="18"/>
                <w:color w:val="auto"/>
              </w:rPr>
              <w:t>(7.2)</w:t>
            </w:r>
          </w:p>
        </w:tc>
        <w:tc>
          <w:tcPr>
            <w:tcW w:w="11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19.2</w:t>
            </w:r>
          </w:p>
        </w:tc>
        <w:tc>
          <w:tcPr>
            <w:tcW w:w="1440" w:type="dxa"/>
            <w:vAlign w:val="bottom"/>
            <w:shd w:val="clear" w:color="auto" w:fill="CCEEFF"/>
          </w:tcPr>
          <w:p>
            <w:pPr>
              <w:jc w:val="right"/>
              <w:ind w:right="137"/>
              <w:spacing w:after="0" w:line="200" w:lineRule="exact"/>
              <w:rPr>
                <w:sz w:val="20"/>
                <w:szCs w:val="20"/>
                <w:color w:val="auto"/>
              </w:rPr>
            </w:pPr>
            <w:r>
              <w:rPr>
                <w:rFonts w:ascii="Arial" w:cs="Arial" w:eastAsia="Arial" w:hAnsi="Arial"/>
                <w:sz w:val="18"/>
                <w:szCs w:val="18"/>
                <w:color w:val="auto"/>
              </w:rPr>
              <w:t>19.6</w:t>
            </w: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2"/>
              <w:spacing w:after="0" w:line="200" w:lineRule="exact"/>
              <w:rPr>
                <w:sz w:val="20"/>
                <w:szCs w:val="20"/>
                <w:color w:val="auto"/>
              </w:rPr>
            </w:pPr>
            <w:r>
              <w:rPr>
                <w:rFonts w:ascii="Arial" w:cs="Arial" w:eastAsia="Arial" w:hAnsi="Arial"/>
                <w:sz w:val="18"/>
                <w:szCs w:val="18"/>
                <w:color w:val="auto"/>
              </w:rPr>
              <w:t>0.4</w:t>
            </w:r>
          </w:p>
        </w:tc>
      </w:tr>
      <w:tr>
        <w:trPr>
          <w:trHeight w:val="376"/>
        </w:trPr>
        <w:tc>
          <w:tcPr>
            <w:tcW w:w="3780" w:type="dxa"/>
            <w:vAlign w:val="bottom"/>
          </w:tcPr>
          <w:p>
            <w:pPr>
              <w:spacing w:after="0"/>
              <w:rPr>
                <w:sz w:val="20"/>
                <w:szCs w:val="20"/>
                <w:color w:val="auto"/>
              </w:rPr>
            </w:pPr>
            <w:r>
              <w:rPr>
                <w:rFonts w:ascii="Arial" w:cs="Arial" w:eastAsia="Arial" w:hAnsi="Arial"/>
                <w:sz w:val="18"/>
                <w:szCs w:val="18"/>
                <w:b w:val="1"/>
                <w:bCs w:val="1"/>
                <w:color w:val="auto"/>
              </w:rPr>
              <w:t>Consolidated Statement of Equity</w:t>
            </w: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91"/>
        </w:trPr>
        <w:tc>
          <w:tcPr>
            <w:tcW w:w="37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spacing w:after="0"/>
              <w:rPr>
                <w:sz w:val="16"/>
                <w:szCs w:val="16"/>
                <w:color w:val="auto"/>
              </w:rPr>
            </w:pPr>
          </w:p>
        </w:tc>
      </w:tr>
      <w:tr>
        <w:trPr>
          <w:trHeight w:val="385"/>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millions)</w:t>
            </w:r>
          </w:p>
        </w:tc>
        <w:tc>
          <w:tcPr>
            <w:tcW w:w="1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color w:val="auto"/>
              </w:rPr>
              <w:t>Year Ended December 31, 2010</w:t>
            </w:r>
          </w:p>
        </w:tc>
        <w:tc>
          <w:tcPr>
            <w:tcW w:w="11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4"/>
                <w:szCs w:val="14"/>
                <w:color w:val="auto"/>
              </w:rPr>
              <w:t>Year Ended December 31, 2009</w:t>
            </w:r>
          </w:p>
        </w:tc>
      </w:tr>
      <w:tr>
        <w:trPr>
          <w:trHeight w:val="195"/>
        </w:trPr>
        <w:tc>
          <w:tcPr>
            <w:tcW w:w="3780" w:type="dxa"/>
            <w:vAlign w:val="bottom"/>
          </w:tcPr>
          <w:p>
            <w:pPr>
              <w:spacing w:after="0"/>
              <w:rPr>
                <w:sz w:val="16"/>
                <w:szCs w:val="16"/>
                <w:color w:val="auto"/>
              </w:rPr>
            </w:pPr>
          </w:p>
        </w:tc>
        <w:tc>
          <w:tcPr>
            <w:tcW w:w="1240" w:type="dxa"/>
            <w:vAlign w:val="bottom"/>
          </w:tcPr>
          <w:p>
            <w:pPr>
              <w:jc w:val="right"/>
              <w:ind w:right="318"/>
              <w:spacing w:after="0"/>
              <w:rPr>
                <w:sz w:val="20"/>
                <w:szCs w:val="20"/>
                <w:color w:val="auto"/>
              </w:rPr>
            </w:pPr>
            <w:r>
              <w:rPr>
                <w:rFonts w:ascii="Arial" w:cs="Arial" w:eastAsia="Arial" w:hAnsi="Arial"/>
                <w:sz w:val="14"/>
                <w:szCs w:val="14"/>
                <w:color w:val="auto"/>
              </w:rPr>
              <w:t>Previously</w:t>
            </w:r>
          </w:p>
        </w:tc>
        <w:tc>
          <w:tcPr>
            <w:tcW w:w="1360" w:type="dxa"/>
            <w:vAlign w:val="bottom"/>
          </w:tcPr>
          <w:p>
            <w:pPr>
              <w:spacing w:after="0"/>
              <w:rPr>
                <w:sz w:val="16"/>
                <w:szCs w:val="16"/>
                <w:color w:val="auto"/>
              </w:rPr>
            </w:pPr>
          </w:p>
        </w:tc>
        <w:tc>
          <w:tcPr>
            <w:tcW w:w="1320" w:type="dxa"/>
            <w:vAlign w:val="bottom"/>
            <w:gridSpan w:val="2"/>
          </w:tcPr>
          <w:p>
            <w:pPr>
              <w:jc w:val="right"/>
              <w:ind w:right="454"/>
              <w:spacing w:after="0"/>
              <w:rPr>
                <w:sz w:val="20"/>
                <w:szCs w:val="20"/>
                <w:color w:val="auto"/>
              </w:rPr>
            </w:pPr>
            <w:r>
              <w:rPr>
                <w:rFonts w:ascii="Arial" w:cs="Arial" w:eastAsia="Arial" w:hAnsi="Arial"/>
                <w:sz w:val="14"/>
                <w:szCs w:val="14"/>
                <w:color w:val="auto"/>
              </w:rPr>
              <w:t>Effect of</w:t>
            </w:r>
          </w:p>
        </w:tc>
        <w:tc>
          <w:tcPr>
            <w:tcW w:w="1160" w:type="dxa"/>
            <w:vAlign w:val="bottom"/>
          </w:tcPr>
          <w:p>
            <w:pPr>
              <w:jc w:val="right"/>
              <w:ind w:right="298"/>
              <w:spacing w:after="0"/>
              <w:rPr>
                <w:sz w:val="20"/>
                <w:szCs w:val="20"/>
                <w:color w:val="auto"/>
              </w:rPr>
            </w:pPr>
            <w:r>
              <w:rPr>
                <w:rFonts w:ascii="Arial" w:cs="Arial" w:eastAsia="Arial" w:hAnsi="Arial"/>
                <w:sz w:val="14"/>
                <w:szCs w:val="14"/>
                <w:color w:val="auto"/>
              </w:rPr>
              <w:t>Previously</w:t>
            </w:r>
          </w:p>
        </w:tc>
        <w:tc>
          <w:tcPr>
            <w:tcW w:w="1440" w:type="dxa"/>
            <w:vAlign w:val="bottom"/>
          </w:tcPr>
          <w:p>
            <w:pPr>
              <w:spacing w:after="0"/>
              <w:rPr>
                <w:sz w:val="16"/>
                <w:szCs w:val="16"/>
                <w:color w:val="auto"/>
              </w:rPr>
            </w:pPr>
          </w:p>
        </w:tc>
        <w:tc>
          <w:tcPr>
            <w:tcW w:w="1120" w:type="dxa"/>
            <w:vAlign w:val="bottom"/>
            <w:gridSpan w:val="2"/>
          </w:tcPr>
          <w:p>
            <w:pPr>
              <w:jc w:val="right"/>
              <w:ind w:right="272"/>
              <w:spacing w:after="0"/>
              <w:rPr>
                <w:sz w:val="20"/>
                <w:szCs w:val="20"/>
                <w:color w:val="auto"/>
              </w:rPr>
            </w:pPr>
            <w:r>
              <w:rPr>
                <w:rFonts w:ascii="Arial" w:cs="Arial" w:eastAsia="Arial" w:hAnsi="Arial"/>
                <w:sz w:val="14"/>
                <w:szCs w:val="14"/>
                <w:color w:val="auto"/>
              </w:rPr>
              <w:t>Effect of</w:t>
            </w:r>
          </w:p>
        </w:tc>
      </w:tr>
      <w:tr>
        <w:trPr>
          <w:trHeight w:val="149"/>
        </w:trPr>
        <w:tc>
          <w:tcPr>
            <w:tcW w:w="37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318"/>
              <w:spacing w:after="0" w:line="149" w:lineRule="exact"/>
              <w:rPr>
                <w:sz w:val="20"/>
                <w:szCs w:val="20"/>
                <w:color w:val="auto"/>
              </w:rPr>
            </w:pPr>
            <w:r>
              <w:rPr>
                <w:rFonts w:ascii="Arial" w:cs="Arial" w:eastAsia="Arial" w:hAnsi="Arial"/>
                <w:sz w:val="14"/>
                <w:szCs w:val="14"/>
                <w:color w:val="auto"/>
              </w:rPr>
              <w:t>Reported</w:t>
            </w:r>
          </w:p>
        </w:tc>
        <w:tc>
          <w:tcPr>
            <w:tcW w:w="1360" w:type="dxa"/>
            <w:vAlign w:val="bottom"/>
            <w:tcBorders>
              <w:bottom w:val="single" w:sz="8" w:color="auto"/>
            </w:tcBorders>
          </w:tcPr>
          <w:p>
            <w:pPr>
              <w:jc w:val="right"/>
              <w:ind w:right="398"/>
              <w:spacing w:after="0" w:line="149" w:lineRule="exact"/>
              <w:rPr>
                <w:sz w:val="20"/>
                <w:szCs w:val="20"/>
                <w:color w:val="auto"/>
              </w:rPr>
            </w:pPr>
            <w:r>
              <w:rPr>
                <w:rFonts w:ascii="Arial" w:cs="Arial" w:eastAsia="Arial" w:hAnsi="Arial"/>
                <w:sz w:val="14"/>
                <w:szCs w:val="14"/>
                <w:color w:val="auto"/>
              </w:rPr>
              <w:t>Revised</w:t>
            </w:r>
          </w:p>
        </w:tc>
        <w:tc>
          <w:tcPr>
            <w:tcW w:w="1320" w:type="dxa"/>
            <w:vAlign w:val="bottom"/>
            <w:tcBorders>
              <w:bottom w:val="single" w:sz="8" w:color="auto"/>
            </w:tcBorders>
            <w:gridSpan w:val="2"/>
          </w:tcPr>
          <w:p>
            <w:pPr>
              <w:jc w:val="right"/>
              <w:ind w:right="454"/>
              <w:spacing w:after="0" w:line="149" w:lineRule="exact"/>
              <w:rPr>
                <w:sz w:val="20"/>
                <w:szCs w:val="20"/>
                <w:color w:val="auto"/>
              </w:rPr>
            </w:pPr>
            <w:r>
              <w:rPr>
                <w:rFonts w:ascii="Arial" w:cs="Arial" w:eastAsia="Arial" w:hAnsi="Arial"/>
                <w:sz w:val="14"/>
                <w:szCs w:val="14"/>
                <w:color w:val="auto"/>
              </w:rPr>
              <w:t>Change</w:t>
            </w:r>
          </w:p>
        </w:tc>
        <w:tc>
          <w:tcPr>
            <w:tcW w:w="1160" w:type="dxa"/>
            <w:vAlign w:val="bottom"/>
            <w:tcBorders>
              <w:bottom w:val="single" w:sz="8" w:color="auto"/>
            </w:tcBorders>
          </w:tcPr>
          <w:p>
            <w:pPr>
              <w:jc w:val="right"/>
              <w:ind w:right="298"/>
              <w:spacing w:after="0" w:line="149" w:lineRule="exact"/>
              <w:rPr>
                <w:sz w:val="20"/>
                <w:szCs w:val="20"/>
                <w:color w:val="auto"/>
              </w:rPr>
            </w:pPr>
            <w:r>
              <w:rPr>
                <w:rFonts w:ascii="Arial" w:cs="Arial" w:eastAsia="Arial" w:hAnsi="Arial"/>
                <w:sz w:val="14"/>
                <w:szCs w:val="14"/>
                <w:color w:val="auto"/>
              </w:rPr>
              <w:t>Reported</w:t>
            </w:r>
          </w:p>
        </w:tc>
        <w:tc>
          <w:tcPr>
            <w:tcW w:w="1440" w:type="dxa"/>
            <w:vAlign w:val="bottom"/>
            <w:tcBorders>
              <w:bottom w:val="single" w:sz="8" w:color="auto"/>
            </w:tcBorders>
          </w:tcPr>
          <w:p>
            <w:pPr>
              <w:jc w:val="right"/>
              <w:ind w:right="437"/>
              <w:spacing w:after="0" w:line="149" w:lineRule="exact"/>
              <w:rPr>
                <w:sz w:val="20"/>
                <w:szCs w:val="20"/>
                <w:color w:val="auto"/>
              </w:rPr>
            </w:pPr>
            <w:r>
              <w:rPr>
                <w:rFonts w:ascii="Arial" w:cs="Arial" w:eastAsia="Arial" w:hAnsi="Arial"/>
                <w:sz w:val="14"/>
                <w:szCs w:val="14"/>
                <w:color w:val="auto"/>
              </w:rPr>
              <w:t>Revised</w:t>
            </w:r>
          </w:p>
        </w:tc>
        <w:tc>
          <w:tcPr>
            <w:tcW w:w="1120" w:type="dxa"/>
            <w:vAlign w:val="bottom"/>
            <w:tcBorders>
              <w:bottom w:val="single" w:sz="8" w:color="auto"/>
            </w:tcBorders>
            <w:gridSpan w:val="2"/>
          </w:tcPr>
          <w:p>
            <w:pPr>
              <w:jc w:val="right"/>
              <w:ind w:right="272"/>
              <w:spacing w:after="0" w:line="149" w:lineRule="exact"/>
              <w:rPr>
                <w:sz w:val="20"/>
                <w:szCs w:val="20"/>
                <w:color w:val="auto"/>
              </w:rPr>
            </w:pPr>
            <w:r>
              <w:rPr>
                <w:rFonts w:ascii="Arial" w:cs="Arial" w:eastAsia="Arial" w:hAnsi="Arial"/>
                <w:sz w:val="14"/>
                <w:szCs w:val="14"/>
                <w:color w:val="auto"/>
              </w:rPr>
              <w:t>Change</w:t>
            </w:r>
          </w:p>
        </w:tc>
      </w:tr>
      <w:tr>
        <w:trPr>
          <w:trHeight w:val="196"/>
        </w:trPr>
        <w:tc>
          <w:tcPr>
            <w:tcW w:w="3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Retained (deficit) earnings</w:t>
            </w:r>
          </w:p>
        </w:tc>
        <w:tc>
          <w:tcPr>
            <w:tcW w:w="1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203"/>
        </w:trPr>
        <w:tc>
          <w:tcPr>
            <w:tcW w:w="3780" w:type="dxa"/>
            <w:vAlign w:val="bottom"/>
          </w:tcPr>
          <w:p>
            <w:pPr>
              <w:ind w:left="220"/>
              <w:spacing w:after="0" w:line="202" w:lineRule="exact"/>
              <w:rPr>
                <w:sz w:val="20"/>
                <w:szCs w:val="20"/>
                <w:color w:val="auto"/>
              </w:rPr>
            </w:pPr>
            <w:r>
              <w:rPr>
                <w:rFonts w:ascii="Arial" w:cs="Arial" w:eastAsia="Arial" w:hAnsi="Arial"/>
                <w:sz w:val="18"/>
                <w:szCs w:val="18"/>
                <w:color w:val="auto"/>
              </w:rPr>
              <w:t>Beginning balance</w:t>
            </w:r>
          </w:p>
        </w:tc>
        <w:tc>
          <w:tcPr>
            <w:tcW w:w="1240" w:type="dxa"/>
            <w:vAlign w:val="bottom"/>
          </w:tcPr>
          <w:p>
            <w:pPr>
              <w:jc w:val="right"/>
              <w:ind w:right="258"/>
              <w:spacing w:after="0" w:line="202" w:lineRule="exact"/>
              <w:rPr>
                <w:sz w:val="20"/>
                <w:szCs w:val="20"/>
                <w:color w:val="auto"/>
              </w:rPr>
            </w:pPr>
            <w:r>
              <w:rPr>
                <w:rFonts w:ascii="Arial" w:cs="Arial" w:eastAsia="Arial" w:hAnsi="Arial"/>
                <w:sz w:val="18"/>
                <w:szCs w:val="18"/>
                <w:color w:val="auto"/>
              </w:rPr>
              <w:t>$ (742.6)</w:t>
            </w:r>
          </w:p>
        </w:tc>
        <w:tc>
          <w:tcPr>
            <w:tcW w:w="1360" w:type="dxa"/>
            <w:vAlign w:val="bottom"/>
          </w:tcPr>
          <w:p>
            <w:pPr>
              <w:jc w:val="right"/>
              <w:ind w:right="338"/>
              <w:spacing w:after="0" w:line="202" w:lineRule="exact"/>
              <w:rPr>
                <w:sz w:val="20"/>
                <w:szCs w:val="20"/>
                <w:color w:val="auto"/>
              </w:rPr>
            </w:pPr>
            <w:r>
              <w:rPr>
                <w:rFonts w:ascii="Arial" w:cs="Arial" w:eastAsia="Arial" w:hAnsi="Arial"/>
                <w:sz w:val="18"/>
                <w:szCs w:val="18"/>
                <w:color w:val="auto"/>
              </w:rPr>
              <w:t>$(856.8)</w:t>
            </w:r>
          </w:p>
        </w:tc>
        <w:tc>
          <w:tcPr>
            <w:tcW w:w="1320" w:type="dxa"/>
            <w:vAlign w:val="bottom"/>
            <w:gridSpan w:val="2"/>
          </w:tcPr>
          <w:p>
            <w:pPr>
              <w:jc w:val="right"/>
              <w:ind w:right="394"/>
              <w:spacing w:after="0" w:line="202" w:lineRule="exact"/>
              <w:rPr>
                <w:sz w:val="20"/>
                <w:szCs w:val="20"/>
                <w:color w:val="auto"/>
              </w:rPr>
            </w:pPr>
            <w:r>
              <w:rPr>
                <w:rFonts w:ascii="Arial" w:cs="Arial" w:eastAsia="Arial" w:hAnsi="Arial"/>
                <w:sz w:val="18"/>
                <w:szCs w:val="18"/>
                <w:color w:val="auto"/>
              </w:rPr>
              <w:t>(114.2)</w:t>
            </w:r>
          </w:p>
        </w:tc>
        <w:tc>
          <w:tcPr>
            <w:tcW w:w="1160" w:type="dxa"/>
            <w:vAlign w:val="bottom"/>
          </w:tcPr>
          <w:p>
            <w:pPr>
              <w:jc w:val="right"/>
              <w:ind w:right="238"/>
              <w:spacing w:after="0" w:line="202" w:lineRule="exact"/>
              <w:rPr>
                <w:sz w:val="20"/>
                <w:szCs w:val="20"/>
                <w:color w:val="auto"/>
              </w:rPr>
            </w:pPr>
            <w:r>
              <w:rPr>
                <w:rFonts w:ascii="Arial" w:cs="Arial" w:eastAsia="Arial" w:hAnsi="Arial"/>
                <w:sz w:val="18"/>
                <w:szCs w:val="18"/>
                <w:color w:val="auto"/>
              </w:rPr>
              <w:t>$ (700.7)</w:t>
            </w:r>
          </w:p>
        </w:tc>
        <w:tc>
          <w:tcPr>
            <w:tcW w:w="1440" w:type="dxa"/>
            <w:vAlign w:val="bottom"/>
          </w:tcPr>
          <w:p>
            <w:pPr>
              <w:jc w:val="right"/>
              <w:ind w:right="377"/>
              <w:spacing w:after="0" w:line="202" w:lineRule="exact"/>
              <w:rPr>
                <w:sz w:val="20"/>
                <w:szCs w:val="20"/>
                <w:color w:val="auto"/>
              </w:rPr>
            </w:pPr>
            <w:r>
              <w:rPr>
                <w:rFonts w:ascii="Arial" w:cs="Arial" w:eastAsia="Arial" w:hAnsi="Arial"/>
                <w:sz w:val="18"/>
                <w:szCs w:val="18"/>
                <w:color w:val="auto"/>
              </w:rPr>
              <w:t>$(817.8)</w:t>
            </w:r>
          </w:p>
        </w:tc>
        <w:tc>
          <w:tcPr>
            <w:tcW w:w="1120" w:type="dxa"/>
            <w:vAlign w:val="bottom"/>
            <w:gridSpan w:val="2"/>
          </w:tcPr>
          <w:p>
            <w:pPr>
              <w:jc w:val="right"/>
              <w:ind w:right="212"/>
              <w:spacing w:after="0" w:line="202" w:lineRule="exact"/>
              <w:rPr>
                <w:sz w:val="20"/>
                <w:szCs w:val="20"/>
                <w:color w:val="auto"/>
              </w:rPr>
            </w:pPr>
            <w:r>
              <w:rPr>
                <w:rFonts w:ascii="Arial" w:cs="Arial" w:eastAsia="Arial" w:hAnsi="Arial"/>
                <w:sz w:val="18"/>
                <w:szCs w:val="18"/>
                <w:color w:val="auto"/>
              </w:rPr>
              <w:t>$(117.1)</w:t>
            </w:r>
          </w:p>
        </w:tc>
      </w:tr>
      <w:tr>
        <w:trPr>
          <w:trHeight w:val="206"/>
        </w:trPr>
        <w:tc>
          <w:tcPr>
            <w:tcW w:w="378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rPr>
              <w:t>Net income (loss) attributable to Home &amp;</w:t>
            </w:r>
          </w:p>
        </w:tc>
        <w:tc>
          <w:tcPr>
            <w:tcW w:w="1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199"/>
        </w:trPr>
        <w:tc>
          <w:tcPr>
            <w:tcW w:w="3780" w:type="dxa"/>
            <w:vAlign w:val="bottom"/>
            <w:shd w:val="clear" w:color="auto" w:fill="CCEEFF"/>
          </w:tcPr>
          <w:p>
            <w:pPr>
              <w:ind w:left="440"/>
              <w:spacing w:after="0" w:line="200" w:lineRule="exact"/>
              <w:rPr>
                <w:sz w:val="20"/>
                <w:szCs w:val="20"/>
                <w:color w:val="auto"/>
              </w:rPr>
            </w:pPr>
            <w:r>
              <w:rPr>
                <w:rFonts w:ascii="Arial" w:cs="Arial" w:eastAsia="Arial" w:hAnsi="Arial"/>
                <w:sz w:val="18"/>
                <w:szCs w:val="18"/>
                <w:color w:val="auto"/>
              </w:rPr>
              <w:t>Security</w:t>
            </w:r>
          </w:p>
        </w:tc>
        <w:tc>
          <w:tcPr>
            <w:tcW w:w="1240" w:type="dxa"/>
            <w:vAlign w:val="bottom"/>
            <w:shd w:val="clear" w:color="auto" w:fill="CCEEFF"/>
          </w:tcPr>
          <w:p>
            <w:pPr>
              <w:jc w:val="right"/>
              <w:ind w:right="318"/>
              <w:spacing w:after="0" w:line="200" w:lineRule="exact"/>
              <w:rPr>
                <w:sz w:val="20"/>
                <w:szCs w:val="20"/>
                <w:color w:val="auto"/>
              </w:rPr>
            </w:pPr>
            <w:r>
              <w:rPr>
                <w:rFonts w:ascii="Arial" w:cs="Arial" w:eastAsia="Arial" w:hAnsi="Arial"/>
                <w:sz w:val="18"/>
                <w:szCs w:val="18"/>
                <w:color w:val="auto"/>
              </w:rPr>
              <w:t>57.2</w:t>
            </w:r>
          </w:p>
        </w:tc>
        <w:tc>
          <w:tcPr>
            <w:tcW w:w="1360" w:type="dxa"/>
            <w:vAlign w:val="bottom"/>
            <w:shd w:val="clear" w:color="auto" w:fill="CCEEFF"/>
          </w:tcPr>
          <w:p>
            <w:pPr>
              <w:jc w:val="right"/>
              <w:ind w:right="398"/>
              <w:spacing w:after="0" w:line="200" w:lineRule="exact"/>
              <w:rPr>
                <w:sz w:val="20"/>
                <w:szCs w:val="20"/>
                <w:color w:val="auto"/>
              </w:rPr>
            </w:pPr>
            <w:r>
              <w:rPr>
                <w:rFonts w:ascii="Arial" w:cs="Arial" w:eastAsia="Arial" w:hAnsi="Arial"/>
                <w:sz w:val="18"/>
                <w:szCs w:val="18"/>
                <w:color w:val="auto"/>
              </w:rPr>
              <w:t>63.8</w:t>
            </w:r>
          </w:p>
        </w:tc>
        <w:tc>
          <w:tcPr>
            <w:tcW w:w="1320" w:type="dxa"/>
            <w:vAlign w:val="bottom"/>
            <w:gridSpan w:val="2"/>
            <w:shd w:val="clear" w:color="auto" w:fill="CCEEFF"/>
          </w:tcPr>
          <w:p>
            <w:pPr>
              <w:jc w:val="right"/>
              <w:ind w:right="454"/>
              <w:spacing w:after="0" w:line="200" w:lineRule="exact"/>
              <w:rPr>
                <w:sz w:val="20"/>
                <w:szCs w:val="20"/>
                <w:color w:val="auto"/>
              </w:rPr>
            </w:pPr>
            <w:r>
              <w:rPr>
                <w:rFonts w:ascii="Arial" w:cs="Arial" w:eastAsia="Arial" w:hAnsi="Arial"/>
                <w:sz w:val="18"/>
                <w:szCs w:val="18"/>
                <w:color w:val="auto"/>
              </w:rPr>
              <w:t>6.6</w:t>
            </w:r>
          </w:p>
        </w:tc>
        <w:tc>
          <w:tcPr>
            <w:tcW w:w="1160" w:type="dxa"/>
            <w:vAlign w:val="bottom"/>
            <w:shd w:val="clear" w:color="auto" w:fill="CCEEFF"/>
          </w:tcPr>
          <w:p>
            <w:pPr>
              <w:jc w:val="right"/>
              <w:ind w:right="238"/>
              <w:spacing w:after="0" w:line="200" w:lineRule="exact"/>
              <w:rPr>
                <w:sz w:val="20"/>
                <w:szCs w:val="20"/>
                <w:color w:val="auto"/>
              </w:rPr>
            </w:pPr>
            <w:r>
              <w:rPr>
                <w:rFonts w:ascii="Arial" w:cs="Arial" w:eastAsia="Arial" w:hAnsi="Arial"/>
                <w:sz w:val="18"/>
                <w:szCs w:val="18"/>
                <w:color w:val="auto"/>
              </w:rPr>
              <w:t>(41.9)</w:t>
            </w:r>
          </w:p>
        </w:tc>
        <w:tc>
          <w:tcPr>
            <w:tcW w:w="1440" w:type="dxa"/>
            <w:vAlign w:val="bottom"/>
            <w:shd w:val="clear" w:color="auto" w:fill="CCEEFF"/>
          </w:tcPr>
          <w:p>
            <w:pPr>
              <w:jc w:val="right"/>
              <w:ind w:right="377"/>
              <w:spacing w:after="0" w:line="200" w:lineRule="exact"/>
              <w:rPr>
                <w:sz w:val="20"/>
                <w:szCs w:val="20"/>
                <w:color w:val="auto"/>
              </w:rPr>
            </w:pPr>
            <w:r>
              <w:rPr>
                <w:rFonts w:ascii="Arial" w:cs="Arial" w:eastAsia="Arial" w:hAnsi="Arial"/>
                <w:sz w:val="18"/>
                <w:szCs w:val="18"/>
                <w:color w:val="auto"/>
              </w:rPr>
              <w:t>(39.0)</w:t>
            </w:r>
          </w:p>
        </w:tc>
        <w:tc>
          <w:tcPr>
            <w:tcW w:w="1120" w:type="dxa"/>
            <w:vAlign w:val="bottom"/>
            <w:gridSpan w:val="2"/>
            <w:shd w:val="clear" w:color="auto" w:fill="CCEEFF"/>
          </w:tcPr>
          <w:p>
            <w:pPr>
              <w:jc w:val="right"/>
              <w:ind w:right="272"/>
              <w:spacing w:after="0" w:line="200" w:lineRule="exact"/>
              <w:rPr>
                <w:sz w:val="20"/>
                <w:szCs w:val="20"/>
                <w:color w:val="auto"/>
              </w:rPr>
            </w:pPr>
            <w:r>
              <w:rPr>
                <w:rFonts w:ascii="Arial" w:cs="Arial" w:eastAsia="Arial" w:hAnsi="Arial"/>
                <w:sz w:val="18"/>
                <w:szCs w:val="18"/>
                <w:color w:val="auto"/>
              </w:rPr>
              <w:t>2.9</w:t>
            </w:r>
          </w:p>
        </w:tc>
      </w:tr>
      <w:tr>
        <w:trPr>
          <w:trHeight w:val="203"/>
        </w:trPr>
        <w:tc>
          <w:tcPr>
            <w:tcW w:w="3780" w:type="dxa"/>
            <w:vAlign w:val="bottom"/>
          </w:tcPr>
          <w:p>
            <w:pPr>
              <w:ind w:left="220"/>
              <w:spacing w:after="0" w:line="202" w:lineRule="exact"/>
              <w:rPr>
                <w:sz w:val="20"/>
                <w:szCs w:val="20"/>
                <w:color w:val="auto"/>
              </w:rPr>
            </w:pPr>
            <w:r>
              <w:rPr>
                <w:rFonts w:ascii="Arial" w:cs="Arial" w:eastAsia="Arial" w:hAnsi="Arial"/>
                <w:sz w:val="18"/>
                <w:szCs w:val="18"/>
                <w:color w:val="auto"/>
              </w:rPr>
              <w:t>Ending balance</w:t>
            </w:r>
          </w:p>
        </w:tc>
        <w:tc>
          <w:tcPr>
            <w:tcW w:w="1240" w:type="dxa"/>
            <w:vAlign w:val="bottom"/>
          </w:tcPr>
          <w:p>
            <w:pPr>
              <w:jc w:val="right"/>
              <w:ind w:right="258"/>
              <w:spacing w:after="0" w:line="202" w:lineRule="exact"/>
              <w:rPr>
                <w:sz w:val="20"/>
                <w:szCs w:val="20"/>
                <w:color w:val="auto"/>
              </w:rPr>
            </w:pPr>
            <w:r>
              <w:rPr>
                <w:rFonts w:ascii="Arial" w:cs="Arial" w:eastAsia="Arial" w:hAnsi="Arial"/>
                <w:sz w:val="18"/>
                <w:szCs w:val="18"/>
                <w:color w:val="auto"/>
              </w:rPr>
              <w:t>(685.4)</w:t>
            </w:r>
          </w:p>
        </w:tc>
        <w:tc>
          <w:tcPr>
            <w:tcW w:w="1360" w:type="dxa"/>
            <w:vAlign w:val="bottom"/>
          </w:tcPr>
          <w:p>
            <w:pPr>
              <w:jc w:val="right"/>
              <w:ind w:right="338"/>
              <w:spacing w:after="0" w:line="202" w:lineRule="exact"/>
              <w:rPr>
                <w:sz w:val="20"/>
                <w:szCs w:val="20"/>
                <w:color w:val="auto"/>
              </w:rPr>
            </w:pPr>
            <w:r>
              <w:rPr>
                <w:rFonts w:ascii="Arial" w:cs="Arial" w:eastAsia="Arial" w:hAnsi="Arial"/>
                <w:sz w:val="18"/>
                <w:szCs w:val="18"/>
                <w:color w:val="auto"/>
              </w:rPr>
              <w:t>(793.0)</w:t>
            </w:r>
          </w:p>
        </w:tc>
        <w:tc>
          <w:tcPr>
            <w:tcW w:w="1320" w:type="dxa"/>
            <w:vAlign w:val="bottom"/>
            <w:gridSpan w:val="2"/>
          </w:tcPr>
          <w:p>
            <w:pPr>
              <w:jc w:val="right"/>
              <w:ind w:right="394"/>
              <w:spacing w:after="0" w:line="202" w:lineRule="exact"/>
              <w:rPr>
                <w:sz w:val="20"/>
                <w:szCs w:val="20"/>
                <w:color w:val="auto"/>
              </w:rPr>
            </w:pPr>
            <w:r>
              <w:rPr>
                <w:rFonts w:ascii="Arial" w:cs="Arial" w:eastAsia="Arial" w:hAnsi="Arial"/>
                <w:sz w:val="18"/>
                <w:szCs w:val="18"/>
                <w:color w:val="auto"/>
              </w:rPr>
              <w:t>(107.6)</w:t>
            </w:r>
          </w:p>
        </w:tc>
        <w:tc>
          <w:tcPr>
            <w:tcW w:w="1160" w:type="dxa"/>
            <w:vAlign w:val="bottom"/>
          </w:tcPr>
          <w:p>
            <w:pPr>
              <w:jc w:val="right"/>
              <w:ind w:right="238"/>
              <w:spacing w:after="0" w:line="202" w:lineRule="exact"/>
              <w:rPr>
                <w:sz w:val="20"/>
                <w:szCs w:val="20"/>
                <w:color w:val="auto"/>
              </w:rPr>
            </w:pPr>
            <w:r>
              <w:rPr>
                <w:rFonts w:ascii="Arial" w:cs="Arial" w:eastAsia="Arial" w:hAnsi="Arial"/>
                <w:sz w:val="18"/>
                <w:szCs w:val="18"/>
                <w:color w:val="auto"/>
              </w:rPr>
              <w:t>(742.6)</w:t>
            </w:r>
          </w:p>
        </w:tc>
        <w:tc>
          <w:tcPr>
            <w:tcW w:w="1440" w:type="dxa"/>
            <w:vAlign w:val="bottom"/>
          </w:tcPr>
          <w:p>
            <w:pPr>
              <w:jc w:val="right"/>
              <w:ind w:right="377"/>
              <w:spacing w:after="0" w:line="202" w:lineRule="exact"/>
              <w:rPr>
                <w:sz w:val="20"/>
                <w:szCs w:val="20"/>
                <w:color w:val="auto"/>
              </w:rPr>
            </w:pPr>
            <w:r>
              <w:rPr>
                <w:rFonts w:ascii="Arial" w:cs="Arial" w:eastAsia="Arial" w:hAnsi="Arial"/>
                <w:sz w:val="18"/>
                <w:szCs w:val="18"/>
                <w:color w:val="auto"/>
              </w:rPr>
              <w:t>(856.8)</w:t>
            </w:r>
          </w:p>
        </w:tc>
        <w:tc>
          <w:tcPr>
            <w:tcW w:w="1120" w:type="dxa"/>
            <w:vAlign w:val="bottom"/>
            <w:gridSpan w:val="2"/>
          </w:tcPr>
          <w:p>
            <w:pPr>
              <w:jc w:val="right"/>
              <w:ind w:right="212"/>
              <w:spacing w:after="0" w:line="202" w:lineRule="exact"/>
              <w:rPr>
                <w:sz w:val="20"/>
                <w:szCs w:val="20"/>
                <w:color w:val="auto"/>
              </w:rPr>
            </w:pPr>
            <w:r>
              <w:rPr>
                <w:rFonts w:ascii="Arial" w:cs="Arial" w:eastAsia="Arial" w:hAnsi="Arial"/>
                <w:sz w:val="18"/>
                <w:szCs w:val="18"/>
                <w:color w:val="auto"/>
              </w:rPr>
              <w:t>(114.2)</w:t>
            </w:r>
          </w:p>
        </w:tc>
      </w:tr>
      <w:tr>
        <w:trPr>
          <w:trHeight w:val="206"/>
        </w:trPr>
        <w:tc>
          <w:tcPr>
            <w:tcW w:w="37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Accumulated other comprehensive loss</w:t>
            </w:r>
          </w:p>
        </w:tc>
        <w:tc>
          <w:tcPr>
            <w:tcW w:w="1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199"/>
        </w:trPr>
        <w:tc>
          <w:tcPr>
            <w:tcW w:w="378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(income)</w:t>
            </w:r>
          </w:p>
        </w:tc>
        <w:tc>
          <w:tcPr>
            <w:tcW w:w="1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203"/>
        </w:trPr>
        <w:tc>
          <w:tcPr>
            <w:tcW w:w="3780" w:type="dxa"/>
            <w:vAlign w:val="bottom"/>
          </w:tcPr>
          <w:p>
            <w:pPr>
              <w:ind w:left="220"/>
              <w:spacing w:after="0" w:line="202" w:lineRule="exact"/>
              <w:rPr>
                <w:sz w:val="20"/>
                <w:szCs w:val="20"/>
                <w:color w:val="auto"/>
              </w:rPr>
            </w:pPr>
            <w:r>
              <w:rPr>
                <w:rFonts w:ascii="Arial" w:cs="Arial" w:eastAsia="Arial" w:hAnsi="Arial"/>
                <w:sz w:val="18"/>
                <w:szCs w:val="18"/>
                <w:color w:val="auto"/>
              </w:rPr>
              <w:t>Beginning balance</w:t>
            </w:r>
          </w:p>
        </w:tc>
        <w:tc>
          <w:tcPr>
            <w:tcW w:w="1240" w:type="dxa"/>
            <w:vAlign w:val="bottom"/>
          </w:tcPr>
          <w:p>
            <w:pPr>
              <w:jc w:val="right"/>
              <w:ind w:right="258"/>
              <w:spacing w:after="0" w:line="202" w:lineRule="exact"/>
              <w:rPr>
                <w:sz w:val="20"/>
                <w:szCs w:val="20"/>
                <w:color w:val="auto"/>
              </w:rPr>
            </w:pPr>
            <w:r>
              <w:rPr>
                <w:rFonts w:ascii="Arial" w:cs="Arial" w:eastAsia="Arial" w:hAnsi="Arial"/>
                <w:sz w:val="18"/>
                <w:szCs w:val="18"/>
                <w:color w:val="auto"/>
              </w:rPr>
              <w:t>(90.1)</w:t>
            </w:r>
          </w:p>
        </w:tc>
        <w:tc>
          <w:tcPr>
            <w:tcW w:w="1360" w:type="dxa"/>
            <w:vAlign w:val="bottom"/>
          </w:tcPr>
          <w:p>
            <w:pPr>
              <w:jc w:val="right"/>
              <w:ind w:right="398"/>
              <w:spacing w:after="0" w:line="202" w:lineRule="exact"/>
              <w:rPr>
                <w:sz w:val="20"/>
                <w:szCs w:val="20"/>
                <w:color w:val="auto"/>
              </w:rPr>
            </w:pPr>
            <w:r>
              <w:rPr>
                <w:rFonts w:ascii="Arial" w:cs="Arial" w:eastAsia="Arial" w:hAnsi="Arial"/>
                <w:sz w:val="18"/>
                <w:szCs w:val="18"/>
                <w:color w:val="auto"/>
              </w:rPr>
              <w:t>22.8</w:t>
            </w:r>
          </w:p>
        </w:tc>
        <w:tc>
          <w:tcPr>
            <w:tcW w:w="1320" w:type="dxa"/>
            <w:vAlign w:val="bottom"/>
            <w:gridSpan w:val="2"/>
          </w:tcPr>
          <w:p>
            <w:pPr>
              <w:jc w:val="right"/>
              <w:ind w:right="454"/>
              <w:spacing w:after="0" w:line="202" w:lineRule="exact"/>
              <w:rPr>
                <w:sz w:val="20"/>
                <w:szCs w:val="20"/>
                <w:color w:val="auto"/>
              </w:rPr>
            </w:pPr>
            <w:r>
              <w:rPr>
                <w:rFonts w:ascii="Arial" w:cs="Arial" w:eastAsia="Arial" w:hAnsi="Arial"/>
                <w:sz w:val="18"/>
                <w:szCs w:val="18"/>
                <w:color w:val="auto"/>
              </w:rPr>
              <w:t>112.9</w:t>
            </w:r>
          </w:p>
        </w:tc>
        <w:tc>
          <w:tcPr>
            <w:tcW w:w="1160" w:type="dxa"/>
            <w:vAlign w:val="bottom"/>
          </w:tcPr>
          <w:p>
            <w:pPr>
              <w:jc w:val="right"/>
              <w:ind w:right="238"/>
              <w:spacing w:after="0" w:line="202" w:lineRule="exact"/>
              <w:rPr>
                <w:sz w:val="20"/>
                <w:szCs w:val="20"/>
                <w:color w:val="auto"/>
              </w:rPr>
            </w:pPr>
            <w:r>
              <w:rPr>
                <w:rFonts w:ascii="Arial" w:cs="Arial" w:eastAsia="Arial" w:hAnsi="Arial"/>
                <w:sz w:val="18"/>
                <w:szCs w:val="18"/>
                <w:color w:val="auto"/>
              </w:rPr>
              <w:t>(122.2)</w:t>
            </w:r>
          </w:p>
        </w:tc>
        <w:tc>
          <w:tcPr>
            <w:tcW w:w="1440" w:type="dxa"/>
            <w:vAlign w:val="bottom"/>
          </w:tcPr>
          <w:p>
            <w:pPr>
              <w:jc w:val="right"/>
              <w:ind w:right="377"/>
              <w:spacing w:after="0" w:line="202" w:lineRule="exact"/>
              <w:rPr>
                <w:sz w:val="20"/>
                <w:szCs w:val="20"/>
                <w:color w:val="auto"/>
              </w:rPr>
            </w:pPr>
            <w:r>
              <w:rPr>
                <w:rFonts w:ascii="Arial" w:cs="Arial" w:eastAsia="Arial" w:hAnsi="Arial"/>
                <w:sz w:val="18"/>
                <w:szCs w:val="18"/>
                <w:color w:val="auto"/>
              </w:rPr>
              <w:t>(6.7)</w:t>
            </w:r>
          </w:p>
        </w:tc>
        <w:tc>
          <w:tcPr>
            <w:tcW w:w="1120" w:type="dxa"/>
            <w:vAlign w:val="bottom"/>
            <w:gridSpan w:val="2"/>
          </w:tcPr>
          <w:p>
            <w:pPr>
              <w:jc w:val="right"/>
              <w:ind w:right="272"/>
              <w:spacing w:after="0" w:line="202" w:lineRule="exact"/>
              <w:rPr>
                <w:sz w:val="20"/>
                <w:szCs w:val="20"/>
                <w:color w:val="auto"/>
              </w:rPr>
            </w:pPr>
            <w:r>
              <w:rPr>
                <w:rFonts w:ascii="Arial" w:cs="Arial" w:eastAsia="Arial" w:hAnsi="Arial"/>
                <w:sz w:val="18"/>
                <w:szCs w:val="18"/>
                <w:color w:val="auto"/>
              </w:rPr>
              <w:t>115.5</w:t>
            </w:r>
          </w:p>
        </w:tc>
      </w:tr>
      <w:tr>
        <w:trPr>
          <w:trHeight w:val="203"/>
        </w:trPr>
        <w:tc>
          <w:tcPr>
            <w:tcW w:w="3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Defined benefit plan adjustments</w:t>
            </w:r>
          </w:p>
        </w:tc>
        <w:tc>
          <w:tcPr>
            <w:tcW w:w="1240" w:type="dxa"/>
            <w:vAlign w:val="bottom"/>
            <w:shd w:val="clear" w:color="auto" w:fill="CCEEFF"/>
          </w:tcPr>
          <w:p>
            <w:pPr>
              <w:jc w:val="right"/>
              <w:ind w:right="318"/>
              <w:spacing w:after="0" w:line="202" w:lineRule="exact"/>
              <w:rPr>
                <w:sz w:val="20"/>
                <w:szCs w:val="20"/>
                <w:color w:val="auto"/>
              </w:rPr>
            </w:pPr>
            <w:r>
              <w:rPr>
                <w:rFonts w:ascii="Arial" w:cs="Arial" w:eastAsia="Arial" w:hAnsi="Arial"/>
                <w:sz w:val="18"/>
                <w:szCs w:val="18"/>
                <w:color w:val="auto"/>
              </w:rPr>
              <w:t>7.9</w:t>
            </w:r>
          </w:p>
        </w:tc>
        <w:tc>
          <w:tcPr>
            <w:tcW w:w="1360" w:type="dxa"/>
            <w:vAlign w:val="bottom"/>
            <w:shd w:val="clear" w:color="auto" w:fill="CCEEFF"/>
          </w:tcPr>
          <w:p>
            <w:pPr>
              <w:jc w:val="right"/>
              <w:ind w:right="378"/>
              <w:spacing w:after="0" w:line="202" w:lineRule="exact"/>
              <w:rPr>
                <w:sz w:val="20"/>
                <w:szCs w:val="20"/>
                <w:color w:val="auto"/>
              </w:rPr>
            </w:pPr>
            <w:r>
              <w:rPr>
                <w:rFonts w:ascii="Arial" w:cs="Arial" w:eastAsia="Arial" w:hAnsi="Arial"/>
                <w:sz w:val="18"/>
                <w:szCs w:val="18"/>
                <w:color w:val="auto"/>
              </w:rPr>
              <w:t>0.8</w:t>
            </w:r>
          </w:p>
        </w:tc>
        <w:tc>
          <w:tcPr>
            <w:tcW w:w="1320" w:type="dxa"/>
            <w:vAlign w:val="bottom"/>
            <w:gridSpan w:val="2"/>
            <w:shd w:val="clear" w:color="auto" w:fill="CCEEFF"/>
          </w:tcPr>
          <w:p>
            <w:pPr>
              <w:jc w:val="right"/>
              <w:ind w:right="394"/>
              <w:spacing w:after="0" w:line="202" w:lineRule="exact"/>
              <w:rPr>
                <w:sz w:val="20"/>
                <w:szCs w:val="20"/>
                <w:color w:val="auto"/>
              </w:rPr>
            </w:pPr>
            <w:r>
              <w:rPr>
                <w:rFonts w:ascii="Arial" w:cs="Arial" w:eastAsia="Arial" w:hAnsi="Arial"/>
                <w:sz w:val="18"/>
                <w:szCs w:val="18"/>
                <w:color w:val="auto"/>
              </w:rPr>
              <w:t>(7.1)</w:t>
            </w:r>
          </w:p>
        </w:tc>
        <w:tc>
          <w:tcPr>
            <w:tcW w:w="1160" w:type="dxa"/>
            <w:vAlign w:val="bottom"/>
            <w:shd w:val="clear" w:color="auto" w:fill="CCEEFF"/>
          </w:tcPr>
          <w:p>
            <w:pPr>
              <w:jc w:val="right"/>
              <w:ind w:right="298"/>
              <w:spacing w:after="0" w:line="202" w:lineRule="exact"/>
              <w:rPr>
                <w:sz w:val="20"/>
                <w:szCs w:val="20"/>
                <w:color w:val="auto"/>
              </w:rPr>
            </w:pPr>
            <w:r>
              <w:rPr>
                <w:rFonts w:ascii="Arial" w:cs="Arial" w:eastAsia="Arial" w:hAnsi="Arial"/>
                <w:sz w:val="18"/>
                <w:szCs w:val="18"/>
                <w:color w:val="auto"/>
              </w:rPr>
              <w:t>4.5</w:t>
            </w:r>
          </w:p>
        </w:tc>
        <w:tc>
          <w:tcPr>
            <w:tcW w:w="1440" w:type="dxa"/>
            <w:vAlign w:val="bottom"/>
            <w:shd w:val="clear" w:color="auto" w:fill="CCEEFF"/>
          </w:tcPr>
          <w:p>
            <w:pPr>
              <w:jc w:val="right"/>
              <w:ind w:right="437"/>
              <w:spacing w:after="0" w:line="202" w:lineRule="exact"/>
              <w:rPr>
                <w:sz w:val="20"/>
                <w:szCs w:val="20"/>
                <w:color w:val="auto"/>
              </w:rPr>
            </w:pPr>
            <w:r>
              <w:rPr>
                <w:rFonts w:ascii="Arial" w:cs="Arial" w:eastAsia="Arial" w:hAnsi="Arial"/>
                <w:sz w:val="18"/>
                <w:szCs w:val="18"/>
                <w:color w:val="auto"/>
              </w:rPr>
              <w:t>1.9</w:t>
            </w:r>
          </w:p>
        </w:tc>
        <w:tc>
          <w:tcPr>
            <w:tcW w:w="1120" w:type="dxa"/>
            <w:vAlign w:val="bottom"/>
            <w:gridSpan w:val="2"/>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(2.6)</w:t>
            </w:r>
          </w:p>
        </w:tc>
      </w:tr>
      <w:tr>
        <w:trPr>
          <w:trHeight w:val="203"/>
        </w:trPr>
        <w:tc>
          <w:tcPr>
            <w:tcW w:w="3780" w:type="dxa"/>
            <w:vAlign w:val="bottom"/>
          </w:tcPr>
          <w:p>
            <w:pPr>
              <w:ind w:left="220"/>
              <w:spacing w:after="0" w:line="202" w:lineRule="exact"/>
              <w:rPr>
                <w:sz w:val="20"/>
                <w:szCs w:val="20"/>
                <w:color w:val="auto"/>
              </w:rPr>
            </w:pPr>
            <w:r>
              <w:rPr>
                <w:rFonts w:ascii="Arial" w:cs="Arial" w:eastAsia="Arial" w:hAnsi="Arial"/>
                <w:sz w:val="18"/>
                <w:szCs w:val="18"/>
                <w:color w:val="auto"/>
              </w:rPr>
              <w:t>Ending balance</w:t>
            </w:r>
          </w:p>
        </w:tc>
        <w:tc>
          <w:tcPr>
            <w:tcW w:w="1240" w:type="dxa"/>
            <w:vAlign w:val="bottom"/>
          </w:tcPr>
          <w:p>
            <w:pPr>
              <w:jc w:val="right"/>
              <w:ind w:right="258"/>
              <w:spacing w:after="0" w:line="202" w:lineRule="exact"/>
              <w:rPr>
                <w:sz w:val="20"/>
                <w:szCs w:val="20"/>
                <w:color w:val="auto"/>
              </w:rPr>
            </w:pPr>
            <w:r>
              <w:rPr>
                <w:rFonts w:ascii="Arial" w:cs="Arial" w:eastAsia="Arial" w:hAnsi="Arial"/>
                <w:sz w:val="18"/>
                <w:szCs w:val="18"/>
                <w:color w:val="auto"/>
              </w:rPr>
              <w:t>(76.3)</w:t>
            </w:r>
          </w:p>
        </w:tc>
        <w:tc>
          <w:tcPr>
            <w:tcW w:w="1360" w:type="dxa"/>
            <w:vAlign w:val="bottom"/>
          </w:tcPr>
          <w:p>
            <w:pPr>
              <w:jc w:val="right"/>
              <w:ind w:right="398"/>
              <w:spacing w:after="0" w:line="202" w:lineRule="exact"/>
              <w:rPr>
                <w:sz w:val="20"/>
                <w:szCs w:val="20"/>
                <w:color w:val="auto"/>
              </w:rPr>
            </w:pPr>
            <w:r>
              <w:rPr>
                <w:rFonts w:ascii="Arial" w:cs="Arial" w:eastAsia="Arial" w:hAnsi="Arial"/>
                <w:sz w:val="18"/>
                <w:szCs w:val="18"/>
                <w:color w:val="auto"/>
              </w:rPr>
              <w:t>29.5</w:t>
            </w:r>
          </w:p>
        </w:tc>
        <w:tc>
          <w:tcPr>
            <w:tcW w:w="1320" w:type="dxa"/>
            <w:vAlign w:val="bottom"/>
            <w:gridSpan w:val="2"/>
          </w:tcPr>
          <w:p>
            <w:pPr>
              <w:jc w:val="right"/>
              <w:ind w:right="454"/>
              <w:spacing w:after="0" w:line="202" w:lineRule="exact"/>
              <w:rPr>
                <w:sz w:val="20"/>
                <w:szCs w:val="20"/>
                <w:color w:val="auto"/>
              </w:rPr>
            </w:pPr>
            <w:r>
              <w:rPr>
                <w:rFonts w:ascii="Arial" w:cs="Arial" w:eastAsia="Arial" w:hAnsi="Arial"/>
                <w:sz w:val="18"/>
                <w:szCs w:val="18"/>
                <w:color w:val="auto"/>
              </w:rPr>
              <w:t>105.8</w:t>
            </w:r>
          </w:p>
        </w:tc>
        <w:tc>
          <w:tcPr>
            <w:tcW w:w="1160" w:type="dxa"/>
            <w:vAlign w:val="bottom"/>
          </w:tcPr>
          <w:p>
            <w:pPr>
              <w:jc w:val="right"/>
              <w:ind w:right="238"/>
              <w:spacing w:after="0" w:line="202" w:lineRule="exact"/>
              <w:rPr>
                <w:sz w:val="20"/>
                <w:szCs w:val="20"/>
                <w:color w:val="auto"/>
              </w:rPr>
            </w:pPr>
            <w:r>
              <w:rPr>
                <w:rFonts w:ascii="Arial" w:cs="Arial" w:eastAsia="Arial" w:hAnsi="Arial"/>
                <w:sz w:val="18"/>
                <w:szCs w:val="18"/>
                <w:color w:val="auto"/>
              </w:rPr>
              <w:t>(90.1)</w:t>
            </w:r>
          </w:p>
        </w:tc>
        <w:tc>
          <w:tcPr>
            <w:tcW w:w="1440" w:type="dxa"/>
            <w:vAlign w:val="bottom"/>
          </w:tcPr>
          <w:p>
            <w:pPr>
              <w:jc w:val="right"/>
              <w:ind w:right="437"/>
              <w:spacing w:after="0" w:line="202" w:lineRule="exact"/>
              <w:rPr>
                <w:sz w:val="20"/>
                <w:szCs w:val="20"/>
                <w:color w:val="auto"/>
              </w:rPr>
            </w:pPr>
            <w:r>
              <w:rPr>
                <w:rFonts w:ascii="Arial" w:cs="Arial" w:eastAsia="Arial" w:hAnsi="Arial"/>
                <w:sz w:val="18"/>
                <w:szCs w:val="18"/>
                <w:color w:val="auto"/>
              </w:rPr>
              <w:t>22.8</w:t>
            </w:r>
          </w:p>
        </w:tc>
        <w:tc>
          <w:tcPr>
            <w:tcW w:w="1120" w:type="dxa"/>
            <w:vAlign w:val="bottom"/>
            <w:gridSpan w:val="2"/>
          </w:tcPr>
          <w:p>
            <w:pPr>
              <w:jc w:val="right"/>
              <w:ind w:right="272"/>
              <w:spacing w:after="0" w:line="202" w:lineRule="exact"/>
              <w:rPr>
                <w:sz w:val="20"/>
                <w:szCs w:val="20"/>
                <w:color w:val="auto"/>
              </w:rPr>
            </w:pPr>
            <w:r>
              <w:rPr>
                <w:rFonts w:ascii="Arial" w:cs="Arial" w:eastAsia="Arial" w:hAnsi="Arial"/>
                <w:sz w:val="18"/>
                <w:szCs w:val="18"/>
                <w:color w:val="auto"/>
              </w:rPr>
              <w:t>112.9</w:t>
            </w: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equity</w:t>
            </w:r>
          </w:p>
        </w:tc>
        <w:tc>
          <w:tcPr>
            <w:tcW w:w="1240" w:type="dxa"/>
            <w:vAlign w:val="bottom"/>
            <w:shd w:val="clear" w:color="auto" w:fill="CCEEFF"/>
          </w:tcPr>
          <w:p>
            <w:pPr>
              <w:jc w:val="right"/>
              <w:ind w:right="258"/>
              <w:spacing w:after="0" w:line="202" w:lineRule="exact"/>
              <w:rPr>
                <w:sz w:val="20"/>
                <w:szCs w:val="20"/>
                <w:color w:val="auto"/>
              </w:rPr>
            </w:pPr>
            <w:r>
              <w:rPr>
                <w:rFonts w:ascii="Arial" w:cs="Arial" w:eastAsia="Arial" w:hAnsi="Arial"/>
                <w:sz w:val="18"/>
                <w:szCs w:val="18"/>
                <w:color w:val="auto"/>
              </w:rPr>
              <w:t>(54.9)</w:t>
            </w:r>
          </w:p>
        </w:tc>
        <w:tc>
          <w:tcPr>
            <w:tcW w:w="1360" w:type="dxa"/>
            <w:vAlign w:val="bottom"/>
            <w:shd w:val="clear" w:color="auto" w:fill="CCEEFF"/>
          </w:tcPr>
          <w:p>
            <w:pPr>
              <w:jc w:val="right"/>
              <w:ind w:right="338"/>
              <w:spacing w:after="0" w:line="202" w:lineRule="exact"/>
              <w:rPr>
                <w:sz w:val="20"/>
                <w:szCs w:val="20"/>
                <w:color w:val="auto"/>
              </w:rPr>
            </w:pPr>
            <w:r>
              <w:rPr>
                <w:rFonts w:ascii="Arial" w:cs="Arial" w:eastAsia="Arial" w:hAnsi="Arial"/>
                <w:sz w:val="18"/>
                <w:szCs w:val="18"/>
                <w:color w:val="auto"/>
              </w:rPr>
              <w:t>(56.7)</w:t>
            </w:r>
          </w:p>
        </w:tc>
        <w:tc>
          <w:tcPr>
            <w:tcW w:w="1320" w:type="dxa"/>
            <w:vAlign w:val="bottom"/>
            <w:gridSpan w:val="2"/>
            <w:shd w:val="clear" w:color="auto" w:fill="CCEEFF"/>
          </w:tcPr>
          <w:p>
            <w:pPr>
              <w:jc w:val="right"/>
              <w:ind w:right="394"/>
              <w:spacing w:after="0" w:line="202" w:lineRule="exact"/>
              <w:rPr>
                <w:sz w:val="20"/>
                <w:szCs w:val="20"/>
                <w:color w:val="auto"/>
              </w:rPr>
            </w:pPr>
            <w:r>
              <w:rPr>
                <w:rFonts w:ascii="Arial" w:cs="Arial" w:eastAsia="Arial" w:hAnsi="Arial"/>
                <w:sz w:val="18"/>
                <w:szCs w:val="18"/>
                <w:color w:val="auto"/>
              </w:rPr>
              <w:t>(1.8)</w:t>
            </w:r>
          </w:p>
        </w:tc>
        <w:tc>
          <w:tcPr>
            <w:tcW w:w="1160" w:type="dxa"/>
            <w:vAlign w:val="bottom"/>
            <w:shd w:val="clear" w:color="auto" w:fill="CCEEFF"/>
          </w:tcPr>
          <w:p>
            <w:pPr>
              <w:jc w:val="right"/>
              <w:ind w:right="238"/>
              <w:spacing w:after="0" w:line="202" w:lineRule="exact"/>
              <w:rPr>
                <w:sz w:val="20"/>
                <w:szCs w:val="20"/>
                <w:color w:val="auto"/>
              </w:rPr>
            </w:pPr>
            <w:r>
              <w:rPr>
                <w:rFonts w:ascii="Arial" w:cs="Arial" w:eastAsia="Arial" w:hAnsi="Arial"/>
                <w:sz w:val="18"/>
                <w:szCs w:val="18"/>
                <w:color w:val="auto"/>
              </w:rPr>
              <w:t>(159.3)</w:t>
            </w:r>
          </w:p>
        </w:tc>
        <w:tc>
          <w:tcPr>
            <w:tcW w:w="1440" w:type="dxa"/>
            <w:vAlign w:val="bottom"/>
            <w:shd w:val="clear" w:color="auto" w:fill="CCEEFF"/>
          </w:tcPr>
          <w:p>
            <w:pPr>
              <w:jc w:val="right"/>
              <w:ind w:right="377"/>
              <w:spacing w:after="0" w:line="202" w:lineRule="exact"/>
              <w:rPr>
                <w:sz w:val="20"/>
                <w:szCs w:val="20"/>
                <w:color w:val="auto"/>
              </w:rPr>
            </w:pPr>
            <w:r>
              <w:rPr>
                <w:rFonts w:ascii="Arial" w:cs="Arial" w:eastAsia="Arial" w:hAnsi="Arial"/>
                <w:sz w:val="18"/>
                <w:szCs w:val="18"/>
                <w:color w:val="auto"/>
              </w:rPr>
              <w:t>(160.6)</w:t>
            </w:r>
          </w:p>
        </w:tc>
        <w:tc>
          <w:tcPr>
            <w:tcW w:w="1120" w:type="dxa"/>
            <w:vAlign w:val="bottom"/>
            <w:gridSpan w:val="2"/>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(1.3)</w:t>
            </w:r>
          </w:p>
        </w:tc>
      </w:tr>
    </w:tbl>
    <w:p>
      <w:pPr>
        <w:spacing w:after="0" w:line="165"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We record amounts relating to these plans based on calculations specified by GAAP, which include various actuarial assumptions, including discount rates, assumed rates of return, compensation increases, turnover rates and health care cost trend rates. We review our actuarial assumptions on an annual basis and make modifications to the assumptions based on current economic conditions and trends. The discount rate used to measure obligations is based on a spot-rate yield curve that matches projected future benefit payments with the appropriate interest rate applicable to the timing</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of the projected future benefit payments. The expected rate of return on plan assets is determined based on the nature of the plans’ investments and our expectations for long-term rates of return. Compensation increases reflect expected future compensation trends. For postretirement benefits, our health care trend rate assumption is based on historical cost increases and expectations for long-term increases. The cost or benefit of plan changes, such as increasing or decreasing benefits for prior employee service (prior service cost), is deferred and included in expense on a straight-line basis over the average remaining service period of the related employees. We believe that the assumptions utilized in recording obligations under the Company’s plans, which are presented in Note 12, “Defined Benefit Plans,” are reasonable based on our experience and on advice from our independent actuaries; however, differences in actual experience or changes in the assumptions may materially affect the Company’s financial position or results of operations. We will continue to monitor these assumptions as market conditions warrant.</w:t>
      </w:r>
    </w:p>
    <w:p>
      <w:pPr>
        <w:spacing w:after="0" w:line="11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b w:val="1"/>
          <w:bCs w:val="1"/>
          <w:color w:val="auto"/>
        </w:rPr>
        <w:t xml:space="preserve">Litigation Contingencies </w:t>
      </w:r>
      <w:r>
        <w:rPr>
          <w:rFonts w:ascii="Arial" w:cs="Arial" w:eastAsia="Arial" w:hAnsi="Arial"/>
          <w:sz w:val="18"/>
          <w:szCs w:val="18"/>
          <w:color w:val="auto"/>
        </w:rPr>
        <w:t>Our businesses are subject to risks related to threatened or pending litigation and are routinely defendants in lawsuits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the normal conduct of business. Liabilities and costs associated with litigation-related loss contingencies require estimates and judgments based on our knowledge of the facts and circumstances surrounding each matter and the advice of our legal counsel. We record liabilities for litigation-related losses when a loss is probable and we can reasonably estimate the amount of the loss in accordance with authoritative guidance on contingencies (ASC 450). We evaluate the measurement of recorded liabilities each reporting period based on the current facts and circumstances specific to each matter. The ultimate losses incurred upon final resolution of litigation-related loss contingencies may differ materially from the estimated liability recorded at any particular balance sheet date. Changes in estimates are recorded in earnings in the period in which such changes occur.</w:t>
      </w:r>
    </w:p>
    <w:p>
      <w:pPr>
        <w:spacing w:after="0" w:line="134"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In accordance with authoritative guidance on income taxes (ASC 740), we establish deferred tax liabilities or assets for temporary</w:t>
      </w:r>
      <w:r>
        <w:rPr>
          <w:rFonts w:ascii="Arial" w:cs="Arial" w:eastAsia="Arial" w:hAnsi="Arial"/>
          <w:sz w:val="18"/>
          <w:szCs w:val="18"/>
          <w:b w:val="1"/>
          <w:bCs w:val="1"/>
          <w:color w:val="auto"/>
        </w:rPr>
        <w:t xml:space="preserve"> </w:t>
      </w:r>
      <w:r>
        <w:rPr>
          <w:rFonts w:ascii="Arial" w:cs="Arial" w:eastAsia="Arial" w:hAnsi="Arial"/>
          <w:sz w:val="18"/>
          <w:szCs w:val="18"/>
          <w:color w:val="auto"/>
        </w:rPr>
        <w:t>differences between financial and tax reporting bases and subsequently adjust them to reflect changes in tax rates expected to be in effect when the temporary differences reverse. We record a valuation allowance reducing deferred tax assets when it is more likely than not that such assets will not be realized.</w:t>
      </w:r>
    </w:p>
    <w:p>
      <w:pPr>
        <w:spacing w:after="0" w:line="15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Company is included in the consolidated U.S. federal income tax return of our Former Parent through the date of Separation. The current and deferred tax expense recorded in the consolidated financial statements has been determined by applying the provisions of ASC 740 as if the Company were a separate taxpayer.</w:t>
      </w:r>
    </w:p>
    <w:p>
      <w:pPr>
        <w:spacing w:after="0" w:line="154"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We record liabilities for uncertain income tax positions based on a two-step process. The first step is recognition, where we evaluate whether an individual tax position has a likelihood of greater than 50% of being sustained upon examination based on the technical merits of the position, including resolution of any related appeals or litigation processes. For tax positions that are currently estimated to have a less than 50% likelihood of being sustained, no tax benefit is recorded. For tax positions that have met the recognition threshold in the first step, we perform the second step of measuring the benefit to be recorded. The actual benefits ultimately realized may differ from our estimates. In future periods, changes in facts, circumstances, and new information may require us to change the recognition and measurement estimates with regard to individual tax positions. Changes in recognition and measurement estimates are recorded in results of operations and financial condition in the period in which such changes occur. As of December 31, 2011, we had liabilities for unrecognized tax benefits pertaining to uncertain tax positions totaling $35.4 million. It is reasonably possible that the unrecognized tax benefits may decrease in the range of $3 million to $15 million in the next 12 months primarily as a result of the conclusion of U.S. federal, state and foreign income tax proceedings.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40"/>
        <w:spacing w:after="0" w:line="238" w:lineRule="auto"/>
        <w:rPr>
          <w:sz w:val="20"/>
          <w:szCs w:val="20"/>
          <w:color w:val="auto"/>
        </w:rPr>
      </w:pPr>
      <w:r>
        <w:rPr>
          <w:rFonts w:ascii="Arial" w:cs="Arial" w:eastAsia="Arial" w:hAnsi="Arial"/>
          <w:sz w:val="18"/>
          <w:szCs w:val="18"/>
          <w:color w:val="auto"/>
        </w:rPr>
        <w:t>As a result of the Separation and related transactions, the Company remitted foreign earnings and recorded an associated tax liability of approximately $9.1 million during 2011. However, as a stand-alone company, we intend to permanently reinvest the earnings of our foreign subsidiaries. Consequently, we have not provided deferred income taxes on undistributed earnings of foreign subsidiaries.</w:t>
      </w:r>
    </w:p>
    <w:p>
      <w:pPr>
        <w:spacing w:after="0" w:line="132"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Revenue is recorded when persuasive evidence that an arrangement exists, delivery has occurred, the price is fixed or</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determinable, and collectibility is reasonably assured. Revenue is recorded net of applicable provisions for discounts, returns and allowances. We record estimates for reductions to revenue for customer programs and incentives, including price discounts, volume-based incentives, promotions, and cooperative advertising when revenue is recognized. Sales returns are based on historical returns, current trends, and forecasts of product demand.</w:t>
      </w:r>
    </w:p>
    <w:p>
      <w:pPr>
        <w:spacing w:after="0" w:line="131"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b w:val="1"/>
          <w:bCs w:val="1"/>
          <w:color w:val="auto"/>
        </w:rPr>
        <w:t xml:space="preserve">Cost of Products Sold </w:t>
      </w:r>
      <w:r>
        <w:rPr>
          <w:rFonts w:ascii="Arial" w:cs="Arial" w:eastAsia="Arial" w:hAnsi="Arial"/>
          <w:sz w:val="18"/>
          <w:szCs w:val="18"/>
          <w:color w:val="auto"/>
        </w:rPr>
        <w:t>Cost of products sold includes all costs to make products saleable, such as employee benefit costs, inbound freight,</w:t>
      </w:r>
      <w:r>
        <w:rPr>
          <w:rFonts w:ascii="Arial" w:cs="Arial" w:eastAsia="Arial" w:hAnsi="Arial"/>
          <w:sz w:val="18"/>
          <w:szCs w:val="18"/>
          <w:b w:val="1"/>
          <w:bCs w:val="1"/>
          <w:color w:val="auto"/>
        </w:rPr>
        <w:t xml:space="preserve"> </w:t>
      </w:r>
      <w:r>
        <w:rPr>
          <w:rFonts w:ascii="Arial" w:cs="Arial" w:eastAsia="Arial" w:hAnsi="Arial"/>
          <w:sz w:val="18"/>
          <w:szCs w:val="18"/>
          <w:color w:val="auto"/>
        </w:rPr>
        <w:t>purchasing and receiving costs, inspection costs, and internal transfer costs. In addition, all depreciation expense associated with assets used to manufacture products and make them saleable is included in cost of products sold.</w:t>
      </w:r>
    </w:p>
    <w:p>
      <w:pPr>
        <w:spacing w:after="0" w:line="12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b w:val="1"/>
          <w:bCs w:val="1"/>
          <w:color w:val="auto"/>
        </w:rPr>
        <w:t xml:space="preserve">Customer Program Costs </w:t>
      </w:r>
      <w:r>
        <w:rPr>
          <w:rFonts w:ascii="Arial" w:cs="Arial" w:eastAsia="Arial" w:hAnsi="Arial"/>
          <w:sz w:val="18"/>
          <w:szCs w:val="18"/>
          <w:color w:val="auto"/>
        </w:rPr>
        <w:t>Customer programs and incentives are a common practice in our businesses. Our businesses incur customer</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costs to obtain favorable product placement, to promote sales of products and to maintain competitive pricing. Customer program costs and incentives, including rebates and promotion and volume allowances, are accounted for in either “net sales” or the category “selling, general and administrative expenses” at the time the program is initiated and/or the revenue is recognized. The costs recognized in “net sales” include, but are not limited to, volume allowances and rebates, promotional allowances, and cooperative advertising programs. The costs typically recognized in “selling, general and administrative expenses” include product displays, point of sale materials, and media production costs. These costs are recorded at the later of the time of sale or the implementation of the program based on management’s best estimates. Estimates are based on historical and projected experience for each type of program or customer. Volume allowances are accrued based on management’s estimates of customer volume achievement and other factors incorporated into customer agreements, such as new product purchases, store sell-through, merchandising support, level of returns and customer training. Management periodically reviews accruals for these rebates and allowances, and adjusts accruals when circumstances indicate (typically as a result of a change in volume expectations).</w:t>
      </w:r>
    </w:p>
    <w:p>
      <w:pPr>
        <w:spacing w:after="0" w:line="133"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expenses include advertising costs; marketing costs; selling</w:t>
      </w:r>
      <w:r>
        <w:rPr>
          <w:rFonts w:ascii="Arial" w:cs="Arial" w:eastAsia="Arial" w:hAnsi="Arial"/>
          <w:sz w:val="18"/>
          <w:szCs w:val="18"/>
          <w:b w:val="1"/>
          <w:bCs w:val="1"/>
          <w:color w:val="auto"/>
        </w:rPr>
        <w:t xml:space="preserve"> </w:t>
      </w:r>
      <w:r>
        <w:rPr>
          <w:rFonts w:ascii="Arial" w:cs="Arial" w:eastAsia="Arial" w:hAnsi="Arial"/>
          <w:sz w:val="18"/>
          <w:szCs w:val="18"/>
          <w:color w:val="auto"/>
        </w:rPr>
        <w:t>costs, including commissions; research and development costs; shipping and handling costs, including warehousing costs; and general and administrative expenses. Shipping and handling costs included in selling, general and administrative expenses were $154.0 million, $133.2 million and $121.9 million in 2011, 2010 and 2009, respectively.</w:t>
      </w:r>
    </w:p>
    <w:p>
      <w:pPr>
        <w:spacing w:after="0" w:line="153"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Advertising costs, which amounted to $181.6 million, $173.5 million and $152.3 million in 2011, 2010 and 2009, respectively, are principally expensed as incurred. Advertising costs include product displays, media production costs, and point of sale materials. Advertising costs recorded as a reduction to net sales, primarily cooperative advertising, were $49.8 million, $49.8 million and $44.6 million in 2011, 2010 and 2009, respectively. Advertising costs recorded in selling, general and administrative expenses were $131.8 million, $123.7 million and $107.7 million in 2011, 2010 and 2009, respectively.</w:t>
      </w:r>
    </w:p>
    <w:p>
      <w:pPr>
        <w:spacing w:after="0" w:line="15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Research and development expenses include product development, product improvement, product engineering and process improvement costs. Research and development expenses, which were $35.1 million, $33.4 million and $31.7 million in 2011, 2010 and 2009, respectively, are expensed as incurred.</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Stock-based compensation expense, measured as the fair value of an award on the date of grant, is recognized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financial statements over the period that an employee is required to provide services in exchange for the award. The fair value of each option award is measured on the date of grant using the Black-Scholes option-pricing model. The fair value of each performance award is based on the stock price at the date of grant and the probability of meeting performance targets. The fair value of each restricted stock unit granted is equal to the share price at the date of grant. See Note 11, “Stock-Based Compensation,” for additional information.</w:t>
      </w:r>
    </w:p>
    <w:p>
      <w:pPr>
        <w:spacing w:after="0" w:line="131" w:lineRule="exact"/>
        <w:rPr>
          <w:sz w:val="20"/>
          <w:szCs w:val="20"/>
          <w:color w:val="auto"/>
        </w:rPr>
      </w:pPr>
    </w:p>
    <w:p>
      <w:pPr>
        <w:jc w:val="both"/>
        <w:ind w:right="120"/>
        <w:spacing w:after="0" w:line="249"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Earnings per common share is calculated by dividing net income attributable to Home &amp; Security by the weighted-average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of common stock outstanding during the year. The number of basic and diluted shares outstanding are the same. See Note 19, “Earnings Per Share,” for further discussion.</w:t>
      </w:r>
    </w:p>
    <w:p>
      <w:pPr>
        <w:spacing w:after="0" w:line="126"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b w:val="1"/>
          <w:bCs w:val="1"/>
          <w:color w:val="auto"/>
        </w:rPr>
        <w:t xml:space="preserve">Foreign Currency Translation </w:t>
      </w:r>
      <w:r>
        <w:rPr>
          <w:rFonts w:ascii="Arial" w:cs="Arial" w:eastAsia="Arial" w:hAnsi="Arial"/>
          <w:sz w:val="16"/>
          <w:szCs w:val="16"/>
          <w:color w:val="auto"/>
        </w:rPr>
        <w:t>Foreign currency balance sheet accounts are translated into U.S. dollars at the actual rates of exchange at the</w:t>
      </w:r>
      <w:r>
        <w:rPr>
          <w:rFonts w:ascii="Arial" w:cs="Arial" w:eastAsia="Arial" w:hAnsi="Arial"/>
          <w:sz w:val="16"/>
          <w:szCs w:val="16"/>
          <w:b w:val="1"/>
          <w:bCs w:val="1"/>
          <w:color w:val="auto"/>
        </w:rPr>
        <w:t xml:space="preserve"> </w:t>
      </w:r>
      <w:r>
        <w:rPr>
          <w:rFonts w:ascii="Arial" w:cs="Arial" w:eastAsia="Arial" w:hAnsi="Arial"/>
          <w:sz w:val="16"/>
          <w:szCs w:val="16"/>
          <w:color w:val="auto"/>
        </w:rPr>
        <w:t>balance sheet date. Income and expenses are translated at the average rates of exchange in effect during the period for the foreign subsidiaries where the local currency is the functional currency. The related translation adjustments are made directly to a separate component of the “accumulated other comprehensive income” (“AOCI”) caption in equity. Transactions denominated in a currency other than the functional currency of a subsidiary are translated into functional currency with resulting transaction gains or losses recorded in other expense (income), net.</w:t>
      </w:r>
    </w:p>
    <w:p>
      <w:pPr>
        <w:spacing w:after="0" w:line="102"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b w:val="1"/>
          <w:bCs w:val="1"/>
          <w:color w:val="auto"/>
        </w:rPr>
        <w:t xml:space="preserve">Derivative Financial Instruments </w:t>
      </w:r>
      <w:r>
        <w:rPr>
          <w:rFonts w:ascii="Arial" w:cs="Arial" w:eastAsia="Arial" w:hAnsi="Arial"/>
          <w:sz w:val="16"/>
          <w:szCs w:val="16"/>
          <w:color w:val="auto"/>
        </w:rPr>
        <w:t>In accordance with authoritative guidance on derivatives and hedging (ASC 815), all derivatives are</w:t>
      </w:r>
      <w:r>
        <w:rPr>
          <w:rFonts w:ascii="Arial" w:cs="Arial" w:eastAsia="Arial" w:hAnsi="Arial"/>
          <w:sz w:val="16"/>
          <w:szCs w:val="16"/>
          <w:b w:val="1"/>
          <w:bCs w:val="1"/>
          <w:color w:val="auto"/>
        </w:rPr>
        <w:t xml:space="preserve"> </w:t>
      </w:r>
      <w:r>
        <w:rPr>
          <w:rFonts w:ascii="Arial" w:cs="Arial" w:eastAsia="Arial" w:hAnsi="Arial"/>
          <w:sz w:val="16"/>
          <w:szCs w:val="16"/>
          <w:color w:val="auto"/>
        </w:rPr>
        <w:t>recognized as either assets or liabilities on the balance sheet and measurement of those instruments is at fair value. If the derivative is designated as a fair value hedge and is highly effective, the changes in the fair value of the derivative and of the hedged item attributable to the hedged risk are recognized in earnings in the same period. If the derivative is designated as a cash flow hedge, the effective portions of changes in the fair value of the derivative are recorded directly to a separate component of AOCI, and are recognized in the statement of income when the hedged item affects earnings. Ineffective portions of changes in the fair value of cash flow hedges are recognized in earnings.</w:t>
      </w:r>
    </w:p>
    <w:p>
      <w:pPr>
        <w:spacing w:after="0" w:line="12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Derivative gains or losses included in AOCI are reclassified into earnings at the time the forecasted revenue or expense is recognized. Deferred currency losses of $0.5 million were reclassified into earnings for the year ended December 31, 2011. Deferred currency gains of $0.1 million and $3.5 million were reclassified into earnings in 2010 and 2009, respectively. Based on foreign exchange rates as of December 31, 2011, we estimate that $1.0 million of net currency derivative losses included in OCI as of December 31, 2011 will be reclassified to earnings within the next twelve months.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Arrangements with Multiple Deliverables</w:t>
      </w:r>
    </w:p>
    <w:p>
      <w:pPr>
        <w:spacing w:after="0" w:line="17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October 2009, the Financial Accounting Standards Board (“FASB”) issued Accounting Standards Update (ASU) 2009-13, “Multiple-Deliverable Revenue Arrangements — a consensus of the FASB Emerging Issues Task Force.” This guidance allows entities to allocate consideration in multiple deliverable arrangements in a manner that reflects a transaction’s economics. The guidance requires expanded disclosure. It was effective for fiscal years beginning on or after June 15, 2010 (calendar year 2011 for Home &amp; Security) and could be applied either prospectively or retrospectively. Adoption of this standard did not have a material impact on our financial statements and disclosures.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Measurement</w:t>
      </w:r>
    </w:p>
    <w:p>
      <w:pPr>
        <w:spacing w:after="0" w:line="17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May 2011, the FASB issued new guidance on fair value measurement and disclosure requirements (ASU 2011-04, “Fair Value Measurements (Topic 820): Amendments to Achieve Common Fair Value Measurement and Disclosure Requirements in U.S. GAAP and IFRSs”). The new guidance results in a consistent definition of fair value and common requirements for measurement of and disclosure about fair value between U.S. GAAP and International Financial Reporting Standards. The amendment is effective for interim and annual periods beginning after December 15, 2011 (calendar year 2012 for Home &amp; Security). We do not believe that adoption of this standard will have a material impact on our financial statements and disclosures.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Presentation of Comprehensive Income</w:t>
      </w:r>
    </w:p>
    <w:p>
      <w:pPr>
        <w:spacing w:after="0" w:line="176"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In June 2011, the FASB issued ASU 2011-05, “Statement of Comprehensive Income.” This standard requires entities to present items of net income and other comprehensive income either in one continuous statement or in two separate, but consecutive, statements. The new requirements are effective for public entities as of the beginning of the fiscal year that begins after December 15, 2011 (calendar year 2012 for Home &amp; Security). Full retrospective application is required. Early adoption is permitted. We believe that adoption of this standard will not have a material impact on our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Testing Goodwill for Impairment</w:t>
      </w:r>
    </w:p>
    <w:p>
      <w:pPr>
        <w:spacing w:after="0" w:line="17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September 2011, the FASB issued ASU 2011-08, “Intangibles — Goodwill and Other (Topic 350): Testing Goodwill for Impairment,” to allow entities to use a qualitative approach to test goodwill for impairment. ASU 2011-08 permits an entity to first perform a qualitative assessment to determine whether it is more likely than not that the fair value of the reporting unit is less than its carrying value. If it is concluded that this is the case, it is necessary to perform the currently prescribed two-step goodwill impairment test. Otherwise, the two-step goodwill impairment test is not required. The amendment is effective for interim and annual periods beginning after December 15, 2011 (calendar year 2012 for Home &amp; Security). Early adoption is permitted. We are assessing the impact the adoption of this standard will have on our financial statements. We believe that adoption of this standard will not have a material impact on our financial statements.</w:t>
      </w:r>
    </w:p>
    <w:p>
      <w:pPr>
        <w:spacing w:after="0" w:line="133"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8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Prior to the Separation, Home &amp; Security had certain related party relationships with our Former Parent and its subsidiaries, as discussed below. Pursuant to the Separation and Distribution Agreement, the Indemnification Agreement and certain other agreements, our Former Parent agreed to indemnify us from certain liabilities and we agreed to indemnify our Former Parent from certain liabilities, as discussed further in the sections entitled “Certain Relationships and Related Party Transactions — Agreements with Fortune Brands, Inc.” included in the Form 10. Indemnities that we may be required to provide our Former Parent may be significant and could negatively impact our business, particularly indemnities relating to our actions that could impact the tax-free nature of the Distribution. Third parties could also seek to hold us responsible for any of the liabilities that our Former Parent has agreed to retain. Even if we ultimately succeed in recovering from our Former Parent any amounts for which we are held liable, we may be temporarily required to bear these losses ourselves.</w:t>
      </w:r>
    </w:p>
    <w:p>
      <w:pPr>
        <w:spacing w:after="0" w:line="15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Upon the Separation, our Former Parent ceased providing financing, cash management and treasury services to the Company. Immediately prior to the Separation, on October 3, 2011, Home &amp; Security paid a dividend to our Former Parent in the amount of $500 million. In addition, the Company paid a dividend of $48.9 million to our Former Parent, prior to the Separation on October 3, 2011 and made 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payment of $6.0 million to our Former Parent on January 3, 2012. These two payments represented U.S. cash balances generated from August 26, 2011, the date of the conversion of Fortune Brands Home &amp; Security LLC from a Delaware limited liability company to a Delaware corporation, through the date of the Separation.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Financing and Cash Management </w:t>
      </w:r>
      <w:r>
        <w:rPr>
          <w:rFonts w:ascii="Arial" w:cs="Arial" w:eastAsia="Arial" w:hAnsi="Arial"/>
          <w:sz w:val="18"/>
          <w:szCs w:val="18"/>
          <w:color w:val="auto"/>
        </w:rPr>
        <w:t>Historically, our Former Parent provided financing, cash management and treasury services to Home &amp;</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The Company’s U.S. cash balances were swept by our Former Parent on a daily basis, and the Company received funding from our Former Parent for operating and investing cash needs. Cash transferred to and from the Company was recorded in the form of loans from or to our Former Parent in the accompanying financial statements. Loans accrued interest at rates ranging from 1.3% to 6.0%. The weighted-average interest rate on loans to/from our Former Parent was 3.4%, 4.4% and 3.0% in 2011, 2010 and 2009, respectively. Related party interest expense and income are shown below.</w:t>
      </w:r>
    </w:p>
    <w:p>
      <w:pPr>
        <w:spacing w:after="0" w:line="175" w:lineRule="exact"/>
        <w:rPr>
          <w:sz w:val="20"/>
          <w:szCs w:val="20"/>
          <w:color w:val="auto"/>
        </w:rPr>
      </w:pPr>
    </w:p>
    <w:tbl>
      <w:tblPr>
        <w:tblLayout w:type="fixed"/>
        <w:tblInd w:w="920" w:type="dxa"/>
        <w:tblCellMar>
          <w:top w:w="0" w:type="dxa"/>
          <w:left w:w="0" w:type="dxa"/>
          <w:bottom w:w="0" w:type="dxa"/>
          <w:right w:w="0" w:type="dxa"/>
        </w:tblCellMar>
      </w:tblPr>
      <w:tr>
        <w:trPr>
          <w:trHeight w:val="405"/>
        </w:trPr>
        <w:tc>
          <w:tcPr>
            <w:tcW w:w="49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i w:val="1"/>
                <w:iCs w:val="1"/>
                <w:color w:val="auto"/>
              </w:rPr>
              <w:t>(In millions)</w:t>
            </w:r>
          </w:p>
        </w:tc>
        <w:tc>
          <w:tcPr>
            <w:tcW w:w="1740" w:type="dxa"/>
            <w:vAlign w:val="bottom"/>
            <w:tcBorders>
              <w:top w:val="single" w:sz="8" w:color="auto"/>
              <w:bottom w:val="single" w:sz="8" w:color="auto"/>
              <w:right w:val="single" w:sz="8" w:color="auto"/>
            </w:tcBorders>
          </w:tcPr>
          <w:p>
            <w:pPr>
              <w:jc w:val="right"/>
              <w:ind w:right="577"/>
              <w:spacing w:after="0"/>
              <w:rPr>
                <w:sz w:val="20"/>
                <w:szCs w:val="20"/>
                <w:color w:val="auto"/>
              </w:rPr>
            </w:pPr>
            <w:r>
              <w:rPr>
                <w:rFonts w:ascii="Arial" w:cs="Arial" w:eastAsia="Arial" w:hAnsi="Arial"/>
                <w:sz w:val="14"/>
                <w:szCs w:val="14"/>
                <w:i w:val="1"/>
                <w:iCs w:val="1"/>
                <w:color w:val="auto"/>
              </w:rPr>
              <w:t>2011</w:t>
            </w:r>
          </w:p>
        </w:tc>
        <w:tc>
          <w:tcPr>
            <w:tcW w:w="1980" w:type="dxa"/>
            <w:vAlign w:val="bottom"/>
            <w:tcBorders>
              <w:top w:val="single" w:sz="8" w:color="auto"/>
              <w:bottom w:val="single" w:sz="8" w:color="auto"/>
              <w:right w:val="single" w:sz="8" w:color="auto"/>
            </w:tcBorders>
          </w:tcPr>
          <w:p>
            <w:pPr>
              <w:jc w:val="right"/>
              <w:ind w:right="657"/>
              <w:spacing w:after="0"/>
              <w:rPr>
                <w:sz w:val="20"/>
                <w:szCs w:val="20"/>
                <w:color w:val="auto"/>
              </w:rPr>
            </w:pPr>
            <w:r>
              <w:rPr>
                <w:rFonts w:ascii="Arial" w:cs="Arial" w:eastAsia="Arial" w:hAnsi="Arial"/>
                <w:sz w:val="14"/>
                <w:szCs w:val="14"/>
                <w:color w:val="auto"/>
              </w:rPr>
              <w:t>2010</w:t>
            </w:r>
          </w:p>
        </w:tc>
        <w:tc>
          <w:tcPr>
            <w:tcW w:w="9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4"/>
                <w:szCs w:val="14"/>
                <w:color w:val="auto"/>
              </w:rPr>
              <w:t>2009</w:t>
            </w:r>
          </w:p>
        </w:tc>
      </w:tr>
      <w:tr>
        <w:trPr>
          <w:trHeight w:val="196"/>
        </w:trPr>
        <w:tc>
          <w:tcPr>
            <w:tcW w:w="4920" w:type="dxa"/>
            <w:vAlign w:val="bottom"/>
            <w:tcBorders>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Related party interest expense</w:t>
            </w:r>
          </w:p>
        </w:tc>
        <w:tc>
          <w:tcPr>
            <w:tcW w:w="1740" w:type="dxa"/>
            <w:vAlign w:val="bottom"/>
            <w:tcBorders>
              <w:right w:val="single" w:sz="8" w:color="auto"/>
            </w:tcBorders>
            <w:shd w:val="clear" w:color="auto" w:fill="CCEEFF"/>
          </w:tcPr>
          <w:p>
            <w:pPr>
              <w:jc w:val="right"/>
              <w:ind w:right="577"/>
              <w:spacing w:after="0" w:line="196" w:lineRule="exact"/>
              <w:rPr>
                <w:sz w:val="20"/>
                <w:szCs w:val="20"/>
                <w:color w:val="auto"/>
              </w:rPr>
            </w:pPr>
            <w:r>
              <w:rPr>
                <w:rFonts w:ascii="Arial" w:cs="Arial" w:eastAsia="Arial" w:hAnsi="Arial"/>
                <w:sz w:val="18"/>
                <w:szCs w:val="18"/>
                <w:color w:val="auto"/>
              </w:rPr>
              <w:t>$ 29.3</w:t>
            </w:r>
          </w:p>
        </w:tc>
        <w:tc>
          <w:tcPr>
            <w:tcW w:w="1980" w:type="dxa"/>
            <w:vAlign w:val="bottom"/>
            <w:tcBorders>
              <w:right w:val="single" w:sz="8" w:color="auto"/>
            </w:tcBorders>
            <w:shd w:val="clear" w:color="auto" w:fill="CCEEFF"/>
          </w:tcPr>
          <w:p>
            <w:pPr>
              <w:jc w:val="right"/>
              <w:ind w:right="657"/>
              <w:spacing w:after="0" w:line="196" w:lineRule="exact"/>
              <w:rPr>
                <w:sz w:val="20"/>
                <w:szCs w:val="20"/>
                <w:color w:val="auto"/>
              </w:rPr>
            </w:pPr>
            <w:r>
              <w:rPr>
                <w:rFonts w:ascii="Arial" w:cs="Arial" w:eastAsia="Arial" w:hAnsi="Arial"/>
                <w:sz w:val="18"/>
                <w:szCs w:val="18"/>
                <w:color w:val="auto"/>
              </w:rPr>
              <w:t>$130.9</w:t>
            </w:r>
          </w:p>
        </w:tc>
        <w:tc>
          <w:tcPr>
            <w:tcW w:w="940" w:type="dxa"/>
            <w:vAlign w:val="bottom"/>
            <w:shd w:val="clear" w:color="auto" w:fill="CCEEFF"/>
          </w:tcPr>
          <w:p>
            <w:pPr>
              <w:jc w:val="right"/>
              <w:ind w:right="17"/>
              <w:spacing w:after="0" w:line="196" w:lineRule="exact"/>
              <w:rPr>
                <w:sz w:val="20"/>
                <w:szCs w:val="20"/>
                <w:color w:val="auto"/>
              </w:rPr>
            </w:pPr>
            <w:r>
              <w:rPr>
                <w:rFonts w:ascii="Arial" w:cs="Arial" w:eastAsia="Arial" w:hAnsi="Arial"/>
                <w:sz w:val="18"/>
                <w:szCs w:val="18"/>
                <w:color w:val="auto"/>
              </w:rPr>
              <w:t>$ 89.7</w:t>
            </w:r>
          </w:p>
        </w:tc>
      </w:tr>
      <w:tr>
        <w:trPr>
          <w:trHeight w:val="203"/>
        </w:trPr>
        <w:tc>
          <w:tcPr>
            <w:tcW w:w="4920" w:type="dxa"/>
            <w:vAlign w:val="bottom"/>
            <w:tcBorders>
              <w:bottom w:val="single" w:sz="8" w:color="auto"/>
              <w:right w:val="single" w:sz="8" w:color="auto"/>
            </w:tcBorders>
          </w:tcPr>
          <w:p>
            <w:pPr>
              <w:spacing w:after="0" w:line="202" w:lineRule="exact"/>
              <w:rPr>
                <w:sz w:val="20"/>
                <w:szCs w:val="20"/>
                <w:color w:val="auto"/>
              </w:rPr>
            </w:pPr>
            <w:r>
              <w:rPr>
                <w:rFonts w:ascii="Arial" w:cs="Arial" w:eastAsia="Arial" w:hAnsi="Arial"/>
                <w:sz w:val="18"/>
                <w:szCs w:val="18"/>
                <w:color w:val="auto"/>
              </w:rPr>
              <w:t>Related party interest income</w:t>
            </w:r>
          </w:p>
        </w:tc>
        <w:tc>
          <w:tcPr>
            <w:tcW w:w="1740" w:type="dxa"/>
            <w:vAlign w:val="bottom"/>
            <w:tcBorders>
              <w:bottom w:val="single" w:sz="8" w:color="auto"/>
              <w:right w:val="single" w:sz="8" w:color="auto"/>
            </w:tcBorders>
          </w:tcPr>
          <w:p>
            <w:pPr>
              <w:jc w:val="right"/>
              <w:ind w:right="517"/>
              <w:spacing w:after="0" w:line="202" w:lineRule="exact"/>
              <w:rPr>
                <w:sz w:val="20"/>
                <w:szCs w:val="20"/>
                <w:color w:val="auto"/>
              </w:rPr>
            </w:pPr>
            <w:r>
              <w:rPr>
                <w:rFonts w:ascii="Arial" w:cs="Arial" w:eastAsia="Arial" w:hAnsi="Arial"/>
                <w:sz w:val="18"/>
                <w:szCs w:val="18"/>
                <w:color w:val="auto"/>
              </w:rPr>
              <w:t>(6.1)</w:t>
            </w:r>
          </w:p>
        </w:tc>
        <w:tc>
          <w:tcPr>
            <w:tcW w:w="1980" w:type="dxa"/>
            <w:vAlign w:val="bottom"/>
            <w:tcBorders>
              <w:bottom w:val="single" w:sz="8" w:color="auto"/>
              <w:right w:val="single" w:sz="8" w:color="auto"/>
            </w:tcBorders>
          </w:tcPr>
          <w:p>
            <w:pPr>
              <w:jc w:val="right"/>
              <w:ind w:right="597"/>
              <w:spacing w:after="0" w:line="202" w:lineRule="exact"/>
              <w:rPr>
                <w:sz w:val="20"/>
                <w:szCs w:val="20"/>
                <w:color w:val="auto"/>
              </w:rPr>
            </w:pPr>
            <w:r>
              <w:rPr>
                <w:rFonts w:ascii="Arial" w:cs="Arial" w:eastAsia="Arial" w:hAnsi="Arial"/>
                <w:sz w:val="18"/>
                <w:szCs w:val="18"/>
                <w:color w:val="auto"/>
              </w:rPr>
              <w:t>(14.9)</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w:t>
            </w:r>
          </w:p>
        </w:tc>
      </w:tr>
      <w:tr>
        <w:trPr>
          <w:trHeight w:val="203"/>
        </w:trPr>
        <w:tc>
          <w:tcPr>
            <w:tcW w:w="4920" w:type="dxa"/>
            <w:vAlign w:val="bottom"/>
            <w:tcBorders>
              <w:bottom w:val="single" w:sz="8" w:color="auto"/>
              <w:right w:val="single" w:sz="8" w:color="auto"/>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Related party interest, net</w:t>
            </w:r>
          </w:p>
        </w:tc>
        <w:tc>
          <w:tcPr>
            <w:tcW w:w="1740" w:type="dxa"/>
            <w:vAlign w:val="bottom"/>
            <w:tcBorders>
              <w:bottom w:val="single" w:sz="8" w:color="auto"/>
              <w:right w:val="single" w:sz="8" w:color="auto"/>
            </w:tcBorders>
            <w:shd w:val="clear" w:color="auto" w:fill="CCEEFF"/>
          </w:tcPr>
          <w:p>
            <w:pPr>
              <w:jc w:val="right"/>
              <w:ind w:right="577"/>
              <w:spacing w:after="0" w:line="196" w:lineRule="exact"/>
              <w:rPr>
                <w:sz w:val="20"/>
                <w:szCs w:val="20"/>
                <w:color w:val="auto"/>
              </w:rPr>
            </w:pPr>
            <w:r>
              <w:rPr>
                <w:rFonts w:ascii="Arial" w:cs="Arial" w:eastAsia="Arial" w:hAnsi="Arial"/>
                <w:sz w:val="18"/>
                <w:szCs w:val="18"/>
                <w:color w:val="auto"/>
              </w:rPr>
              <w:t>$ 23.2</w:t>
            </w:r>
          </w:p>
        </w:tc>
        <w:tc>
          <w:tcPr>
            <w:tcW w:w="1980" w:type="dxa"/>
            <w:vAlign w:val="bottom"/>
            <w:tcBorders>
              <w:bottom w:val="single" w:sz="8" w:color="auto"/>
              <w:right w:val="single" w:sz="8" w:color="auto"/>
            </w:tcBorders>
            <w:shd w:val="clear" w:color="auto" w:fill="CCEEFF"/>
          </w:tcPr>
          <w:p>
            <w:pPr>
              <w:jc w:val="right"/>
              <w:ind w:right="657"/>
              <w:spacing w:after="0" w:line="196" w:lineRule="exact"/>
              <w:rPr>
                <w:sz w:val="20"/>
                <w:szCs w:val="20"/>
                <w:color w:val="auto"/>
              </w:rPr>
            </w:pPr>
            <w:r>
              <w:rPr>
                <w:rFonts w:ascii="Arial" w:cs="Arial" w:eastAsia="Arial" w:hAnsi="Arial"/>
                <w:sz w:val="18"/>
                <w:szCs w:val="18"/>
                <w:color w:val="auto"/>
              </w:rPr>
              <w:t>$116.0</w:t>
            </w:r>
          </w:p>
        </w:tc>
        <w:tc>
          <w:tcPr>
            <w:tcW w:w="940" w:type="dxa"/>
            <w:vAlign w:val="bottom"/>
            <w:tcBorders>
              <w:bottom w:val="single" w:sz="8" w:color="auto"/>
            </w:tcBorders>
            <w:shd w:val="clear" w:color="auto" w:fill="CCEEFF"/>
          </w:tcPr>
          <w:p>
            <w:pPr>
              <w:jc w:val="right"/>
              <w:ind w:right="17"/>
              <w:spacing w:after="0" w:line="196" w:lineRule="exact"/>
              <w:rPr>
                <w:sz w:val="20"/>
                <w:szCs w:val="20"/>
                <w:color w:val="auto"/>
              </w:rPr>
            </w:pPr>
            <w:r>
              <w:rPr>
                <w:rFonts w:ascii="Arial" w:cs="Arial" w:eastAsia="Arial" w:hAnsi="Arial"/>
                <w:sz w:val="18"/>
                <w:szCs w:val="18"/>
                <w:color w:val="auto"/>
              </w:rPr>
              <w:t>$ 84.9</w:t>
            </w:r>
          </w:p>
        </w:tc>
      </w:tr>
    </w:tbl>
    <w:p>
      <w:pPr>
        <w:spacing w:after="0" w:line="16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 summary of outstanding loans to/from our Former Parent as of December 31, 2011, 2010 and 2009 is shown below. In 2011, our Former Parent made equity contributions totaling $2.7 billion to Home &amp; Security capitalizing all outstanding loan balances.</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405"/>
        </w:trPr>
        <w:tc>
          <w:tcPr>
            <w:tcW w:w="4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i w:val="1"/>
                <w:iCs w:val="1"/>
                <w:color w:val="auto"/>
              </w:rPr>
              <w:t>(In millions)</w:t>
            </w:r>
          </w:p>
        </w:tc>
        <w:tc>
          <w:tcPr>
            <w:tcW w:w="1400" w:type="dxa"/>
            <w:vAlign w:val="bottom"/>
            <w:tcBorders>
              <w:top w:val="single" w:sz="8" w:color="auto"/>
              <w:bottom w:val="single" w:sz="8" w:color="auto"/>
              <w:right w:val="single" w:sz="8" w:color="auto"/>
            </w:tcBorders>
          </w:tcPr>
          <w:p>
            <w:pPr>
              <w:jc w:val="right"/>
              <w:ind w:right="477"/>
              <w:spacing w:after="0"/>
              <w:rPr>
                <w:sz w:val="20"/>
                <w:szCs w:val="20"/>
                <w:color w:val="auto"/>
              </w:rPr>
            </w:pPr>
            <w:r>
              <w:rPr>
                <w:rFonts w:ascii="Arial" w:cs="Arial" w:eastAsia="Arial" w:hAnsi="Arial"/>
                <w:sz w:val="14"/>
                <w:szCs w:val="14"/>
                <w:i w:val="1"/>
                <w:iCs w:val="1"/>
                <w:color w:val="auto"/>
              </w:rPr>
              <w:t>2011</w:t>
            </w:r>
          </w:p>
        </w:tc>
        <w:tc>
          <w:tcPr>
            <w:tcW w:w="7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right w:val="single" w:sz="8" w:color="auto"/>
            </w:tcBorders>
          </w:tcPr>
          <w:p>
            <w:pPr>
              <w:jc w:val="right"/>
              <w:ind w:right="637"/>
              <w:spacing w:after="0"/>
              <w:rPr>
                <w:sz w:val="20"/>
                <w:szCs w:val="20"/>
                <w:color w:val="auto"/>
              </w:rPr>
            </w:pPr>
            <w:r>
              <w:rPr>
                <w:rFonts w:ascii="Arial" w:cs="Arial" w:eastAsia="Arial" w:hAnsi="Arial"/>
                <w:sz w:val="14"/>
                <w:szCs w:val="14"/>
                <w:color w:val="auto"/>
              </w:rPr>
              <w:t>2010</w:t>
            </w:r>
          </w:p>
        </w:tc>
        <w:tc>
          <w:tcPr>
            <w:tcW w:w="7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4"/>
                <w:szCs w:val="14"/>
                <w:color w:val="auto"/>
              </w:rPr>
              <w:t>2009</w:t>
            </w:r>
          </w:p>
        </w:tc>
      </w:tr>
      <w:tr>
        <w:trPr>
          <w:trHeight w:val="196"/>
        </w:trPr>
        <w:tc>
          <w:tcPr>
            <w:tcW w:w="4700" w:type="dxa"/>
            <w:vAlign w:val="bottom"/>
            <w:tcBorders>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Loans to Former Parent — current</w:t>
            </w:r>
          </w:p>
        </w:tc>
        <w:tc>
          <w:tcPr>
            <w:tcW w:w="1400" w:type="dxa"/>
            <w:vAlign w:val="bottom"/>
            <w:tcBorders>
              <w:right w:val="single" w:sz="8" w:color="auto"/>
            </w:tcBorders>
            <w:shd w:val="clear" w:color="auto" w:fill="CCEEFF"/>
          </w:tcPr>
          <w:p>
            <w:pPr>
              <w:jc w:val="right"/>
              <w:ind w:right="477"/>
              <w:spacing w:after="0" w:line="196" w:lineRule="exact"/>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shd w:val="clear" w:color="auto" w:fill="CCEEFF"/>
          </w:tcPr>
          <w:p>
            <w:pPr>
              <w:jc w:val="right"/>
              <w:ind w:right="577"/>
              <w:spacing w:after="0" w:line="196" w:lineRule="exact"/>
              <w:rPr>
                <w:sz w:val="20"/>
                <w:szCs w:val="20"/>
                <w:color w:val="auto"/>
              </w:rPr>
            </w:pPr>
            <w:r>
              <w:rPr>
                <w:rFonts w:ascii="Arial" w:cs="Arial" w:eastAsia="Arial" w:hAnsi="Arial"/>
                <w:sz w:val="18"/>
                <w:szCs w:val="18"/>
                <w:color w:val="auto"/>
              </w:rPr>
              <w:t>(571.7)</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(523.4)</w:t>
            </w:r>
          </w:p>
        </w:tc>
      </w:tr>
      <w:tr>
        <w:trPr>
          <w:trHeight w:val="203"/>
        </w:trPr>
        <w:tc>
          <w:tcPr>
            <w:tcW w:w="4700" w:type="dxa"/>
            <w:vAlign w:val="bottom"/>
            <w:tcBorders>
              <w:bottom w:val="single" w:sz="8" w:color="auto"/>
              <w:right w:val="single" w:sz="8" w:color="auto"/>
            </w:tcBorders>
          </w:tcPr>
          <w:p>
            <w:pPr>
              <w:spacing w:after="0" w:line="202" w:lineRule="exact"/>
              <w:rPr>
                <w:sz w:val="20"/>
                <w:szCs w:val="20"/>
                <w:color w:val="auto"/>
              </w:rPr>
            </w:pPr>
            <w:r>
              <w:rPr>
                <w:rFonts w:ascii="Arial" w:cs="Arial" w:eastAsia="Arial" w:hAnsi="Arial"/>
                <w:sz w:val="18"/>
                <w:szCs w:val="18"/>
                <w:color w:val="auto"/>
              </w:rPr>
              <w:t>Loans from Former Parent — long-term</w:t>
            </w:r>
          </w:p>
        </w:tc>
        <w:tc>
          <w:tcPr>
            <w:tcW w:w="1400" w:type="dxa"/>
            <w:vAlign w:val="bottom"/>
            <w:tcBorders>
              <w:bottom w:val="single" w:sz="8" w:color="auto"/>
              <w:right w:val="single" w:sz="8" w:color="auto"/>
            </w:tcBorders>
          </w:tcPr>
          <w:p>
            <w:pPr>
              <w:jc w:val="right"/>
              <w:ind w:right="477"/>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jc w:val="right"/>
              <w:ind w:right="637"/>
              <w:spacing w:after="0" w:line="202" w:lineRule="exact"/>
              <w:rPr>
                <w:sz w:val="20"/>
                <w:szCs w:val="20"/>
                <w:color w:val="auto"/>
              </w:rPr>
            </w:pPr>
            <w:r>
              <w:rPr>
                <w:rFonts w:ascii="Arial" w:cs="Arial" w:eastAsia="Arial" w:hAnsi="Arial"/>
                <w:sz w:val="18"/>
                <w:szCs w:val="18"/>
                <w:color w:val="auto"/>
                <w:w w:val="96"/>
              </w:rPr>
              <w:t>3,214.0</w:t>
            </w:r>
          </w:p>
        </w:tc>
        <w:tc>
          <w:tcPr>
            <w:tcW w:w="7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
              <w:spacing w:after="0" w:line="202" w:lineRule="exact"/>
              <w:rPr>
                <w:sz w:val="20"/>
                <w:szCs w:val="20"/>
                <w:color w:val="auto"/>
              </w:rPr>
            </w:pPr>
            <w:r>
              <w:rPr>
                <w:rFonts w:ascii="Arial" w:cs="Arial" w:eastAsia="Arial" w:hAnsi="Arial"/>
                <w:sz w:val="18"/>
                <w:szCs w:val="18"/>
                <w:color w:val="auto"/>
                <w:w w:val="96"/>
              </w:rPr>
              <w:t>3,224.9</w:t>
            </w:r>
          </w:p>
        </w:tc>
      </w:tr>
      <w:tr>
        <w:trPr>
          <w:trHeight w:val="203"/>
        </w:trPr>
        <w:tc>
          <w:tcPr>
            <w:tcW w:w="4700" w:type="dxa"/>
            <w:vAlign w:val="bottom"/>
            <w:tcBorders>
              <w:bottom w:val="single" w:sz="8" w:color="auto"/>
              <w:right w:val="single" w:sz="8" w:color="auto"/>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Net loans from Former Parent</w:t>
            </w:r>
          </w:p>
        </w:tc>
        <w:tc>
          <w:tcPr>
            <w:tcW w:w="1400" w:type="dxa"/>
            <w:vAlign w:val="bottom"/>
            <w:tcBorders>
              <w:bottom w:val="single" w:sz="8" w:color="auto"/>
              <w:right w:val="single" w:sz="8" w:color="auto"/>
            </w:tcBorders>
            <w:shd w:val="clear" w:color="auto" w:fill="CCEEFF"/>
          </w:tcPr>
          <w:p>
            <w:pPr>
              <w:jc w:val="right"/>
              <w:ind w:right="477"/>
              <w:spacing w:after="0" w:line="196" w:lineRule="exact"/>
              <w:rPr>
                <w:sz w:val="20"/>
                <w:szCs w:val="20"/>
                <w:color w:val="auto"/>
              </w:rPr>
            </w:pPr>
            <w:r>
              <w:rPr>
                <w:rFonts w:ascii="Arial" w:cs="Arial" w:eastAsia="Arial" w:hAnsi="Arial"/>
                <w:sz w:val="18"/>
                <w:szCs w:val="18"/>
                <w:color w:val="auto"/>
              </w:rPr>
              <w:t>$ —</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shd w:val="clear" w:color="auto" w:fill="CCEEFF"/>
          </w:tcPr>
          <w:p>
            <w:pPr>
              <w:jc w:val="right"/>
              <w:ind w:right="637"/>
              <w:spacing w:after="0" w:line="196" w:lineRule="exact"/>
              <w:rPr>
                <w:sz w:val="20"/>
                <w:szCs w:val="20"/>
                <w:color w:val="auto"/>
              </w:rPr>
            </w:pPr>
            <w:r>
              <w:rPr>
                <w:rFonts w:ascii="Arial" w:cs="Arial" w:eastAsia="Arial" w:hAnsi="Arial"/>
                <w:sz w:val="18"/>
                <w:szCs w:val="18"/>
                <w:color w:val="auto"/>
                <w:w w:val="96"/>
              </w:rPr>
              <w:t>2,642.3</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7"/>
              <w:spacing w:after="0" w:line="196" w:lineRule="exact"/>
              <w:rPr>
                <w:sz w:val="20"/>
                <w:szCs w:val="20"/>
                <w:color w:val="auto"/>
              </w:rPr>
            </w:pPr>
            <w:r>
              <w:rPr>
                <w:rFonts w:ascii="Arial" w:cs="Arial" w:eastAsia="Arial" w:hAnsi="Arial"/>
                <w:sz w:val="18"/>
                <w:szCs w:val="18"/>
                <w:color w:val="auto"/>
                <w:w w:val="96"/>
              </w:rPr>
              <w:t>2,701.5</w:t>
            </w:r>
          </w:p>
        </w:tc>
      </w:tr>
    </w:tbl>
    <w:p>
      <w:pPr>
        <w:spacing w:after="0" w:line="14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color w:val="auto"/>
        </w:rPr>
        <w:t xml:space="preserve">General and Administrative Services </w:t>
      </w:r>
      <w:r>
        <w:rPr>
          <w:rFonts w:ascii="Arial" w:cs="Arial" w:eastAsia="Arial" w:hAnsi="Arial"/>
          <w:sz w:val="18"/>
          <w:szCs w:val="18"/>
          <w:color w:val="auto"/>
        </w:rPr>
        <w:t>Until consummation of the Separation, our Former Parent performed certain functions and services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Home &amp; Security. Refer to Note 1, “Background and Basis of Presentation,” for additional information.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 on our year-end consolidated balance sheets is as follows:</w:t>
      </w:r>
    </w:p>
    <w:p>
      <w:pPr>
        <w:spacing w:after="0" w:line="175" w:lineRule="exact"/>
        <w:rPr>
          <w:sz w:val="20"/>
          <w:szCs w:val="20"/>
          <w:color w:val="auto"/>
        </w:rPr>
      </w:pPr>
    </w:p>
    <w:tbl>
      <w:tblPr>
        <w:tblLayout w:type="fixed"/>
        <w:tblInd w:w="920" w:type="dxa"/>
        <w:tblCellMar>
          <w:top w:w="0" w:type="dxa"/>
          <w:left w:w="0" w:type="dxa"/>
          <w:bottom w:w="0" w:type="dxa"/>
          <w:right w:w="0" w:type="dxa"/>
        </w:tblCellMar>
      </w:tblPr>
      <w:tr>
        <w:trPr>
          <w:trHeight w:val="405"/>
        </w:trPr>
        <w:tc>
          <w:tcPr>
            <w:tcW w:w="5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i w:val="1"/>
                <w:iCs w:val="1"/>
                <w:color w:val="auto"/>
              </w:rPr>
              <w:t>(In millions)</w:t>
            </w:r>
          </w:p>
        </w:tc>
        <w:tc>
          <w:tcPr>
            <w:tcW w:w="60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right w:val="single" w:sz="8" w:color="auto"/>
            </w:tcBorders>
          </w:tcPr>
          <w:p>
            <w:pPr>
              <w:jc w:val="right"/>
              <w:ind w:right="653"/>
              <w:spacing w:after="0"/>
              <w:rPr>
                <w:sz w:val="20"/>
                <w:szCs w:val="20"/>
                <w:color w:val="auto"/>
              </w:rPr>
            </w:pPr>
            <w:r>
              <w:rPr>
                <w:rFonts w:ascii="Arial" w:cs="Arial" w:eastAsia="Arial" w:hAnsi="Arial"/>
                <w:sz w:val="14"/>
                <w:szCs w:val="14"/>
                <w:i w:val="1"/>
                <w:iCs w:val="1"/>
                <w:color w:val="auto"/>
              </w:rPr>
              <w:t>2011</w:t>
            </w:r>
          </w:p>
        </w:tc>
        <w:tc>
          <w:tcPr>
            <w:tcW w:w="9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color w:val="auto"/>
              </w:rPr>
              <w:t>2010</w:t>
            </w:r>
          </w:p>
        </w:tc>
      </w:tr>
      <w:tr>
        <w:trPr>
          <w:trHeight w:val="196"/>
        </w:trPr>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Inventories:</w:t>
            </w:r>
          </w:p>
        </w:tc>
        <w:tc>
          <w:tcPr>
            <w:tcW w:w="60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5840" w:type="dxa"/>
            <w:vAlign w:val="bottom"/>
          </w:tcPr>
          <w:p>
            <w:pPr>
              <w:ind w:left="220"/>
              <w:spacing w:after="0" w:line="202" w:lineRule="exact"/>
              <w:rPr>
                <w:sz w:val="20"/>
                <w:szCs w:val="20"/>
                <w:color w:val="auto"/>
              </w:rPr>
            </w:pPr>
            <w:r>
              <w:rPr>
                <w:rFonts w:ascii="Arial" w:cs="Arial" w:eastAsia="Arial" w:hAnsi="Arial"/>
                <w:sz w:val="18"/>
                <w:szCs w:val="18"/>
                <w:color w:val="auto"/>
              </w:rPr>
              <w:t>Raw materials and supplies</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tcPr>
          <w:p>
            <w:pPr>
              <w:jc w:val="right"/>
              <w:ind w:right="653"/>
              <w:spacing w:after="0" w:line="202" w:lineRule="exact"/>
              <w:rPr>
                <w:sz w:val="20"/>
                <w:szCs w:val="20"/>
                <w:color w:val="auto"/>
              </w:rPr>
            </w:pPr>
            <w:r>
              <w:rPr>
                <w:rFonts w:ascii="Arial" w:cs="Arial" w:eastAsia="Arial" w:hAnsi="Arial"/>
                <w:sz w:val="18"/>
                <w:szCs w:val="18"/>
                <w:color w:val="auto"/>
              </w:rPr>
              <w:t>137.1</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140.7</w:t>
            </w:r>
          </w:p>
        </w:tc>
      </w:tr>
      <w:tr>
        <w:trPr>
          <w:trHeight w:val="203"/>
        </w:trPr>
        <w:tc>
          <w:tcPr>
            <w:tcW w:w="58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Work in process</w:t>
            </w:r>
          </w:p>
        </w:tc>
        <w:tc>
          <w:tcPr>
            <w:tcW w:w="60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653"/>
              <w:spacing w:after="0" w:line="202" w:lineRule="exact"/>
              <w:rPr>
                <w:sz w:val="20"/>
                <w:szCs w:val="20"/>
                <w:color w:val="auto"/>
              </w:rPr>
            </w:pPr>
            <w:r>
              <w:rPr>
                <w:rFonts w:ascii="Arial" w:cs="Arial" w:eastAsia="Arial" w:hAnsi="Arial"/>
                <w:sz w:val="18"/>
                <w:szCs w:val="18"/>
                <w:color w:val="auto"/>
              </w:rPr>
              <w:t>39.9</w:t>
            </w:r>
          </w:p>
        </w:tc>
        <w:tc>
          <w:tcPr>
            <w:tcW w:w="9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39.1</w:t>
            </w:r>
          </w:p>
        </w:tc>
      </w:tr>
      <w:tr>
        <w:trPr>
          <w:trHeight w:val="203"/>
        </w:trPr>
        <w:tc>
          <w:tcPr>
            <w:tcW w:w="5840" w:type="dxa"/>
            <w:vAlign w:val="bottom"/>
            <w:tcBorders>
              <w:bottom w:val="single" w:sz="8" w:color="auto"/>
            </w:tcBorders>
          </w:tcPr>
          <w:p>
            <w:pPr>
              <w:ind w:left="220"/>
              <w:spacing w:after="0" w:line="202" w:lineRule="exact"/>
              <w:rPr>
                <w:sz w:val="20"/>
                <w:szCs w:val="20"/>
                <w:color w:val="auto"/>
              </w:rPr>
            </w:pPr>
            <w:r>
              <w:rPr>
                <w:rFonts w:ascii="Arial" w:cs="Arial" w:eastAsia="Arial" w:hAnsi="Arial"/>
                <w:sz w:val="18"/>
                <w:szCs w:val="18"/>
                <w:color w:val="auto"/>
              </w:rPr>
              <w:t>Finished products</w:t>
            </w:r>
          </w:p>
        </w:tc>
        <w:tc>
          <w:tcPr>
            <w:tcW w:w="60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jc w:val="right"/>
              <w:ind w:right="653"/>
              <w:spacing w:after="0" w:line="202" w:lineRule="exact"/>
              <w:rPr>
                <w:sz w:val="20"/>
                <w:szCs w:val="20"/>
                <w:color w:val="auto"/>
              </w:rPr>
            </w:pPr>
            <w:r>
              <w:rPr>
                <w:rFonts w:ascii="Arial" w:cs="Arial" w:eastAsia="Arial" w:hAnsi="Arial"/>
                <w:sz w:val="18"/>
                <w:szCs w:val="18"/>
                <w:color w:val="auto"/>
              </w:rPr>
              <w:t>159.3</w:t>
            </w:r>
          </w:p>
        </w:tc>
        <w:tc>
          <w:tcPr>
            <w:tcW w:w="9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73"/>
              <w:spacing w:after="0" w:line="202" w:lineRule="exact"/>
              <w:rPr>
                <w:sz w:val="20"/>
                <w:szCs w:val="20"/>
                <w:color w:val="auto"/>
              </w:rPr>
            </w:pPr>
            <w:r>
              <w:rPr>
                <w:rFonts w:ascii="Arial" w:cs="Arial" w:eastAsia="Arial" w:hAnsi="Arial"/>
                <w:sz w:val="18"/>
                <w:szCs w:val="18"/>
                <w:color w:val="auto"/>
              </w:rPr>
              <w:t>152.3</w:t>
            </w:r>
          </w:p>
        </w:tc>
      </w:tr>
      <w:tr>
        <w:trPr>
          <w:trHeight w:val="196"/>
        </w:trPr>
        <w:tc>
          <w:tcPr>
            <w:tcW w:w="584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color w:val="auto"/>
              </w:rPr>
              <w:t>Total inventories</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shd w:val="clear" w:color="auto" w:fill="CCEEFF"/>
          </w:tcPr>
          <w:p>
            <w:pPr>
              <w:jc w:val="right"/>
              <w:ind w:right="653"/>
              <w:spacing w:after="0" w:line="196" w:lineRule="exact"/>
              <w:rPr>
                <w:sz w:val="20"/>
                <w:szCs w:val="20"/>
                <w:color w:val="auto"/>
              </w:rPr>
            </w:pPr>
            <w:r>
              <w:rPr>
                <w:rFonts w:ascii="Arial" w:cs="Arial" w:eastAsia="Arial" w:hAnsi="Arial"/>
                <w:sz w:val="18"/>
                <w:szCs w:val="18"/>
                <w:color w:val="auto"/>
              </w:rPr>
              <w:t>336.3</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3"/>
              <w:spacing w:after="0" w:line="196" w:lineRule="exact"/>
              <w:rPr>
                <w:sz w:val="20"/>
                <w:szCs w:val="20"/>
                <w:color w:val="auto"/>
              </w:rPr>
            </w:pPr>
            <w:r>
              <w:rPr>
                <w:rFonts w:ascii="Arial" w:cs="Arial" w:eastAsia="Arial" w:hAnsi="Arial"/>
                <w:sz w:val="18"/>
                <w:szCs w:val="18"/>
                <w:color w:val="auto"/>
              </w:rPr>
              <w:t>332.1</w:t>
            </w:r>
          </w:p>
        </w:tc>
      </w:tr>
      <w:tr>
        <w:trPr>
          <w:trHeight w:val="446"/>
        </w:trPr>
        <w:tc>
          <w:tcPr>
            <w:tcW w:w="58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60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58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Land and improvements</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shd w:val="clear" w:color="auto" w:fill="CCEEFF"/>
          </w:tcPr>
          <w:p>
            <w:pPr>
              <w:jc w:val="right"/>
              <w:ind w:right="653"/>
              <w:spacing w:after="0" w:line="202" w:lineRule="exact"/>
              <w:rPr>
                <w:sz w:val="20"/>
                <w:szCs w:val="20"/>
                <w:color w:val="auto"/>
              </w:rPr>
            </w:pPr>
            <w:r>
              <w:rPr>
                <w:rFonts w:ascii="Arial" w:cs="Arial" w:eastAsia="Arial" w:hAnsi="Arial"/>
                <w:sz w:val="18"/>
                <w:szCs w:val="18"/>
                <w:color w:val="auto"/>
              </w:rPr>
              <w:t>48.9</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53.8</w:t>
            </w:r>
          </w:p>
        </w:tc>
      </w:tr>
      <w:tr>
        <w:trPr>
          <w:trHeight w:val="203"/>
        </w:trPr>
        <w:tc>
          <w:tcPr>
            <w:tcW w:w="5840" w:type="dxa"/>
            <w:vAlign w:val="bottom"/>
          </w:tcPr>
          <w:p>
            <w:pPr>
              <w:ind w:left="220"/>
              <w:spacing w:after="0" w:line="202" w:lineRule="exact"/>
              <w:rPr>
                <w:sz w:val="20"/>
                <w:szCs w:val="20"/>
                <w:color w:val="auto"/>
              </w:rPr>
            </w:pPr>
            <w:r>
              <w:rPr>
                <w:rFonts w:ascii="Arial" w:cs="Arial" w:eastAsia="Arial" w:hAnsi="Arial"/>
                <w:sz w:val="18"/>
                <w:szCs w:val="18"/>
                <w:color w:val="auto"/>
              </w:rPr>
              <w:t>Buildings and improvements to leaseholds</w:t>
            </w:r>
          </w:p>
        </w:tc>
        <w:tc>
          <w:tcPr>
            <w:tcW w:w="600" w:type="dxa"/>
            <w:vAlign w:val="bottom"/>
          </w:tcPr>
          <w:p>
            <w:pPr>
              <w:spacing w:after="0"/>
              <w:rPr>
                <w:sz w:val="17"/>
                <w:szCs w:val="17"/>
                <w:color w:val="auto"/>
              </w:rPr>
            </w:pPr>
          </w:p>
        </w:tc>
        <w:tc>
          <w:tcPr>
            <w:tcW w:w="1320" w:type="dxa"/>
            <w:vAlign w:val="bottom"/>
            <w:tcBorders>
              <w:right w:val="single" w:sz="8" w:color="auto"/>
            </w:tcBorders>
          </w:tcPr>
          <w:p>
            <w:pPr>
              <w:jc w:val="right"/>
              <w:ind w:right="653"/>
              <w:spacing w:after="0" w:line="202" w:lineRule="exact"/>
              <w:rPr>
                <w:sz w:val="20"/>
                <w:szCs w:val="20"/>
                <w:color w:val="auto"/>
              </w:rPr>
            </w:pPr>
            <w:r>
              <w:rPr>
                <w:rFonts w:ascii="Arial" w:cs="Arial" w:eastAsia="Arial" w:hAnsi="Arial"/>
                <w:sz w:val="18"/>
                <w:szCs w:val="18"/>
                <w:color w:val="auto"/>
              </w:rPr>
              <w:t>328.2</w:t>
            </w:r>
          </w:p>
        </w:tc>
        <w:tc>
          <w:tcPr>
            <w:tcW w:w="960" w:type="dxa"/>
            <w:vAlign w:val="bottom"/>
          </w:tcPr>
          <w:p>
            <w:pPr>
              <w:spacing w:after="0"/>
              <w:rPr>
                <w:sz w:val="17"/>
                <w:szCs w:val="17"/>
                <w:color w:val="auto"/>
              </w:rPr>
            </w:pPr>
          </w:p>
        </w:tc>
        <w:tc>
          <w:tcPr>
            <w:tcW w:w="86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334.0</w:t>
            </w:r>
          </w:p>
        </w:tc>
      </w:tr>
      <w:tr>
        <w:trPr>
          <w:trHeight w:val="203"/>
        </w:trPr>
        <w:tc>
          <w:tcPr>
            <w:tcW w:w="58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Machinery and equipment</w:t>
            </w:r>
          </w:p>
        </w:tc>
        <w:tc>
          <w:tcPr>
            <w:tcW w:w="60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653"/>
              <w:spacing w:after="0" w:line="202" w:lineRule="exact"/>
              <w:rPr>
                <w:sz w:val="20"/>
                <w:szCs w:val="20"/>
                <w:color w:val="auto"/>
              </w:rPr>
            </w:pPr>
            <w:r>
              <w:rPr>
                <w:rFonts w:ascii="Arial" w:cs="Arial" w:eastAsia="Arial" w:hAnsi="Arial"/>
                <w:sz w:val="18"/>
                <w:szCs w:val="18"/>
                <w:color w:val="auto"/>
                <w:w w:val="93"/>
              </w:rPr>
              <w:t>1,058.2</w:t>
            </w:r>
          </w:p>
        </w:tc>
        <w:tc>
          <w:tcPr>
            <w:tcW w:w="9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w w:val="96"/>
              </w:rPr>
              <w:t>1,041.4</w:t>
            </w:r>
          </w:p>
        </w:tc>
      </w:tr>
      <w:tr>
        <w:trPr>
          <w:trHeight w:val="203"/>
        </w:trPr>
        <w:tc>
          <w:tcPr>
            <w:tcW w:w="5840" w:type="dxa"/>
            <w:vAlign w:val="bottom"/>
            <w:tcBorders>
              <w:bottom w:val="single" w:sz="8" w:color="auto"/>
            </w:tcBorders>
          </w:tcPr>
          <w:p>
            <w:pPr>
              <w:ind w:left="220"/>
              <w:spacing w:after="0" w:line="202" w:lineRule="exact"/>
              <w:rPr>
                <w:sz w:val="20"/>
                <w:szCs w:val="20"/>
                <w:color w:val="auto"/>
              </w:rPr>
            </w:pPr>
            <w:r>
              <w:rPr>
                <w:rFonts w:ascii="Arial" w:cs="Arial" w:eastAsia="Arial" w:hAnsi="Arial"/>
                <w:sz w:val="18"/>
                <w:szCs w:val="18"/>
                <w:color w:val="auto"/>
              </w:rPr>
              <w:t>Construction in progress</w:t>
            </w:r>
          </w:p>
        </w:tc>
        <w:tc>
          <w:tcPr>
            <w:tcW w:w="60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jc w:val="right"/>
              <w:ind w:right="653"/>
              <w:spacing w:after="0" w:line="202" w:lineRule="exact"/>
              <w:rPr>
                <w:sz w:val="20"/>
                <w:szCs w:val="20"/>
                <w:color w:val="auto"/>
              </w:rPr>
            </w:pPr>
            <w:r>
              <w:rPr>
                <w:rFonts w:ascii="Arial" w:cs="Arial" w:eastAsia="Arial" w:hAnsi="Arial"/>
                <w:sz w:val="18"/>
                <w:szCs w:val="18"/>
                <w:color w:val="auto"/>
              </w:rPr>
              <w:t>42.1</w:t>
            </w:r>
          </w:p>
        </w:tc>
        <w:tc>
          <w:tcPr>
            <w:tcW w:w="9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73"/>
              <w:spacing w:after="0" w:line="202" w:lineRule="exact"/>
              <w:rPr>
                <w:sz w:val="20"/>
                <w:szCs w:val="20"/>
                <w:color w:val="auto"/>
              </w:rPr>
            </w:pPr>
            <w:r>
              <w:rPr>
                <w:rFonts w:ascii="Arial" w:cs="Arial" w:eastAsia="Arial" w:hAnsi="Arial"/>
                <w:sz w:val="18"/>
                <w:szCs w:val="18"/>
                <w:color w:val="auto"/>
              </w:rPr>
              <w:t>32.1</w:t>
            </w:r>
          </w:p>
        </w:tc>
      </w:tr>
      <w:tr>
        <w:trPr>
          <w:trHeight w:val="196"/>
        </w:trPr>
        <w:tc>
          <w:tcPr>
            <w:tcW w:w="584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color w:val="auto"/>
              </w:rPr>
              <w:t>Property, plant and equipment, gross</w:t>
            </w:r>
          </w:p>
        </w:tc>
        <w:tc>
          <w:tcPr>
            <w:tcW w:w="60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653"/>
              <w:spacing w:after="0" w:line="196" w:lineRule="exact"/>
              <w:rPr>
                <w:sz w:val="20"/>
                <w:szCs w:val="20"/>
                <w:color w:val="auto"/>
              </w:rPr>
            </w:pPr>
            <w:r>
              <w:rPr>
                <w:rFonts w:ascii="Arial" w:cs="Arial" w:eastAsia="Arial" w:hAnsi="Arial"/>
                <w:sz w:val="18"/>
                <w:szCs w:val="18"/>
                <w:color w:val="auto"/>
                <w:w w:val="93"/>
              </w:rPr>
              <w:t>1,477.4</w:t>
            </w:r>
          </w:p>
        </w:tc>
        <w:tc>
          <w:tcPr>
            <w:tcW w:w="9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73"/>
              <w:spacing w:after="0" w:line="196" w:lineRule="exact"/>
              <w:rPr>
                <w:sz w:val="20"/>
                <w:szCs w:val="20"/>
                <w:color w:val="auto"/>
              </w:rPr>
            </w:pPr>
            <w:r>
              <w:rPr>
                <w:rFonts w:ascii="Arial" w:cs="Arial" w:eastAsia="Arial" w:hAnsi="Arial"/>
                <w:sz w:val="18"/>
                <w:szCs w:val="18"/>
                <w:color w:val="auto"/>
                <w:w w:val="96"/>
              </w:rPr>
              <w:t>1,461.3</w:t>
            </w:r>
          </w:p>
        </w:tc>
      </w:tr>
      <w:tr>
        <w:trPr>
          <w:trHeight w:val="203"/>
        </w:trPr>
        <w:tc>
          <w:tcPr>
            <w:tcW w:w="5840" w:type="dxa"/>
            <w:vAlign w:val="bottom"/>
            <w:tcBorders>
              <w:bottom w:val="single" w:sz="8" w:color="auto"/>
            </w:tcBorders>
          </w:tcPr>
          <w:p>
            <w:pPr>
              <w:ind w:left="220"/>
              <w:spacing w:after="0" w:line="202" w:lineRule="exact"/>
              <w:rPr>
                <w:sz w:val="20"/>
                <w:szCs w:val="20"/>
                <w:color w:val="auto"/>
              </w:rPr>
            </w:pPr>
            <w:r>
              <w:rPr>
                <w:rFonts w:ascii="Arial" w:cs="Arial" w:eastAsia="Arial" w:hAnsi="Arial"/>
                <w:sz w:val="18"/>
                <w:szCs w:val="18"/>
                <w:color w:val="auto"/>
              </w:rPr>
              <w:t>Less: accumulated depreciation</w:t>
            </w:r>
          </w:p>
        </w:tc>
        <w:tc>
          <w:tcPr>
            <w:tcW w:w="60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jc w:val="right"/>
              <w:ind w:right="653"/>
              <w:spacing w:after="0" w:line="202" w:lineRule="exact"/>
              <w:rPr>
                <w:sz w:val="20"/>
                <w:szCs w:val="20"/>
                <w:color w:val="auto"/>
              </w:rPr>
            </w:pPr>
            <w:r>
              <w:rPr>
                <w:rFonts w:ascii="Arial" w:cs="Arial" w:eastAsia="Arial" w:hAnsi="Arial"/>
                <w:sz w:val="18"/>
                <w:szCs w:val="18"/>
                <w:color w:val="auto"/>
              </w:rPr>
              <w:t>951.6</w:t>
            </w:r>
          </w:p>
        </w:tc>
        <w:tc>
          <w:tcPr>
            <w:tcW w:w="9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73"/>
              <w:spacing w:after="0" w:line="202" w:lineRule="exact"/>
              <w:rPr>
                <w:sz w:val="20"/>
                <w:szCs w:val="20"/>
                <w:color w:val="auto"/>
              </w:rPr>
            </w:pPr>
            <w:r>
              <w:rPr>
                <w:rFonts w:ascii="Arial" w:cs="Arial" w:eastAsia="Arial" w:hAnsi="Arial"/>
                <w:sz w:val="18"/>
                <w:szCs w:val="18"/>
                <w:color w:val="auto"/>
              </w:rPr>
              <w:t>911.3</w:t>
            </w:r>
          </w:p>
        </w:tc>
      </w:tr>
      <w:tr>
        <w:trPr>
          <w:trHeight w:val="196"/>
        </w:trPr>
        <w:tc>
          <w:tcPr>
            <w:tcW w:w="584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color w:val="auto"/>
              </w:rPr>
              <w:t>Property, plant and equipment, net of accumulated depreciation</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shd w:val="clear" w:color="auto" w:fill="CCEEFF"/>
          </w:tcPr>
          <w:p>
            <w:pPr>
              <w:jc w:val="right"/>
              <w:ind w:right="653"/>
              <w:spacing w:after="0" w:line="196" w:lineRule="exact"/>
              <w:rPr>
                <w:sz w:val="20"/>
                <w:szCs w:val="20"/>
                <w:color w:val="auto"/>
              </w:rPr>
            </w:pPr>
            <w:r>
              <w:rPr>
                <w:rFonts w:ascii="Arial" w:cs="Arial" w:eastAsia="Arial" w:hAnsi="Arial"/>
                <w:sz w:val="18"/>
                <w:szCs w:val="18"/>
                <w:color w:val="auto"/>
              </w:rPr>
              <w:t>525.8</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3"/>
              <w:spacing w:after="0" w:line="196" w:lineRule="exact"/>
              <w:rPr>
                <w:sz w:val="20"/>
                <w:szCs w:val="20"/>
                <w:color w:val="auto"/>
              </w:rPr>
            </w:pPr>
            <w:r>
              <w:rPr>
                <w:rFonts w:ascii="Arial" w:cs="Arial" w:eastAsia="Arial" w:hAnsi="Arial"/>
                <w:sz w:val="18"/>
                <w:szCs w:val="18"/>
                <w:color w:val="auto"/>
              </w:rPr>
              <w:t>550.0</w:t>
            </w:r>
          </w:p>
        </w:tc>
      </w:tr>
      <w:tr>
        <w:trPr>
          <w:trHeight w:val="446"/>
        </w:trPr>
        <w:tc>
          <w:tcPr>
            <w:tcW w:w="58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60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58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Accrued salaries, wages and other compensation</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shd w:val="clear" w:color="auto" w:fill="CCEEFF"/>
          </w:tcPr>
          <w:p>
            <w:pPr>
              <w:jc w:val="right"/>
              <w:ind w:right="653"/>
              <w:spacing w:after="0" w:line="202" w:lineRule="exact"/>
              <w:rPr>
                <w:sz w:val="20"/>
                <w:szCs w:val="20"/>
                <w:color w:val="auto"/>
              </w:rPr>
            </w:pPr>
            <w:r>
              <w:rPr>
                <w:rFonts w:ascii="Arial" w:cs="Arial" w:eastAsia="Arial" w:hAnsi="Arial"/>
                <w:sz w:val="18"/>
                <w:szCs w:val="18"/>
                <w:color w:val="auto"/>
              </w:rPr>
              <w:t>74.7</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105.5</w:t>
            </w:r>
          </w:p>
        </w:tc>
      </w:tr>
      <w:tr>
        <w:trPr>
          <w:trHeight w:val="203"/>
        </w:trPr>
        <w:tc>
          <w:tcPr>
            <w:tcW w:w="5840" w:type="dxa"/>
            <w:vAlign w:val="bottom"/>
          </w:tcPr>
          <w:p>
            <w:pPr>
              <w:ind w:left="220"/>
              <w:spacing w:after="0" w:line="202" w:lineRule="exact"/>
              <w:rPr>
                <w:sz w:val="20"/>
                <w:szCs w:val="20"/>
                <w:color w:val="auto"/>
              </w:rPr>
            </w:pPr>
            <w:r>
              <w:rPr>
                <w:rFonts w:ascii="Arial" w:cs="Arial" w:eastAsia="Arial" w:hAnsi="Arial"/>
                <w:sz w:val="18"/>
                <w:szCs w:val="18"/>
                <w:color w:val="auto"/>
              </w:rPr>
              <w:t>Accrued customer programs</w:t>
            </w:r>
          </w:p>
        </w:tc>
        <w:tc>
          <w:tcPr>
            <w:tcW w:w="600" w:type="dxa"/>
            <w:vAlign w:val="bottom"/>
          </w:tcPr>
          <w:p>
            <w:pPr>
              <w:spacing w:after="0"/>
              <w:rPr>
                <w:sz w:val="17"/>
                <w:szCs w:val="17"/>
                <w:color w:val="auto"/>
              </w:rPr>
            </w:pPr>
          </w:p>
        </w:tc>
        <w:tc>
          <w:tcPr>
            <w:tcW w:w="1320" w:type="dxa"/>
            <w:vAlign w:val="bottom"/>
            <w:tcBorders>
              <w:right w:val="single" w:sz="8" w:color="auto"/>
            </w:tcBorders>
          </w:tcPr>
          <w:p>
            <w:pPr>
              <w:jc w:val="right"/>
              <w:ind w:right="653"/>
              <w:spacing w:after="0" w:line="202" w:lineRule="exact"/>
              <w:rPr>
                <w:sz w:val="20"/>
                <w:szCs w:val="20"/>
                <w:color w:val="auto"/>
              </w:rPr>
            </w:pPr>
            <w:r>
              <w:rPr>
                <w:rFonts w:ascii="Arial" w:cs="Arial" w:eastAsia="Arial" w:hAnsi="Arial"/>
                <w:sz w:val="18"/>
                <w:szCs w:val="18"/>
                <w:color w:val="auto"/>
              </w:rPr>
              <w:t>76.8</w:t>
            </w:r>
          </w:p>
        </w:tc>
        <w:tc>
          <w:tcPr>
            <w:tcW w:w="960" w:type="dxa"/>
            <w:vAlign w:val="bottom"/>
          </w:tcPr>
          <w:p>
            <w:pPr>
              <w:spacing w:after="0"/>
              <w:rPr>
                <w:sz w:val="17"/>
                <w:szCs w:val="17"/>
                <w:color w:val="auto"/>
              </w:rPr>
            </w:pPr>
          </w:p>
        </w:tc>
        <w:tc>
          <w:tcPr>
            <w:tcW w:w="86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90.7</w:t>
            </w:r>
          </w:p>
        </w:tc>
      </w:tr>
      <w:tr>
        <w:trPr>
          <w:trHeight w:val="203"/>
        </w:trPr>
        <w:tc>
          <w:tcPr>
            <w:tcW w:w="584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accrued expenses</w:t>
            </w:r>
          </w:p>
        </w:tc>
        <w:tc>
          <w:tcPr>
            <w:tcW w:w="6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right w:val="single" w:sz="8" w:color="auto"/>
            </w:tcBorders>
            <w:shd w:val="clear" w:color="auto" w:fill="CCEEFF"/>
          </w:tcPr>
          <w:p>
            <w:pPr>
              <w:jc w:val="right"/>
              <w:ind w:right="653"/>
              <w:spacing w:after="0" w:line="202" w:lineRule="exact"/>
              <w:rPr>
                <w:sz w:val="20"/>
                <w:szCs w:val="20"/>
                <w:color w:val="auto"/>
              </w:rPr>
            </w:pPr>
            <w:r>
              <w:rPr>
                <w:rFonts w:ascii="Arial" w:cs="Arial" w:eastAsia="Arial" w:hAnsi="Arial"/>
                <w:sz w:val="18"/>
                <w:szCs w:val="18"/>
                <w:color w:val="auto"/>
              </w:rPr>
              <w:t>164.3</w:t>
            </w:r>
          </w:p>
        </w:tc>
        <w:tc>
          <w:tcPr>
            <w:tcW w:w="9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124.5</w:t>
            </w:r>
          </w:p>
        </w:tc>
      </w:tr>
      <w:tr>
        <w:trPr>
          <w:trHeight w:val="203"/>
        </w:trPr>
        <w:tc>
          <w:tcPr>
            <w:tcW w:w="5840" w:type="dxa"/>
            <w:vAlign w:val="bottom"/>
            <w:tcBorders>
              <w:bottom w:val="single" w:sz="8" w:color="auto"/>
            </w:tcBorders>
          </w:tcPr>
          <w:p>
            <w:pPr>
              <w:ind w:left="440"/>
              <w:spacing w:after="0" w:line="196" w:lineRule="exact"/>
              <w:rPr>
                <w:sz w:val="20"/>
                <w:szCs w:val="20"/>
                <w:color w:val="auto"/>
              </w:rPr>
            </w:pPr>
            <w:r>
              <w:rPr>
                <w:rFonts w:ascii="Arial" w:cs="Arial" w:eastAsia="Arial" w:hAnsi="Arial"/>
                <w:sz w:val="18"/>
                <w:szCs w:val="18"/>
                <w:color w:val="auto"/>
              </w:rPr>
              <w:t>Total other current liabilities</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tcPr>
          <w:p>
            <w:pPr>
              <w:jc w:val="right"/>
              <w:ind w:right="653"/>
              <w:spacing w:after="0" w:line="196" w:lineRule="exact"/>
              <w:rPr>
                <w:sz w:val="20"/>
                <w:szCs w:val="20"/>
                <w:color w:val="auto"/>
              </w:rPr>
            </w:pPr>
            <w:r>
              <w:rPr>
                <w:rFonts w:ascii="Arial" w:cs="Arial" w:eastAsia="Arial" w:hAnsi="Arial"/>
                <w:sz w:val="18"/>
                <w:szCs w:val="18"/>
                <w:color w:val="auto"/>
              </w:rPr>
              <w:t>315.8</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73"/>
              <w:spacing w:after="0" w:line="196" w:lineRule="exact"/>
              <w:rPr>
                <w:sz w:val="20"/>
                <w:szCs w:val="20"/>
                <w:color w:val="auto"/>
              </w:rPr>
            </w:pPr>
            <w:r>
              <w:rPr>
                <w:rFonts w:ascii="Arial" w:cs="Arial" w:eastAsia="Arial" w:hAnsi="Arial"/>
                <w:sz w:val="18"/>
                <w:szCs w:val="18"/>
                <w:color w:val="auto"/>
              </w:rPr>
              <w:t>320.7</w:t>
            </w:r>
          </w:p>
        </w:tc>
      </w:tr>
    </w:tbl>
    <w:p>
      <w:pPr>
        <w:spacing w:after="0" w:line="143"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net carrying amount of goodwill by segment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Borders>
              <w:top w:val="single" w:sz="8" w:color="auto"/>
            </w:tcBorders>
          </w:tcPr>
          <w:p>
            <w:pPr>
              <w:spacing w:after="0"/>
              <w:rPr>
                <w:sz w:val="14"/>
                <w:szCs w:val="14"/>
                <w:color w:val="auto"/>
              </w:rPr>
            </w:pPr>
          </w:p>
        </w:tc>
        <w:tc>
          <w:tcPr>
            <w:tcW w:w="1840" w:type="dxa"/>
            <w:vAlign w:val="bottom"/>
            <w:tcBorders>
              <w:top w:val="single" w:sz="8" w:color="auto"/>
              <w:right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20" w:type="dxa"/>
            <w:vAlign w:val="bottom"/>
            <w:tcBorders>
              <w:top w:val="single" w:sz="8" w:color="auto"/>
              <w:right w:val="single" w:sz="8" w:color="auto"/>
            </w:tcBorders>
          </w:tcPr>
          <w:p>
            <w:pPr>
              <w:spacing w:after="0"/>
              <w:rPr>
                <w:sz w:val="14"/>
                <w:szCs w:val="14"/>
                <w:color w:val="auto"/>
              </w:rPr>
            </w:pPr>
          </w:p>
        </w:tc>
        <w:tc>
          <w:tcPr>
            <w:tcW w:w="1780" w:type="dxa"/>
            <w:vAlign w:val="bottom"/>
            <w:tcBorders>
              <w:top w:val="single" w:sz="8" w:color="auto"/>
              <w:right w:val="single" w:sz="8" w:color="auto"/>
            </w:tcBorders>
            <w:gridSpan w:val="2"/>
          </w:tcPr>
          <w:p>
            <w:pPr>
              <w:jc w:val="right"/>
              <w:ind w:right="476"/>
              <w:spacing w:after="0"/>
              <w:rPr>
                <w:sz w:val="20"/>
                <w:szCs w:val="20"/>
                <w:color w:val="auto"/>
              </w:rPr>
            </w:pPr>
            <w:r>
              <w:rPr>
                <w:rFonts w:ascii="Arial" w:cs="Arial" w:eastAsia="Arial" w:hAnsi="Arial"/>
                <w:sz w:val="14"/>
                <w:szCs w:val="14"/>
                <w:color w:val="auto"/>
              </w:rPr>
              <w:t>Advanced</w:t>
            </w:r>
          </w:p>
        </w:tc>
        <w:tc>
          <w:tcPr>
            <w:tcW w:w="560" w:type="dxa"/>
            <w:vAlign w:val="bottom"/>
            <w:tcBorders>
              <w:top w:val="single" w:sz="8" w:color="auto"/>
            </w:tcBorders>
          </w:tcPr>
          <w:p>
            <w:pPr>
              <w:spacing w:after="0"/>
              <w:rPr>
                <w:sz w:val="14"/>
                <w:szCs w:val="14"/>
                <w:color w:val="auto"/>
              </w:rPr>
            </w:pPr>
          </w:p>
        </w:tc>
        <w:tc>
          <w:tcPr>
            <w:tcW w:w="980" w:type="dxa"/>
            <w:vAlign w:val="bottom"/>
            <w:tcBorders>
              <w:top w:val="single" w:sz="8" w:color="auto"/>
              <w:right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Borders>
              <w:right w:val="single" w:sz="8" w:color="auto"/>
            </w:tcBorders>
          </w:tcPr>
          <w:p>
            <w:pPr>
              <w:jc w:val="right"/>
              <w:ind w:right="476"/>
              <w:spacing w:after="0" w:line="149" w:lineRule="exact"/>
              <w:rPr>
                <w:sz w:val="20"/>
                <w:szCs w:val="20"/>
                <w:color w:val="auto"/>
              </w:rPr>
            </w:pPr>
            <w:r>
              <w:rPr>
                <w:rFonts w:ascii="Arial" w:cs="Arial" w:eastAsia="Arial" w:hAnsi="Arial"/>
                <w:sz w:val="14"/>
                <w:szCs w:val="14"/>
                <w:color w:val="auto"/>
              </w:rPr>
              <w:t>Material</w:t>
            </w:r>
          </w:p>
        </w:tc>
        <w:tc>
          <w:tcPr>
            <w:tcW w:w="56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840" w:type="dxa"/>
            <w:vAlign w:val="bottom"/>
            <w:tcBorders>
              <w:right w:val="single" w:sz="8" w:color="auto"/>
            </w:tcBorders>
          </w:tcPr>
          <w:p>
            <w:pPr>
              <w:jc w:val="right"/>
              <w:ind w:right="416"/>
              <w:spacing w:after="0" w:line="149" w:lineRule="exact"/>
              <w:rPr>
                <w:sz w:val="20"/>
                <w:szCs w:val="20"/>
                <w:color w:val="auto"/>
              </w:rPr>
            </w:pPr>
            <w:r>
              <w:rPr>
                <w:rFonts w:ascii="Arial" w:cs="Arial" w:eastAsia="Arial" w:hAnsi="Arial"/>
                <w:sz w:val="14"/>
                <w:szCs w:val="14"/>
                <w:color w:val="auto"/>
              </w:rPr>
              <w:t>Kitchen &amp;</w:t>
            </w:r>
          </w:p>
        </w:tc>
        <w:tc>
          <w:tcPr>
            <w:tcW w:w="6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gridSpan w:val="2"/>
          </w:tcPr>
          <w:p>
            <w:pPr>
              <w:jc w:val="right"/>
              <w:ind w:right="476"/>
              <w:spacing w:after="0" w:line="149" w:lineRule="exact"/>
              <w:rPr>
                <w:sz w:val="20"/>
                <w:szCs w:val="20"/>
                <w:color w:val="auto"/>
              </w:rPr>
            </w:pPr>
            <w:r>
              <w:rPr>
                <w:rFonts w:ascii="Arial" w:cs="Arial" w:eastAsia="Arial" w:hAnsi="Arial"/>
                <w:sz w:val="14"/>
                <w:szCs w:val="14"/>
                <w:color w:val="auto"/>
              </w:rPr>
              <w:t>Windows &amp;</w:t>
            </w:r>
          </w:p>
        </w:tc>
        <w:tc>
          <w:tcPr>
            <w:tcW w:w="56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840" w:type="dxa"/>
            <w:vAlign w:val="bottom"/>
            <w:tcBorders>
              <w:right w:val="single" w:sz="8" w:color="auto"/>
            </w:tcBorders>
          </w:tcPr>
          <w:p>
            <w:pPr>
              <w:jc w:val="right"/>
              <w:ind w:right="416"/>
              <w:spacing w:after="0" w:line="149" w:lineRule="exact"/>
              <w:rPr>
                <w:sz w:val="20"/>
                <w:szCs w:val="20"/>
                <w:color w:val="auto"/>
              </w:rPr>
            </w:pPr>
            <w:r>
              <w:rPr>
                <w:rFonts w:ascii="Arial" w:cs="Arial" w:eastAsia="Arial" w:hAnsi="Arial"/>
                <w:sz w:val="14"/>
                <w:szCs w:val="14"/>
                <w:color w:val="auto"/>
              </w:rPr>
              <w:t>Bath</w:t>
            </w:r>
          </w:p>
        </w:tc>
        <w:tc>
          <w:tcPr>
            <w:tcW w:w="1660" w:type="dxa"/>
            <w:vAlign w:val="bottom"/>
            <w:tcBorders>
              <w:right w:val="single" w:sz="8" w:color="auto"/>
            </w:tcBorders>
            <w:gridSpan w:val="2"/>
          </w:tcPr>
          <w:p>
            <w:pPr>
              <w:jc w:val="right"/>
              <w:ind w:right="392"/>
              <w:spacing w:after="0" w:line="149" w:lineRule="exact"/>
              <w:rPr>
                <w:sz w:val="20"/>
                <w:szCs w:val="20"/>
                <w:color w:val="auto"/>
              </w:rPr>
            </w:pPr>
            <w:r>
              <w:rPr>
                <w:rFonts w:ascii="Arial" w:cs="Arial" w:eastAsia="Arial" w:hAnsi="Arial"/>
                <w:sz w:val="14"/>
                <w:szCs w:val="14"/>
                <w:color w:val="auto"/>
              </w:rPr>
              <w:t>Plumbing &amp;</w:t>
            </w:r>
          </w:p>
        </w:tc>
        <w:tc>
          <w:tcPr>
            <w:tcW w:w="660" w:type="dxa"/>
            <w:vAlign w:val="bottom"/>
          </w:tcPr>
          <w:p>
            <w:pPr>
              <w:spacing w:after="0"/>
              <w:rPr>
                <w:sz w:val="12"/>
                <w:szCs w:val="12"/>
                <w:color w:val="auto"/>
              </w:rPr>
            </w:pPr>
          </w:p>
        </w:tc>
        <w:tc>
          <w:tcPr>
            <w:tcW w:w="1120" w:type="dxa"/>
            <w:vAlign w:val="bottom"/>
            <w:tcBorders>
              <w:right w:val="single" w:sz="8" w:color="auto"/>
            </w:tcBorders>
          </w:tcPr>
          <w:p>
            <w:pPr>
              <w:jc w:val="right"/>
              <w:ind w:right="476"/>
              <w:spacing w:after="0" w:line="149" w:lineRule="exact"/>
              <w:rPr>
                <w:sz w:val="20"/>
                <w:szCs w:val="20"/>
                <w:color w:val="auto"/>
              </w:rPr>
            </w:pPr>
            <w:r>
              <w:rPr>
                <w:rFonts w:ascii="Arial" w:cs="Arial" w:eastAsia="Arial" w:hAnsi="Arial"/>
                <w:sz w:val="14"/>
                <w:szCs w:val="14"/>
                <w:color w:val="auto"/>
              </w:rPr>
              <w:t>Door</w:t>
            </w:r>
          </w:p>
        </w:tc>
        <w:tc>
          <w:tcPr>
            <w:tcW w:w="1540" w:type="dxa"/>
            <w:vAlign w:val="bottom"/>
            <w:tcBorders>
              <w:right w:val="single" w:sz="8" w:color="auto"/>
            </w:tcBorders>
            <w:gridSpan w:val="2"/>
          </w:tcPr>
          <w:p>
            <w:pPr>
              <w:ind w:left="440"/>
              <w:spacing w:after="0" w:line="149" w:lineRule="exact"/>
              <w:rPr>
                <w:sz w:val="20"/>
                <w:szCs w:val="20"/>
                <w:color w:val="auto"/>
              </w:rPr>
            </w:pPr>
            <w:r>
              <w:rPr>
                <w:rFonts w:ascii="Arial" w:cs="Arial" w:eastAsia="Arial" w:hAnsi="Arial"/>
                <w:sz w:val="14"/>
                <w:szCs w:val="14"/>
                <w:color w:val="auto"/>
              </w:rPr>
              <w:t>Security &amp;</w:t>
            </w:r>
          </w:p>
        </w:tc>
        <w:tc>
          <w:tcPr>
            <w:tcW w:w="1120" w:type="dxa"/>
            <w:vAlign w:val="bottom"/>
          </w:tcPr>
          <w:p>
            <w:pPr>
              <w:jc w:val="right"/>
              <w:ind w:right="15"/>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3480" w:type="dxa"/>
            <w:vAlign w:val="bottom"/>
            <w:tcBorders>
              <w:bottom w:val="single" w:sz="8" w:color="auto"/>
            </w:tcBorders>
            <w:vMerge w:val="continue"/>
          </w:tcPr>
          <w:p>
            <w:pPr>
              <w:spacing w:after="0"/>
              <w:rPr>
                <w:sz w:val="12"/>
                <w:szCs w:val="12"/>
                <w:color w:val="auto"/>
              </w:rPr>
            </w:pPr>
          </w:p>
        </w:tc>
        <w:tc>
          <w:tcPr>
            <w:tcW w:w="1840" w:type="dxa"/>
            <w:vAlign w:val="bottom"/>
            <w:tcBorders>
              <w:bottom w:val="single" w:sz="8" w:color="auto"/>
              <w:right w:val="single" w:sz="8" w:color="auto"/>
            </w:tcBorders>
          </w:tcPr>
          <w:p>
            <w:pPr>
              <w:jc w:val="right"/>
              <w:ind w:right="416"/>
              <w:spacing w:after="0" w:line="149" w:lineRule="exact"/>
              <w:rPr>
                <w:sz w:val="20"/>
                <w:szCs w:val="20"/>
                <w:color w:val="auto"/>
              </w:rPr>
            </w:pPr>
            <w:r>
              <w:rPr>
                <w:rFonts w:ascii="Arial" w:cs="Arial" w:eastAsia="Arial" w:hAnsi="Arial"/>
                <w:sz w:val="14"/>
                <w:szCs w:val="14"/>
                <w:color w:val="auto"/>
              </w:rPr>
              <w:t>Cabinetry</w:t>
            </w:r>
          </w:p>
        </w:tc>
        <w:tc>
          <w:tcPr>
            <w:tcW w:w="1660" w:type="dxa"/>
            <w:vAlign w:val="bottom"/>
            <w:tcBorders>
              <w:bottom w:val="single" w:sz="8" w:color="auto"/>
              <w:right w:val="single" w:sz="8" w:color="auto"/>
            </w:tcBorders>
            <w:gridSpan w:val="2"/>
          </w:tcPr>
          <w:p>
            <w:pPr>
              <w:ind w:left="440"/>
              <w:spacing w:after="0" w:line="149" w:lineRule="exact"/>
              <w:rPr>
                <w:sz w:val="20"/>
                <w:szCs w:val="20"/>
                <w:color w:val="auto"/>
              </w:rPr>
            </w:pPr>
            <w:r>
              <w:rPr>
                <w:rFonts w:ascii="Arial" w:cs="Arial" w:eastAsia="Arial" w:hAnsi="Arial"/>
                <w:sz w:val="14"/>
                <w:szCs w:val="14"/>
                <w:color w:val="auto"/>
              </w:rPr>
              <w:t>Accessories</w:t>
            </w:r>
          </w:p>
        </w:tc>
        <w:tc>
          <w:tcPr>
            <w:tcW w:w="660" w:type="dxa"/>
            <w:vAlign w:val="bottom"/>
            <w:tcBorders>
              <w:bottom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jc w:val="right"/>
              <w:ind w:right="476"/>
              <w:spacing w:after="0" w:line="149" w:lineRule="exact"/>
              <w:rPr>
                <w:sz w:val="20"/>
                <w:szCs w:val="20"/>
                <w:color w:val="auto"/>
              </w:rPr>
            </w:pPr>
            <w:r>
              <w:rPr>
                <w:rFonts w:ascii="Arial" w:cs="Arial" w:eastAsia="Arial" w:hAnsi="Arial"/>
                <w:sz w:val="14"/>
                <w:szCs w:val="14"/>
                <w:color w:val="auto"/>
              </w:rPr>
              <w:t>Systems</w:t>
            </w:r>
          </w:p>
        </w:tc>
        <w:tc>
          <w:tcPr>
            <w:tcW w:w="56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jc w:val="right"/>
              <w:ind w:right="394"/>
              <w:spacing w:after="0" w:line="149" w:lineRule="exact"/>
              <w:rPr>
                <w:sz w:val="20"/>
                <w:szCs w:val="20"/>
                <w:color w:val="auto"/>
              </w:rPr>
            </w:pPr>
            <w:r>
              <w:rPr>
                <w:rFonts w:ascii="Arial" w:cs="Arial" w:eastAsia="Arial" w:hAnsi="Arial"/>
                <w:sz w:val="14"/>
                <w:szCs w:val="14"/>
                <w:color w:val="auto"/>
                <w:w w:val="97"/>
              </w:rPr>
              <w:t>Storage</w:t>
            </w:r>
          </w:p>
        </w:tc>
        <w:tc>
          <w:tcPr>
            <w:tcW w:w="1120" w:type="dxa"/>
            <w:vAlign w:val="bottom"/>
            <w:tcBorders>
              <w:bottom w:val="single" w:sz="8" w:color="auto"/>
            </w:tcBorders>
          </w:tcPr>
          <w:p>
            <w:pPr>
              <w:jc w:val="right"/>
              <w:ind w:right="15"/>
              <w:spacing w:after="0" w:line="149" w:lineRule="exact"/>
              <w:rPr>
                <w:sz w:val="20"/>
                <w:szCs w:val="20"/>
                <w:color w:val="auto"/>
              </w:rPr>
            </w:pPr>
            <w:r>
              <w:rPr>
                <w:rFonts w:ascii="Arial" w:cs="Arial" w:eastAsia="Arial" w:hAnsi="Arial"/>
                <w:sz w:val="14"/>
                <w:szCs w:val="14"/>
                <w:color w:val="auto"/>
              </w:rPr>
              <w:t>Goodwill</w:t>
            </w:r>
          </w:p>
        </w:tc>
        <w:tc>
          <w:tcPr>
            <w:tcW w:w="0" w:type="dxa"/>
            <w:vAlign w:val="bottom"/>
          </w:tcPr>
          <w:p>
            <w:pPr>
              <w:spacing w:after="0"/>
              <w:rPr>
                <w:sz w:val="1"/>
                <w:szCs w:val="1"/>
                <w:color w:val="auto"/>
              </w:rPr>
            </w:pPr>
          </w:p>
        </w:tc>
      </w:tr>
      <w:tr>
        <w:trPr>
          <w:trHeight w:val="196"/>
        </w:trPr>
        <w:tc>
          <w:tcPr>
            <w:tcW w:w="3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December 31, 2009:</w:t>
            </w:r>
          </w:p>
        </w:tc>
        <w:tc>
          <w:tcPr>
            <w:tcW w:w="184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line="202" w:lineRule="exact"/>
              <w:rPr>
                <w:sz w:val="20"/>
                <w:szCs w:val="20"/>
                <w:color w:val="auto"/>
              </w:rPr>
            </w:pPr>
            <w:r>
              <w:rPr>
                <w:rFonts w:ascii="Arial" w:cs="Arial" w:eastAsia="Arial" w:hAnsi="Arial"/>
                <w:sz w:val="18"/>
                <w:szCs w:val="18"/>
                <w:color w:val="auto"/>
              </w:rPr>
              <w:t>Goodwill</w:t>
            </w:r>
          </w:p>
        </w:tc>
        <w:tc>
          <w:tcPr>
            <w:tcW w:w="1840" w:type="dxa"/>
            <w:vAlign w:val="bottom"/>
            <w:tcBorders>
              <w:right w:val="single" w:sz="8" w:color="auto"/>
            </w:tcBorders>
          </w:tcPr>
          <w:p>
            <w:pPr>
              <w:jc w:val="right"/>
              <w:ind w:right="416"/>
              <w:spacing w:after="0" w:line="202" w:lineRule="exact"/>
              <w:rPr>
                <w:sz w:val="20"/>
                <w:szCs w:val="20"/>
                <w:color w:val="auto"/>
              </w:rPr>
            </w:pPr>
            <w:r>
              <w:rPr>
                <w:rFonts w:ascii="Arial" w:cs="Arial" w:eastAsia="Arial" w:hAnsi="Arial"/>
                <w:sz w:val="18"/>
                <w:szCs w:val="18"/>
                <w:color w:val="auto"/>
              </w:rPr>
              <w:t>$ 490.3</w:t>
            </w:r>
          </w:p>
        </w:tc>
        <w:tc>
          <w:tcPr>
            <w:tcW w:w="64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tcPr>
          <w:p>
            <w:pPr>
              <w:jc w:val="right"/>
              <w:ind w:right="392"/>
              <w:spacing w:after="0" w:line="202" w:lineRule="exact"/>
              <w:rPr>
                <w:sz w:val="20"/>
                <w:szCs w:val="20"/>
                <w:color w:val="auto"/>
              </w:rPr>
            </w:pPr>
            <w:r>
              <w:rPr>
                <w:rFonts w:ascii="Arial" w:cs="Arial" w:eastAsia="Arial" w:hAnsi="Arial"/>
                <w:sz w:val="18"/>
                <w:szCs w:val="18"/>
                <w:color w:val="auto"/>
              </w:rPr>
              <w:t>569.7</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jc w:val="right"/>
              <w:ind w:right="476"/>
              <w:spacing w:after="0" w:line="202" w:lineRule="exact"/>
              <w:rPr>
                <w:sz w:val="20"/>
                <w:szCs w:val="20"/>
                <w:color w:val="auto"/>
              </w:rPr>
            </w:pPr>
            <w:r>
              <w:rPr>
                <w:rFonts w:ascii="Arial" w:cs="Arial" w:eastAsia="Arial" w:hAnsi="Arial"/>
                <w:sz w:val="18"/>
                <w:szCs w:val="18"/>
                <w:color w:val="auto"/>
              </w:rPr>
              <w:t>679.3</w:t>
            </w:r>
          </w:p>
        </w:tc>
        <w:tc>
          <w:tcPr>
            <w:tcW w:w="560" w:type="dxa"/>
            <w:vAlign w:val="bottom"/>
          </w:tcPr>
          <w:p>
            <w:pPr>
              <w:ind w:left="44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Borders>
              <w:right w:val="single" w:sz="8" w:color="auto"/>
            </w:tcBorders>
          </w:tcPr>
          <w:p>
            <w:pPr>
              <w:jc w:val="right"/>
              <w:ind w:right="394"/>
              <w:spacing w:after="0" w:line="202" w:lineRule="exact"/>
              <w:rPr>
                <w:sz w:val="20"/>
                <w:szCs w:val="20"/>
                <w:color w:val="auto"/>
              </w:rPr>
            </w:pPr>
            <w:r>
              <w:rPr>
                <w:rFonts w:ascii="Arial" w:cs="Arial" w:eastAsia="Arial" w:hAnsi="Arial"/>
                <w:sz w:val="18"/>
                <w:szCs w:val="18"/>
                <w:color w:val="auto"/>
              </w:rPr>
              <w:t>165.4</w:t>
            </w:r>
          </w:p>
        </w:tc>
        <w:tc>
          <w:tcPr>
            <w:tcW w:w="11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$1,904.7</w:t>
            </w:r>
          </w:p>
        </w:tc>
        <w:tc>
          <w:tcPr>
            <w:tcW w:w="0" w:type="dxa"/>
            <w:vAlign w:val="bottom"/>
          </w:tcPr>
          <w:p>
            <w:pPr>
              <w:spacing w:after="0"/>
              <w:rPr>
                <w:sz w:val="1"/>
                <w:szCs w:val="1"/>
                <w:color w:val="auto"/>
              </w:rPr>
            </w:pPr>
          </w:p>
        </w:tc>
      </w:tr>
      <w:tr>
        <w:trPr>
          <w:trHeight w:val="203"/>
        </w:trPr>
        <w:tc>
          <w:tcPr>
            <w:tcW w:w="348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Accumulated impairment losses</w:t>
            </w:r>
          </w:p>
        </w:tc>
        <w:tc>
          <w:tcPr>
            <w:tcW w:w="1840" w:type="dxa"/>
            <w:vAlign w:val="bottom"/>
            <w:tcBorders>
              <w:bottom w:val="single" w:sz="8" w:color="auto"/>
              <w:right w:val="single" w:sz="8" w:color="auto"/>
            </w:tcBorders>
            <w:shd w:val="clear" w:color="auto" w:fill="CCEEFF"/>
          </w:tcPr>
          <w:p>
            <w:pPr>
              <w:jc w:val="right"/>
              <w:ind w:right="416"/>
              <w:spacing w:after="0" w:line="202"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right w:val="single" w:sz="8" w:color="auto"/>
            </w:tcBorders>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right w:val="single" w:sz="8" w:color="auto"/>
            </w:tcBorders>
            <w:shd w:val="clear" w:color="auto" w:fill="CCEEFF"/>
          </w:tcPr>
          <w:p>
            <w:pPr>
              <w:jc w:val="right"/>
              <w:ind w:right="416"/>
              <w:spacing w:after="0" w:line="202" w:lineRule="exact"/>
              <w:rPr>
                <w:sz w:val="20"/>
                <w:szCs w:val="20"/>
                <w:color w:val="auto"/>
              </w:rPr>
            </w:pPr>
            <w:r>
              <w:rPr>
                <w:rFonts w:ascii="Arial" w:cs="Arial" w:eastAsia="Arial" w:hAnsi="Arial"/>
                <w:sz w:val="18"/>
                <w:szCs w:val="18"/>
                <w:color w:val="auto"/>
              </w:rPr>
              <w:t>(451.3)</w:t>
            </w:r>
          </w:p>
        </w:tc>
        <w:tc>
          <w:tcPr>
            <w:tcW w:w="5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right w:val="single" w:sz="8" w:color="auto"/>
            </w:tcBorders>
            <w:shd w:val="clear" w:color="auto" w:fill="CCEEFF"/>
          </w:tcPr>
          <w:p>
            <w:pPr>
              <w:jc w:val="right"/>
              <w:ind w:right="334"/>
              <w:spacing w:after="0" w:line="202" w:lineRule="exact"/>
              <w:rPr>
                <w:sz w:val="20"/>
                <w:szCs w:val="20"/>
                <w:color w:val="auto"/>
              </w:rPr>
            </w:pPr>
            <w:r>
              <w:rPr>
                <w:rFonts w:ascii="Arial" w:cs="Arial" w:eastAsia="Arial" w:hAnsi="Arial"/>
                <w:sz w:val="18"/>
                <w:szCs w:val="18"/>
                <w:color w:val="auto"/>
              </w:rPr>
              <w:t>(90.1)</w:t>
            </w: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(541.4)</w:t>
            </w:r>
          </w:p>
        </w:tc>
        <w:tc>
          <w:tcPr>
            <w:tcW w:w="0" w:type="dxa"/>
            <w:vAlign w:val="bottom"/>
          </w:tcPr>
          <w:p>
            <w:pPr>
              <w:spacing w:after="0"/>
              <w:rPr>
                <w:sz w:val="1"/>
                <w:szCs w:val="1"/>
                <w:color w:val="auto"/>
              </w:rPr>
            </w:pPr>
          </w:p>
        </w:tc>
      </w:tr>
      <w:tr>
        <w:trPr>
          <w:trHeight w:val="196"/>
        </w:trPr>
        <w:tc>
          <w:tcPr>
            <w:tcW w:w="3480" w:type="dxa"/>
            <w:vAlign w:val="bottom"/>
          </w:tcPr>
          <w:p>
            <w:pPr>
              <w:ind w:left="440"/>
              <w:spacing w:after="0" w:line="196" w:lineRule="exact"/>
              <w:rPr>
                <w:sz w:val="20"/>
                <w:szCs w:val="20"/>
                <w:color w:val="auto"/>
              </w:rPr>
            </w:pPr>
            <w:r>
              <w:rPr>
                <w:rFonts w:ascii="Arial" w:cs="Arial" w:eastAsia="Arial" w:hAnsi="Arial"/>
                <w:sz w:val="18"/>
                <w:szCs w:val="18"/>
                <w:color w:val="auto"/>
              </w:rPr>
              <w:t>Total goodwill, net</w:t>
            </w:r>
          </w:p>
        </w:tc>
        <w:tc>
          <w:tcPr>
            <w:tcW w:w="1840" w:type="dxa"/>
            <w:vAlign w:val="bottom"/>
            <w:tcBorders>
              <w:right w:val="single" w:sz="8" w:color="auto"/>
            </w:tcBorders>
          </w:tcPr>
          <w:p>
            <w:pPr>
              <w:jc w:val="right"/>
              <w:ind w:right="416"/>
              <w:spacing w:after="0" w:line="196" w:lineRule="exact"/>
              <w:rPr>
                <w:sz w:val="20"/>
                <w:szCs w:val="20"/>
                <w:color w:val="auto"/>
              </w:rPr>
            </w:pPr>
            <w:r>
              <w:rPr>
                <w:rFonts w:ascii="Arial" w:cs="Arial" w:eastAsia="Arial" w:hAnsi="Arial"/>
                <w:sz w:val="18"/>
                <w:szCs w:val="18"/>
                <w:color w:val="auto"/>
              </w:rPr>
              <w:t>490.3</w:t>
            </w:r>
          </w:p>
        </w:tc>
        <w:tc>
          <w:tcPr>
            <w:tcW w:w="640" w:type="dxa"/>
            <w:vAlign w:val="bottom"/>
          </w:tcPr>
          <w:p>
            <w:pPr>
              <w:spacing w:after="0"/>
              <w:rPr>
                <w:sz w:val="17"/>
                <w:szCs w:val="17"/>
                <w:color w:val="auto"/>
              </w:rPr>
            </w:pPr>
          </w:p>
        </w:tc>
        <w:tc>
          <w:tcPr>
            <w:tcW w:w="1020" w:type="dxa"/>
            <w:vAlign w:val="bottom"/>
            <w:tcBorders>
              <w:right w:val="single" w:sz="8" w:color="auto"/>
            </w:tcBorders>
          </w:tcPr>
          <w:p>
            <w:pPr>
              <w:jc w:val="right"/>
              <w:ind w:right="392"/>
              <w:spacing w:after="0" w:line="196" w:lineRule="exact"/>
              <w:rPr>
                <w:sz w:val="20"/>
                <w:szCs w:val="20"/>
                <w:color w:val="auto"/>
              </w:rPr>
            </w:pPr>
            <w:r>
              <w:rPr>
                <w:rFonts w:ascii="Arial" w:cs="Arial" w:eastAsia="Arial" w:hAnsi="Arial"/>
                <w:sz w:val="18"/>
                <w:szCs w:val="18"/>
                <w:color w:val="auto"/>
              </w:rPr>
              <w:t>569.7</w:t>
            </w:r>
          </w:p>
        </w:tc>
        <w:tc>
          <w:tcPr>
            <w:tcW w:w="660" w:type="dxa"/>
            <w:vAlign w:val="bottom"/>
          </w:tcPr>
          <w:p>
            <w:pPr>
              <w:spacing w:after="0"/>
              <w:rPr>
                <w:sz w:val="17"/>
                <w:szCs w:val="17"/>
                <w:color w:val="auto"/>
              </w:rPr>
            </w:pPr>
          </w:p>
        </w:tc>
        <w:tc>
          <w:tcPr>
            <w:tcW w:w="1120" w:type="dxa"/>
            <w:vAlign w:val="bottom"/>
            <w:tcBorders>
              <w:right w:val="single" w:sz="8" w:color="auto"/>
            </w:tcBorders>
          </w:tcPr>
          <w:p>
            <w:pPr>
              <w:jc w:val="right"/>
              <w:ind w:right="476"/>
              <w:spacing w:after="0" w:line="196" w:lineRule="exact"/>
              <w:rPr>
                <w:sz w:val="20"/>
                <w:szCs w:val="20"/>
                <w:color w:val="auto"/>
              </w:rPr>
            </w:pPr>
            <w:r>
              <w:rPr>
                <w:rFonts w:ascii="Arial" w:cs="Arial" w:eastAsia="Arial" w:hAnsi="Arial"/>
                <w:sz w:val="18"/>
                <w:szCs w:val="18"/>
                <w:color w:val="auto"/>
              </w:rPr>
              <w:t>228.0</w:t>
            </w:r>
          </w:p>
        </w:tc>
        <w:tc>
          <w:tcPr>
            <w:tcW w:w="560" w:type="dxa"/>
            <w:vAlign w:val="bottom"/>
          </w:tcPr>
          <w:p>
            <w:pPr>
              <w:spacing w:after="0"/>
              <w:rPr>
                <w:sz w:val="17"/>
                <w:szCs w:val="17"/>
                <w:color w:val="auto"/>
              </w:rPr>
            </w:pPr>
          </w:p>
        </w:tc>
        <w:tc>
          <w:tcPr>
            <w:tcW w:w="980" w:type="dxa"/>
            <w:vAlign w:val="bottom"/>
            <w:tcBorders>
              <w:right w:val="single" w:sz="8" w:color="auto"/>
            </w:tcBorders>
          </w:tcPr>
          <w:p>
            <w:pPr>
              <w:jc w:val="right"/>
              <w:ind w:right="394"/>
              <w:spacing w:after="0" w:line="196" w:lineRule="exact"/>
              <w:rPr>
                <w:sz w:val="20"/>
                <w:szCs w:val="20"/>
                <w:color w:val="auto"/>
              </w:rPr>
            </w:pPr>
            <w:r>
              <w:rPr>
                <w:rFonts w:ascii="Arial" w:cs="Arial" w:eastAsia="Arial" w:hAnsi="Arial"/>
                <w:sz w:val="18"/>
                <w:szCs w:val="18"/>
                <w:color w:val="auto"/>
              </w:rPr>
              <w:t>75.3</w:t>
            </w:r>
          </w:p>
        </w:tc>
        <w:tc>
          <w:tcPr>
            <w:tcW w:w="1120" w:type="dxa"/>
            <w:vAlign w:val="bottom"/>
          </w:tcPr>
          <w:p>
            <w:pPr>
              <w:jc w:val="right"/>
              <w:ind w:right="15"/>
              <w:spacing w:after="0" w:line="196" w:lineRule="exact"/>
              <w:rPr>
                <w:sz w:val="20"/>
                <w:szCs w:val="20"/>
                <w:color w:val="auto"/>
              </w:rPr>
            </w:pPr>
            <w:r>
              <w:rPr>
                <w:rFonts w:ascii="Arial" w:cs="Arial" w:eastAsia="Arial" w:hAnsi="Arial"/>
                <w:sz w:val="18"/>
                <w:szCs w:val="18"/>
                <w:color w:val="auto"/>
              </w:rPr>
              <w:t>$1,363.3</w:t>
            </w:r>
          </w:p>
        </w:tc>
        <w:tc>
          <w:tcPr>
            <w:tcW w:w="0" w:type="dxa"/>
            <w:vAlign w:val="bottom"/>
          </w:tcPr>
          <w:p>
            <w:pPr>
              <w:spacing w:after="0"/>
              <w:rPr>
                <w:sz w:val="1"/>
                <w:szCs w:val="1"/>
                <w:color w:val="auto"/>
              </w:rPr>
            </w:pPr>
          </w:p>
        </w:tc>
      </w:tr>
      <w:tr>
        <w:trPr>
          <w:trHeight w:val="203"/>
        </w:trPr>
        <w:tc>
          <w:tcPr>
            <w:tcW w:w="34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2010 translation adjustments</w:t>
            </w:r>
          </w:p>
        </w:tc>
        <w:tc>
          <w:tcPr>
            <w:tcW w:w="1840" w:type="dxa"/>
            <w:vAlign w:val="bottom"/>
            <w:tcBorders>
              <w:bottom w:val="single" w:sz="8" w:color="auto"/>
              <w:right w:val="single" w:sz="8" w:color="auto"/>
            </w:tcBorders>
            <w:shd w:val="clear" w:color="auto" w:fill="CCEEFF"/>
          </w:tcPr>
          <w:p>
            <w:pPr>
              <w:jc w:val="right"/>
              <w:ind w:right="416"/>
              <w:spacing w:after="0" w:line="202" w:lineRule="exact"/>
              <w:rPr>
                <w:sz w:val="20"/>
                <w:szCs w:val="20"/>
                <w:color w:val="auto"/>
              </w:rPr>
            </w:pPr>
            <w:r>
              <w:rPr>
                <w:rFonts w:ascii="Arial" w:cs="Arial" w:eastAsia="Arial" w:hAnsi="Arial"/>
                <w:sz w:val="18"/>
                <w:szCs w:val="18"/>
                <w:color w:val="auto"/>
              </w:rPr>
              <w:t>1.4</w:t>
            </w:r>
          </w:p>
        </w:tc>
        <w:tc>
          <w:tcPr>
            <w:tcW w:w="6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right w:val="single" w:sz="8" w:color="auto"/>
            </w:tcBorders>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right w:val="single" w:sz="8" w:color="auto"/>
            </w:tcBorders>
            <w:shd w:val="clear" w:color="auto" w:fill="CCEEFF"/>
          </w:tcPr>
          <w:p>
            <w:pPr>
              <w:jc w:val="right"/>
              <w:ind w:right="476"/>
              <w:spacing w:after="0" w:line="202"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right w:val="single" w:sz="8" w:color="auto"/>
            </w:tcBorders>
            <w:shd w:val="clear" w:color="auto" w:fill="CCEEFF"/>
          </w:tcPr>
          <w:p>
            <w:pPr>
              <w:jc w:val="right"/>
              <w:ind w:right="394"/>
              <w:spacing w:after="0" w:line="202" w:lineRule="exact"/>
              <w:rPr>
                <w:sz w:val="20"/>
                <w:szCs w:val="20"/>
                <w:color w:val="auto"/>
              </w:rPr>
            </w:pPr>
            <w:r>
              <w:rPr>
                <w:rFonts w:ascii="Arial" w:cs="Arial" w:eastAsia="Arial" w:hAnsi="Arial"/>
                <w:sz w:val="18"/>
                <w:szCs w:val="18"/>
                <w:color w:val="auto"/>
              </w:rPr>
              <w:t>0.2</w:t>
            </w:r>
          </w:p>
        </w:tc>
        <w:tc>
          <w:tcPr>
            <w:tcW w:w="1120" w:type="dxa"/>
            <w:vAlign w:val="bottom"/>
            <w:tcBorders>
              <w:bottom w:val="single" w:sz="8" w:color="auto"/>
            </w:tcBorders>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3480" w:type="dxa"/>
            <w:vAlign w:val="bottom"/>
          </w:tcPr>
          <w:p>
            <w:pPr>
              <w:spacing w:after="0" w:line="196" w:lineRule="exact"/>
              <w:rPr>
                <w:sz w:val="20"/>
                <w:szCs w:val="20"/>
                <w:color w:val="auto"/>
              </w:rPr>
            </w:pPr>
            <w:r>
              <w:rPr>
                <w:rFonts w:ascii="Arial" w:cs="Arial" w:eastAsia="Arial" w:hAnsi="Arial"/>
                <w:sz w:val="18"/>
                <w:szCs w:val="18"/>
                <w:color w:val="auto"/>
              </w:rPr>
              <w:t>Balance at December 31, 2010:</w:t>
            </w:r>
          </w:p>
        </w:tc>
        <w:tc>
          <w:tcPr>
            <w:tcW w:w="184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Goodwill</w:t>
            </w:r>
          </w:p>
        </w:tc>
        <w:tc>
          <w:tcPr>
            <w:tcW w:w="1840" w:type="dxa"/>
            <w:vAlign w:val="bottom"/>
            <w:tcBorders>
              <w:right w:val="single" w:sz="8" w:color="auto"/>
            </w:tcBorders>
            <w:shd w:val="clear" w:color="auto" w:fill="CCEEFF"/>
          </w:tcPr>
          <w:p>
            <w:pPr>
              <w:jc w:val="right"/>
              <w:ind w:right="416"/>
              <w:spacing w:after="0" w:line="202" w:lineRule="exact"/>
              <w:rPr>
                <w:sz w:val="20"/>
                <w:szCs w:val="20"/>
                <w:color w:val="auto"/>
              </w:rPr>
            </w:pPr>
            <w:r>
              <w:rPr>
                <w:rFonts w:ascii="Arial" w:cs="Arial" w:eastAsia="Arial" w:hAnsi="Arial"/>
                <w:sz w:val="18"/>
                <w:szCs w:val="18"/>
                <w:color w:val="auto"/>
              </w:rPr>
              <w:t>491.7</w:t>
            </w:r>
          </w:p>
        </w:tc>
        <w:tc>
          <w:tcPr>
            <w:tcW w:w="64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569.7</w:t>
            </w:r>
          </w:p>
        </w:tc>
        <w:tc>
          <w:tcPr>
            <w:tcW w:w="6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476"/>
              <w:spacing w:after="0" w:line="202" w:lineRule="exact"/>
              <w:rPr>
                <w:sz w:val="20"/>
                <w:szCs w:val="20"/>
                <w:color w:val="auto"/>
              </w:rPr>
            </w:pPr>
            <w:r>
              <w:rPr>
                <w:rFonts w:ascii="Arial" w:cs="Arial" w:eastAsia="Arial" w:hAnsi="Arial"/>
                <w:sz w:val="18"/>
                <w:szCs w:val="18"/>
                <w:color w:val="auto"/>
              </w:rPr>
              <w:t>679.3</w:t>
            </w:r>
          </w:p>
        </w:tc>
        <w:tc>
          <w:tcPr>
            <w:tcW w:w="560" w:type="dxa"/>
            <w:vAlign w:val="bottom"/>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jc w:val="right"/>
              <w:ind w:right="394"/>
              <w:spacing w:after="0" w:line="202" w:lineRule="exact"/>
              <w:rPr>
                <w:sz w:val="20"/>
                <w:szCs w:val="20"/>
                <w:color w:val="auto"/>
              </w:rPr>
            </w:pPr>
            <w:r>
              <w:rPr>
                <w:rFonts w:ascii="Arial" w:cs="Arial" w:eastAsia="Arial" w:hAnsi="Arial"/>
                <w:sz w:val="18"/>
                <w:szCs w:val="18"/>
                <w:color w:val="auto"/>
              </w:rPr>
              <w:t>165.6</w:t>
            </w:r>
          </w:p>
        </w:tc>
        <w:tc>
          <w:tcPr>
            <w:tcW w:w="112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$1,906.3</w:t>
            </w:r>
          </w:p>
        </w:tc>
        <w:tc>
          <w:tcPr>
            <w:tcW w:w="0" w:type="dxa"/>
            <w:vAlign w:val="bottom"/>
          </w:tcPr>
          <w:p>
            <w:pPr>
              <w:spacing w:after="0"/>
              <w:rPr>
                <w:sz w:val="1"/>
                <w:szCs w:val="1"/>
                <w:color w:val="auto"/>
              </w:rPr>
            </w:pPr>
          </w:p>
        </w:tc>
      </w:tr>
      <w:tr>
        <w:trPr>
          <w:trHeight w:val="203"/>
        </w:trPr>
        <w:tc>
          <w:tcPr>
            <w:tcW w:w="3480" w:type="dxa"/>
            <w:vAlign w:val="bottom"/>
            <w:tcBorders>
              <w:bottom w:val="single" w:sz="8" w:color="auto"/>
            </w:tcBorders>
          </w:tcPr>
          <w:p>
            <w:pPr>
              <w:ind w:left="220"/>
              <w:spacing w:after="0" w:line="202" w:lineRule="exact"/>
              <w:rPr>
                <w:sz w:val="20"/>
                <w:szCs w:val="20"/>
                <w:color w:val="auto"/>
              </w:rPr>
            </w:pPr>
            <w:r>
              <w:rPr>
                <w:rFonts w:ascii="Arial" w:cs="Arial" w:eastAsia="Arial" w:hAnsi="Arial"/>
                <w:sz w:val="18"/>
                <w:szCs w:val="18"/>
                <w:color w:val="auto"/>
              </w:rPr>
              <w:t>Accumulated impairment losses</w:t>
            </w:r>
          </w:p>
        </w:tc>
        <w:tc>
          <w:tcPr>
            <w:tcW w:w="1840" w:type="dxa"/>
            <w:vAlign w:val="bottom"/>
            <w:tcBorders>
              <w:bottom w:val="single" w:sz="8" w:color="auto"/>
              <w:right w:val="single" w:sz="8" w:color="auto"/>
            </w:tcBorders>
          </w:tcPr>
          <w:p>
            <w:pPr>
              <w:jc w:val="right"/>
              <w:ind w:right="416"/>
              <w:spacing w:after="0" w:line="202"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jc w:val="right"/>
              <w:ind w:right="392"/>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jc w:val="right"/>
              <w:ind w:right="416"/>
              <w:spacing w:after="0" w:line="202" w:lineRule="exact"/>
              <w:rPr>
                <w:sz w:val="20"/>
                <w:szCs w:val="20"/>
                <w:color w:val="auto"/>
              </w:rPr>
            </w:pPr>
            <w:r>
              <w:rPr>
                <w:rFonts w:ascii="Arial" w:cs="Arial" w:eastAsia="Arial" w:hAnsi="Arial"/>
                <w:sz w:val="18"/>
                <w:szCs w:val="18"/>
                <w:color w:val="auto"/>
              </w:rPr>
              <w:t>(451.3)</w:t>
            </w:r>
          </w:p>
        </w:tc>
        <w:tc>
          <w:tcPr>
            <w:tcW w:w="56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right"/>
              <w:ind w:right="334"/>
              <w:spacing w:after="0" w:line="202" w:lineRule="exact"/>
              <w:rPr>
                <w:sz w:val="20"/>
                <w:szCs w:val="20"/>
                <w:color w:val="auto"/>
              </w:rPr>
            </w:pPr>
            <w:r>
              <w:rPr>
                <w:rFonts w:ascii="Arial" w:cs="Arial" w:eastAsia="Arial" w:hAnsi="Arial"/>
                <w:sz w:val="18"/>
                <w:szCs w:val="18"/>
                <w:color w:val="auto"/>
              </w:rPr>
              <w:t>(90.1)</w:t>
            </w: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(541.4)</w:t>
            </w:r>
          </w:p>
        </w:tc>
        <w:tc>
          <w:tcPr>
            <w:tcW w:w="0" w:type="dxa"/>
            <w:vAlign w:val="bottom"/>
          </w:tcPr>
          <w:p>
            <w:pPr>
              <w:spacing w:after="0"/>
              <w:rPr>
                <w:sz w:val="1"/>
                <w:szCs w:val="1"/>
                <w:color w:val="auto"/>
              </w:rPr>
            </w:pPr>
          </w:p>
        </w:tc>
      </w:tr>
      <w:tr>
        <w:trPr>
          <w:trHeight w:val="196"/>
        </w:trPr>
        <w:tc>
          <w:tcPr>
            <w:tcW w:w="348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color w:val="auto"/>
              </w:rPr>
              <w:t>Total goodwill, net</w:t>
            </w:r>
          </w:p>
        </w:tc>
        <w:tc>
          <w:tcPr>
            <w:tcW w:w="1840" w:type="dxa"/>
            <w:vAlign w:val="bottom"/>
            <w:tcBorders>
              <w:right w:val="single" w:sz="8" w:color="auto"/>
            </w:tcBorders>
            <w:shd w:val="clear" w:color="auto" w:fill="CCEEFF"/>
          </w:tcPr>
          <w:p>
            <w:pPr>
              <w:jc w:val="right"/>
              <w:ind w:right="416"/>
              <w:spacing w:after="0" w:line="196" w:lineRule="exact"/>
              <w:rPr>
                <w:sz w:val="20"/>
                <w:szCs w:val="20"/>
                <w:color w:val="auto"/>
              </w:rPr>
            </w:pPr>
            <w:r>
              <w:rPr>
                <w:rFonts w:ascii="Arial" w:cs="Arial" w:eastAsia="Arial" w:hAnsi="Arial"/>
                <w:sz w:val="18"/>
                <w:szCs w:val="18"/>
                <w:color w:val="auto"/>
              </w:rPr>
              <w:t>491.7</w:t>
            </w:r>
          </w:p>
        </w:tc>
        <w:tc>
          <w:tcPr>
            <w:tcW w:w="64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392"/>
              <w:spacing w:after="0" w:line="196" w:lineRule="exact"/>
              <w:rPr>
                <w:sz w:val="20"/>
                <w:szCs w:val="20"/>
                <w:color w:val="auto"/>
              </w:rPr>
            </w:pPr>
            <w:r>
              <w:rPr>
                <w:rFonts w:ascii="Arial" w:cs="Arial" w:eastAsia="Arial" w:hAnsi="Arial"/>
                <w:sz w:val="18"/>
                <w:szCs w:val="18"/>
                <w:color w:val="auto"/>
              </w:rPr>
              <w:t>569.7</w:t>
            </w:r>
          </w:p>
        </w:tc>
        <w:tc>
          <w:tcPr>
            <w:tcW w:w="6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476"/>
              <w:spacing w:after="0" w:line="196" w:lineRule="exact"/>
              <w:rPr>
                <w:sz w:val="20"/>
                <w:szCs w:val="20"/>
                <w:color w:val="auto"/>
              </w:rPr>
            </w:pPr>
            <w:r>
              <w:rPr>
                <w:rFonts w:ascii="Arial" w:cs="Arial" w:eastAsia="Arial" w:hAnsi="Arial"/>
                <w:sz w:val="18"/>
                <w:szCs w:val="18"/>
                <w:color w:val="auto"/>
              </w:rPr>
              <w:t>228.0</w:t>
            </w:r>
          </w:p>
        </w:tc>
        <w:tc>
          <w:tcPr>
            <w:tcW w:w="560" w:type="dxa"/>
            <w:vAlign w:val="bottom"/>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jc w:val="right"/>
              <w:ind w:right="394"/>
              <w:spacing w:after="0" w:line="196" w:lineRule="exact"/>
              <w:rPr>
                <w:sz w:val="20"/>
                <w:szCs w:val="20"/>
                <w:color w:val="auto"/>
              </w:rPr>
            </w:pPr>
            <w:r>
              <w:rPr>
                <w:rFonts w:ascii="Arial" w:cs="Arial" w:eastAsia="Arial" w:hAnsi="Arial"/>
                <w:sz w:val="18"/>
                <w:szCs w:val="18"/>
                <w:color w:val="auto"/>
              </w:rPr>
              <w:t>75.5</w:t>
            </w:r>
          </w:p>
        </w:tc>
        <w:tc>
          <w:tcPr>
            <w:tcW w:w="1120" w:type="dxa"/>
            <w:vAlign w:val="bottom"/>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rPr>
              <w:t>$1,364.9</w:t>
            </w:r>
          </w:p>
        </w:tc>
        <w:tc>
          <w:tcPr>
            <w:tcW w:w="0" w:type="dxa"/>
            <w:vAlign w:val="bottom"/>
          </w:tcPr>
          <w:p>
            <w:pPr>
              <w:spacing w:after="0"/>
              <w:rPr>
                <w:sz w:val="1"/>
                <w:szCs w:val="1"/>
                <w:color w:val="auto"/>
              </w:rPr>
            </w:pPr>
          </w:p>
        </w:tc>
      </w:tr>
      <w:tr>
        <w:trPr>
          <w:trHeight w:val="203"/>
        </w:trPr>
        <w:tc>
          <w:tcPr>
            <w:tcW w:w="3480" w:type="dxa"/>
            <w:vAlign w:val="bottom"/>
          </w:tcPr>
          <w:p>
            <w:pPr>
              <w:spacing w:after="0" w:line="202" w:lineRule="exact"/>
              <w:rPr>
                <w:sz w:val="20"/>
                <w:szCs w:val="20"/>
                <w:color w:val="auto"/>
              </w:rPr>
            </w:pPr>
            <w:r>
              <w:rPr>
                <w:rFonts w:ascii="Arial" w:cs="Arial" w:eastAsia="Arial" w:hAnsi="Arial"/>
                <w:sz w:val="18"/>
                <w:szCs w:val="18"/>
                <w:color w:val="auto"/>
              </w:rPr>
              <w:t>2011 translation adjustments</w:t>
            </w:r>
          </w:p>
        </w:tc>
        <w:tc>
          <w:tcPr>
            <w:tcW w:w="1840" w:type="dxa"/>
            <w:vAlign w:val="bottom"/>
            <w:tcBorders>
              <w:right w:val="single" w:sz="8" w:color="auto"/>
            </w:tcBorders>
          </w:tcPr>
          <w:p>
            <w:pPr>
              <w:jc w:val="right"/>
              <w:ind w:right="356"/>
              <w:spacing w:after="0" w:line="202" w:lineRule="exact"/>
              <w:rPr>
                <w:sz w:val="20"/>
                <w:szCs w:val="20"/>
                <w:color w:val="auto"/>
              </w:rPr>
            </w:pPr>
            <w:r>
              <w:rPr>
                <w:rFonts w:ascii="Arial" w:cs="Arial" w:eastAsia="Arial" w:hAnsi="Arial"/>
                <w:sz w:val="18"/>
                <w:szCs w:val="18"/>
                <w:color w:val="auto"/>
              </w:rPr>
              <w:t>(0.5)</w:t>
            </w:r>
          </w:p>
        </w:tc>
        <w:tc>
          <w:tcPr>
            <w:tcW w:w="640" w:type="dxa"/>
            <w:vAlign w:val="bottom"/>
          </w:tcPr>
          <w:p>
            <w:pPr>
              <w:spacing w:after="0"/>
              <w:rPr>
                <w:sz w:val="17"/>
                <w:szCs w:val="17"/>
                <w:color w:val="auto"/>
              </w:rPr>
            </w:pPr>
          </w:p>
        </w:tc>
        <w:tc>
          <w:tcPr>
            <w:tcW w:w="1020" w:type="dxa"/>
            <w:vAlign w:val="bottom"/>
            <w:tcBorders>
              <w:right w:val="single" w:sz="8" w:color="auto"/>
            </w:tcBorders>
          </w:tcPr>
          <w:p>
            <w:pPr>
              <w:jc w:val="right"/>
              <w:ind w:right="392"/>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7"/>
                <w:szCs w:val="17"/>
                <w:color w:val="auto"/>
              </w:rPr>
            </w:pPr>
          </w:p>
        </w:tc>
        <w:tc>
          <w:tcPr>
            <w:tcW w:w="1120" w:type="dxa"/>
            <w:vAlign w:val="bottom"/>
            <w:tcBorders>
              <w:right w:val="single" w:sz="8" w:color="auto"/>
            </w:tcBorders>
          </w:tcPr>
          <w:p>
            <w:pPr>
              <w:jc w:val="right"/>
              <w:ind w:right="476"/>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980" w:type="dxa"/>
            <w:vAlign w:val="bottom"/>
            <w:tcBorders>
              <w:right w:val="single" w:sz="8" w:color="auto"/>
            </w:tcBorders>
          </w:tcPr>
          <w:p>
            <w:pPr>
              <w:jc w:val="right"/>
              <w:ind w:right="394"/>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3"/>
        </w:trPr>
        <w:tc>
          <w:tcPr>
            <w:tcW w:w="348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Acquisition-related adjustments</w:t>
            </w:r>
          </w:p>
        </w:tc>
        <w:tc>
          <w:tcPr>
            <w:tcW w:w="1840" w:type="dxa"/>
            <w:vAlign w:val="bottom"/>
            <w:tcBorders>
              <w:bottom w:val="single" w:sz="8" w:color="auto"/>
              <w:right w:val="single" w:sz="8" w:color="auto"/>
            </w:tcBorders>
            <w:shd w:val="clear" w:color="auto" w:fill="CCEEFF"/>
          </w:tcPr>
          <w:p>
            <w:pPr>
              <w:jc w:val="right"/>
              <w:ind w:right="416"/>
              <w:spacing w:after="0" w:line="202"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right w:val="single" w:sz="8" w:color="auto"/>
            </w:tcBorders>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right w:val="single" w:sz="8" w:color="auto"/>
            </w:tcBorders>
            <w:shd w:val="clear" w:color="auto" w:fill="CCEEFF"/>
          </w:tcPr>
          <w:p>
            <w:pPr>
              <w:jc w:val="right"/>
              <w:ind w:right="476"/>
              <w:spacing w:after="0" w:line="202" w:lineRule="exact"/>
              <w:rPr>
                <w:sz w:val="20"/>
                <w:szCs w:val="20"/>
                <w:color w:val="auto"/>
              </w:rPr>
            </w:pPr>
            <w:r>
              <w:rPr>
                <w:rFonts w:ascii="Arial" w:cs="Arial" w:eastAsia="Arial" w:hAnsi="Arial"/>
                <w:sz w:val="18"/>
                <w:szCs w:val="18"/>
                <w:color w:val="auto"/>
              </w:rPr>
              <w:t>2.2</w:t>
            </w:r>
          </w:p>
        </w:tc>
        <w:tc>
          <w:tcPr>
            <w:tcW w:w="5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right w:val="single" w:sz="8" w:color="auto"/>
            </w:tcBorders>
            <w:shd w:val="clear" w:color="auto" w:fill="CCEEFF"/>
          </w:tcPr>
          <w:p>
            <w:pPr>
              <w:jc w:val="right"/>
              <w:ind w:right="394"/>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3480" w:type="dxa"/>
            <w:vAlign w:val="bottom"/>
          </w:tcPr>
          <w:p>
            <w:pPr>
              <w:spacing w:after="0" w:line="196" w:lineRule="exact"/>
              <w:rPr>
                <w:sz w:val="20"/>
                <w:szCs w:val="20"/>
                <w:color w:val="auto"/>
              </w:rPr>
            </w:pPr>
            <w:r>
              <w:rPr>
                <w:rFonts w:ascii="Arial" w:cs="Arial" w:eastAsia="Arial" w:hAnsi="Arial"/>
                <w:sz w:val="18"/>
                <w:szCs w:val="18"/>
                <w:color w:val="auto"/>
              </w:rPr>
              <w:t>Balance at December 31, 2011:</w:t>
            </w:r>
          </w:p>
        </w:tc>
        <w:tc>
          <w:tcPr>
            <w:tcW w:w="184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Goodwill</w:t>
            </w:r>
          </w:p>
        </w:tc>
        <w:tc>
          <w:tcPr>
            <w:tcW w:w="1840" w:type="dxa"/>
            <w:vAlign w:val="bottom"/>
            <w:tcBorders>
              <w:right w:val="single" w:sz="8" w:color="auto"/>
            </w:tcBorders>
            <w:shd w:val="clear" w:color="auto" w:fill="CCEEFF"/>
          </w:tcPr>
          <w:p>
            <w:pPr>
              <w:jc w:val="right"/>
              <w:ind w:right="416"/>
              <w:spacing w:after="0" w:line="202" w:lineRule="exact"/>
              <w:rPr>
                <w:sz w:val="20"/>
                <w:szCs w:val="20"/>
                <w:color w:val="auto"/>
              </w:rPr>
            </w:pPr>
            <w:r>
              <w:rPr>
                <w:rFonts w:ascii="Arial" w:cs="Arial" w:eastAsia="Arial" w:hAnsi="Arial"/>
                <w:sz w:val="18"/>
                <w:szCs w:val="18"/>
                <w:color w:val="auto"/>
              </w:rPr>
              <w:t>491.2</w:t>
            </w:r>
          </w:p>
        </w:tc>
        <w:tc>
          <w:tcPr>
            <w:tcW w:w="64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569.7</w:t>
            </w:r>
          </w:p>
        </w:tc>
        <w:tc>
          <w:tcPr>
            <w:tcW w:w="6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476"/>
              <w:spacing w:after="0" w:line="202" w:lineRule="exact"/>
              <w:rPr>
                <w:sz w:val="20"/>
                <w:szCs w:val="20"/>
                <w:color w:val="auto"/>
              </w:rPr>
            </w:pPr>
            <w:r>
              <w:rPr>
                <w:rFonts w:ascii="Arial" w:cs="Arial" w:eastAsia="Arial" w:hAnsi="Arial"/>
                <w:sz w:val="18"/>
                <w:szCs w:val="18"/>
                <w:color w:val="auto"/>
              </w:rPr>
              <w:t>681.5</w:t>
            </w:r>
          </w:p>
        </w:tc>
        <w:tc>
          <w:tcPr>
            <w:tcW w:w="560" w:type="dxa"/>
            <w:vAlign w:val="bottom"/>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jc w:val="right"/>
              <w:ind w:right="394"/>
              <w:spacing w:after="0" w:line="202" w:lineRule="exact"/>
              <w:rPr>
                <w:sz w:val="20"/>
                <w:szCs w:val="20"/>
                <w:color w:val="auto"/>
              </w:rPr>
            </w:pPr>
            <w:r>
              <w:rPr>
                <w:rFonts w:ascii="Arial" w:cs="Arial" w:eastAsia="Arial" w:hAnsi="Arial"/>
                <w:sz w:val="18"/>
                <w:szCs w:val="18"/>
                <w:color w:val="auto"/>
              </w:rPr>
              <w:t>165.6</w:t>
            </w:r>
          </w:p>
        </w:tc>
        <w:tc>
          <w:tcPr>
            <w:tcW w:w="112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$1,908.0</w:t>
            </w:r>
          </w:p>
        </w:tc>
        <w:tc>
          <w:tcPr>
            <w:tcW w:w="0" w:type="dxa"/>
            <w:vAlign w:val="bottom"/>
          </w:tcPr>
          <w:p>
            <w:pPr>
              <w:spacing w:after="0"/>
              <w:rPr>
                <w:sz w:val="1"/>
                <w:szCs w:val="1"/>
                <w:color w:val="auto"/>
              </w:rPr>
            </w:pPr>
          </w:p>
        </w:tc>
      </w:tr>
      <w:tr>
        <w:trPr>
          <w:trHeight w:val="203"/>
        </w:trPr>
        <w:tc>
          <w:tcPr>
            <w:tcW w:w="3480" w:type="dxa"/>
            <w:vAlign w:val="bottom"/>
            <w:tcBorders>
              <w:bottom w:val="single" w:sz="8" w:color="auto"/>
            </w:tcBorders>
          </w:tcPr>
          <w:p>
            <w:pPr>
              <w:ind w:left="220"/>
              <w:spacing w:after="0" w:line="202" w:lineRule="exact"/>
              <w:rPr>
                <w:sz w:val="20"/>
                <w:szCs w:val="20"/>
                <w:color w:val="auto"/>
              </w:rPr>
            </w:pPr>
            <w:r>
              <w:rPr>
                <w:rFonts w:ascii="Arial" w:cs="Arial" w:eastAsia="Arial" w:hAnsi="Arial"/>
                <w:sz w:val="18"/>
                <w:szCs w:val="18"/>
                <w:color w:val="auto"/>
              </w:rPr>
              <w:t>Accumulated impairment losses</w:t>
            </w:r>
          </w:p>
        </w:tc>
        <w:tc>
          <w:tcPr>
            <w:tcW w:w="1840" w:type="dxa"/>
            <w:vAlign w:val="bottom"/>
            <w:tcBorders>
              <w:bottom w:val="single" w:sz="8" w:color="auto"/>
              <w:right w:val="single" w:sz="8" w:color="auto"/>
            </w:tcBorders>
          </w:tcPr>
          <w:p>
            <w:pPr>
              <w:jc w:val="right"/>
              <w:ind w:right="416"/>
              <w:spacing w:after="0" w:line="202"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jc w:val="right"/>
              <w:ind w:right="392"/>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jc w:val="right"/>
              <w:ind w:right="416"/>
              <w:spacing w:after="0" w:line="202" w:lineRule="exact"/>
              <w:rPr>
                <w:sz w:val="20"/>
                <w:szCs w:val="20"/>
                <w:color w:val="auto"/>
              </w:rPr>
            </w:pPr>
            <w:r>
              <w:rPr>
                <w:rFonts w:ascii="Arial" w:cs="Arial" w:eastAsia="Arial" w:hAnsi="Arial"/>
                <w:sz w:val="18"/>
                <w:szCs w:val="18"/>
                <w:color w:val="auto"/>
              </w:rPr>
              <w:t>(451.3)</w:t>
            </w:r>
          </w:p>
        </w:tc>
        <w:tc>
          <w:tcPr>
            <w:tcW w:w="56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right"/>
              <w:ind w:right="334"/>
              <w:spacing w:after="0" w:line="202" w:lineRule="exact"/>
              <w:rPr>
                <w:sz w:val="20"/>
                <w:szCs w:val="20"/>
                <w:color w:val="auto"/>
              </w:rPr>
            </w:pPr>
            <w:r>
              <w:rPr>
                <w:rFonts w:ascii="Arial" w:cs="Arial" w:eastAsia="Arial" w:hAnsi="Arial"/>
                <w:sz w:val="18"/>
                <w:szCs w:val="18"/>
                <w:color w:val="auto"/>
              </w:rPr>
              <w:t>(90.1)</w:t>
            </w: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(541.4)</w:t>
            </w:r>
          </w:p>
        </w:tc>
        <w:tc>
          <w:tcPr>
            <w:tcW w:w="0" w:type="dxa"/>
            <w:vAlign w:val="bottom"/>
          </w:tcPr>
          <w:p>
            <w:pPr>
              <w:spacing w:after="0"/>
              <w:rPr>
                <w:sz w:val="1"/>
                <w:szCs w:val="1"/>
                <w:color w:val="auto"/>
              </w:rPr>
            </w:pPr>
          </w:p>
        </w:tc>
      </w:tr>
      <w:tr>
        <w:trPr>
          <w:trHeight w:val="203"/>
        </w:trPr>
        <w:tc>
          <w:tcPr>
            <w:tcW w:w="3480" w:type="dxa"/>
            <w:vAlign w:val="bottom"/>
            <w:tcBorders>
              <w:bottom w:val="single" w:sz="8" w:color="auto"/>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Total goodwill, net</w:t>
            </w:r>
          </w:p>
        </w:tc>
        <w:tc>
          <w:tcPr>
            <w:tcW w:w="1840" w:type="dxa"/>
            <w:vAlign w:val="bottom"/>
            <w:tcBorders>
              <w:bottom w:val="single" w:sz="8" w:color="auto"/>
              <w:right w:val="single" w:sz="8" w:color="auto"/>
            </w:tcBorders>
            <w:shd w:val="clear" w:color="auto" w:fill="CCEEFF"/>
          </w:tcPr>
          <w:p>
            <w:pPr>
              <w:jc w:val="right"/>
              <w:ind w:right="416"/>
              <w:spacing w:after="0" w:line="196" w:lineRule="exact"/>
              <w:rPr>
                <w:sz w:val="20"/>
                <w:szCs w:val="20"/>
                <w:color w:val="auto"/>
              </w:rPr>
            </w:pPr>
            <w:r>
              <w:rPr>
                <w:rFonts w:ascii="Arial" w:cs="Arial" w:eastAsia="Arial" w:hAnsi="Arial"/>
                <w:sz w:val="18"/>
                <w:szCs w:val="18"/>
                <w:color w:val="auto"/>
              </w:rPr>
              <w:t>$ 491.2</w:t>
            </w:r>
          </w:p>
        </w:tc>
        <w:tc>
          <w:tcPr>
            <w:tcW w:w="640" w:type="dxa"/>
            <w:vAlign w:val="bottom"/>
            <w:tcBorders>
              <w:bottom w:val="single" w:sz="8" w:color="auto"/>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CCEEFF"/>
          </w:tcPr>
          <w:p>
            <w:pPr>
              <w:jc w:val="right"/>
              <w:ind w:right="392"/>
              <w:spacing w:after="0" w:line="196" w:lineRule="exact"/>
              <w:rPr>
                <w:sz w:val="20"/>
                <w:szCs w:val="20"/>
                <w:color w:val="auto"/>
              </w:rPr>
            </w:pPr>
            <w:r>
              <w:rPr>
                <w:rFonts w:ascii="Arial" w:cs="Arial" w:eastAsia="Arial" w:hAnsi="Arial"/>
                <w:sz w:val="18"/>
                <w:szCs w:val="18"/>
                <w:color w:val="auto"/>
              </w:rPr>
              <w:t>569.7</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shd w:val="clear" w:color="auto" w:fill="CCEEFF"/>
          </w:tcPr>
          <w:p>
            <w:pPr>
              <w:jc w:val="right"/>
              <w:ind w:right="476"/>
              <w:spacing w:after="0" w:line="196" w:lineRule="exact"/>
              <w:rPr>
                <w:sz w:val="20"/>
                <w:szCs w:val="20"/>
                <w:color w:val="auto"/>
              </w:rPr>
            </w:pPr>
            <w:r>
              <w:rPr>
                <w:rFonts w:ascii="Arial" w:cs="Arial" w:eastAsia="Arial" w:hAnsi="Arial"/>
                <w:sz w:val="18"/>
                <w:szCs w:val="18"/>
                <w:color w:val="auto"/>
              </w:rPr>
              <w:t>230.2</w:t>
            </w:r>
          </w:p>
        </w:tc>
        <w:tc>
          <w:tcPr>
            <w:tcW w:w="560" w:type="dxa"/>
            <w:vAlign w:val="bottom"/>
            <w:tcBorders>
              <w:bottom w:val="single" w:sz="8" w:color="auto"/>
            </w:tcBorders>
            <w:shd w:val="clear" w:color="auto" w:fill="CCEEFF"/>
          </w:tcPr>
          <w:p>
            <w:pPr>
              <w:ind w:left="44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right w:val="single" w:sz="8" w:color="auto"/>
            </w:tcBorders>
            <w:shd w:val="clear" w:color="auto" w:fill="CCEEFF"/>
          </w:tcPr>
          <w:p>
            <w:pPr>
              <w:jc w:val="right"/>
              <w:ind w:right="394"/>
              <w:spacing w:after="0" w:line="196" w:lineRule="exact"/>
              <w:rPr>
                <w:sz w:val="20"/>
                <w:szCs w:val="20"/>
                <w:color w:val="auto"/>
              </w:rPr>
            </w:pPr>
            <w:r>
              <w:rPr>
                <w:rFonts w:ascii="Arial" w:cs="Arial" w:eastAsia="Arial" w:hAnsi="Arial"/>
                <w:sz w:val="18"/>
                <w:szCs w:val="18"/>
                <w:color w:val="auto"/>
              </w:rPr>
              <w:t>75.5</w:t>
            </w:r>
          </w:p>
        </w:tc>
        <w:tc>
          <w:tcPr>
            <w:tcW w:w="1120" w:type="dxa"/>
            <w:vAlign w:val="bottom"/>
            <w:tcBorders>
              <w:bottom w:val="single" w:sz="8" w:color="auto"/>
            </w:tcBorders>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rPr>
              <w:t>$1,366.6</w:t>
            </w:r>
          </w:p>
        </w:tc>
        <w:tc>
          <w:tcPr>
            <w:tcW w:w="0" w:type="dxa"/>
            <w:vAlign w:val="bottom"/>
          </w:tcPr>
          <w:p>
            <w:pPr>
              <w:spacing w:after="0"/>
              <w:rPr>
                <w:sz w:val="1"/>
                <w:szCs w:val="1"/>
                <w:color w:val="auto"/>
              </w:rPr>
            </w:pPr>
          </w:p>
        </w:tc>
      </w:tr>
      <w:tr>
        <w:trPr>
          <w:trHeight w:val="363"/>
        </w:trPr>
        <w:tc>
          <w:tcPr>
            <w:tcW w:w="34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40" w:type="dxa"/>
            <w:vAlign w:val="bottom"/>
          </w:tcPr>
          <w:p>
            <w:pPr>
              <w:jc w:val="right"/>
              <w:ind w:right="60"/>
              <w:spacing w:after="0"/>
              <w:rPr>
                <w:sz w:val="20"/>
                <w:szCs w:val="20"/>
                <w:color w:val="auto"/>
              </w:rPr>
            </w:pPr>
            <w:r>
              <w:rPr>
                <w:rFonts w:ascii="Arial" w:cs="Arial" w:eastAsia="Arial" w:hAnsi="Arial"/>
                <w:sz w:val="18"/>
                <w:szCs w:val="18"/>
                <w:color w:val="auto"/>
              </w:rPr>
              <w:t>62</w:t>
            </w: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We also had indefinite-lived intangible assets, principally tradenames, of $574.8 million and $665.9 million as of December 31, 2011 and 2010, respectively. The decrease of $91.1 million was primarily due to tradename impairments in the Advanced Material Windows &amp; Door Systems segment (see discussion below).</w:t>
      </w:r>
    </w:p>
    <w:p>
      <w:pPr>
        <w:spacing w:after="0" w:line="154"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Amortizable identifiable intangible assets, principally tradenames and customer relationships, are subject to amortization over their estimated useful life, 5 to 30 years, based on the assessment of a number of factors that may impact useful life. These factors include historical and tradename performance with respect to consumer name recognition, geographic market presence, market share, plans for ongoing tradename support and promotion and other relevant factors. The gross carrying value and accumulated amortization of amortizable intangible assets were $326.2 million and $203.7 million, respectively, as of December 31, 2011, compared to $325.0 million and $192.1 million, respectively, as of December 31, 2010. The gross carrying value increase of $1.2 million was due to the acquisition of a regional windows business ($5.8 million), partially offset by the write-down of a regional cabinet tradename ($4.1 million) and changes in foreign currency translation adjustments ($0.5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value and accumulated amortization by class of intangible assets as of December 31, 2011 and 2010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color w:val="auto"/>
              </w:rPr>
              <w:t>As of December 31, 2011</w:t>
            </w:r>
          </w:p>
        </w:tc>
        <w:tc>
          <w:tcPr>
            <w:tcW w:w="10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color w:val="auto"/>
              </w:rPr>
              <w:t>As of December 31, 2010</w:t>
            </w: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360" w:type="dxa"/>
            <w:vAlign w:val="bottom"/>
            <w:tcBorders>
              <w:right w:val="single" w:sz="8" w:color="auto"/>
            </w:tcBorders>
          </w:tcPr>
          <w:p>
            <w:pPr>
              <w:spacing w:after="0"/>
              <w:rPr>
                <w:sz w:val="12"/>
                <w:szCs w:val="12"/>
                <w:color w:val="auto"/>
              </w:rPr>
            </w:pPr>
          </w:p>
        </w:tc>
        <w:tc>
          <w:tcPr>
            <w:tcW w:w="980" w:type="dxa"/>
            <w:vAlign w:val="bottom"/>
          </w:tcPr>
          <w:p>
            <w:pPr>
              <w:jc w:val="right"/>
              <w:ind w:right="79"/>
              <w:spacing w:after="0" w:line="141" w:lineRule="exact"/>
              <w:rPr>
                <w:sz w:val="20"/>
                <w:szCs w:val="20"/>
                <w:color w:val="auto"/>
              </w:rPr>
            </w:pPr>
            <w:r>
              <w:rPr>
                <w:rFonts w:ascii="Arial" w:cs="Arial" w:eastAsia="Arial" w:hAnsi="Arial"/>
                <w:sz w:val="14"/>
                <w:szCs w:val="14"/>
                <w:color w:val="auto"/>
              </w:rPr>
              <w:t>Gross</w:t>
            </w: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jc w:val="right"/>
              <w:ind w:right="79"/>
              <w:spacing w:after="0" w:line="141" w:lineRule="exact"/>
              <w:rPr>
                <w:sz w:val="20"/>
                <w:szCs w:val="20"/>
                <w:color w:val="auto"/>
              </w:rPr>
            </w:pPr>
            <w:r>
              <w:rPr>
                <w:rFonts w:ascii="Arial" w:cs="Arial" w:eastAsia="Arial" w:hAnsi="Arial"/>
                <w:sz w:val="14"/>
                <w:szCs w:val="14"/>
                <w:color w:val="auto"/>
              </w:rPr>
              <w:t>Gross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i w:val="1"/>
                <w:iCs w:val="1"/>
                <w:color w:val="auto"/>
              </w:rPr>
              <w:t>(In millions)</w:t>
            </w:r>
          </w:p>
        </w:tc>
        <w:tc>
          <w:tcPr>
            <w:tcW w:w="980" w:type="dxa"/>
            <w:vAlign w:val="bottom"/>
          </w:tcPr>
          <w:p>
            <w:pPr>
              <w:jc w:val="right"/>
              <w:ind w:right="79"/>
              <w:spacing w:after="0" w:line="149" w:lineRule="exact"/>
              <w:rPr>
                <w:sz w:val="20"/>
                <w:szCs w:val="20"/>
                <w:color w:val="auto"/>
              </w:rPr>
            </w:pPr>
            <w:r>
              <w:rPr>
                <w:rFonts w:ascii="Arial" w:cs="Arial" w:eastAsia="Arial" w:hAnsi="Arial"/>
                <w:sz w:val="14"/>
                <w:szCs w:val="14"/>
                <w:color w:val="auto"/>
              </w:rPr>
              <w:t>Carrying</w:t>
            </w:r>
          </w:p>
        </w:tc>
        <w:tc>
          <w:tcPr>
            <w:tcW w:w="18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Accumulated</w:t>
            </w:r>
          </w:p>
        </w:tc>
        <w:tc>
          <w:tcPr>
            <w:tcW w:w="1060" w:type="dxa"/>
            <w:vAlign w:val="bottom"/>
            <w:tcBorders>
              <w:right w:val="single" w:sz="8" w:color="auto"/>
            </w:tcBorders>
          </w:tcPr>
          <w:p>
            <w:pPr>
              <w:jc w:val="right"/>
              <w:ind w:right="257"/>
              <w:spacing w:after="0" w:line="149" w:lineRule="exact"/>
              <w:rPr>
                <w:sz w:val="20"/>
                <w:szCs w:val="20"/>
                <w:color w:val="auto"/>
              </w:rPr>
            </w:pPr>
            <w:r>
              <w:rPr>
                <w:rFonts w:ascii="Arial" w:cs="Arial" w:eastAsia="Arial" w:hAnsi="Arial"/>
                <w:sz w:val="14"/>
                <w:szCs w:val="14"/>
                <w:color w:val="auto"/>
              </w:rPr>
              <w:t>Net Book</w:t>
            </w:r>
          </w:p>
        </w:tc>
        <w:tc>
          <w:tcPr>
            <w:tcW w:w="460" w:type="dxa"/>
            <w:vAlign w:val="bottom"/>
          </w:tcPr>
          <w:p>
            <w:pPr>
              <w:spacing w:after="0"/>
              <w:rPr>
                <w:sz w:val="12"/>
                <w:szCs w:val="12"/>
                <w:color w:val="auto"/>
              </w:rPr>
            </w:pPr>
          </w:p>
        </w:tc>
        <w:tc>
          <w:tcPr>
            <w:tcW w:w="740" w:type="dxa"/>
            <w:vAlign w:val="bottom"/>
          </w:tcPr>
          <w:p>
            <w:pPr>
              <w:jc w:val="right"/>
              <w:ind w:right="79"/>
              <w:spacing w:after="0" w:line="149" w:lineRule="exact"/>
              <w:rPr>
                <w:sz w:val="20"/>
                <w:szCs w:val="20"/>
                <w:color w:val="auto"/>
              </w:rPr>
            </w:pPr>
            <w:r>
              <w:rPr>
                <w:rFonts w:ascii="Arial" w:cs="Arial" w:eastAsia="Arial" w:hAnsi="Arial"/>
                <w:sz w:val="14"/>
                <w:szCs w:val="14"/>
                <w:color w:val="auto"/>
              </w:rPr>
              <w:t>Carrying</w:t>
            </w:r>
          </w:p>
        </w:tc>
        <w:tc>
          <w:tcPr>
            <w:tcW w:w="18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Accumulated</w:t>
            </w:r>
          </w:p>
        </w:tc>
        <w:tc>
          <w:tcPr>
            <w:tcW w:w="1100" w:type="dxa"/>
            <w:vAlign w:val="bottom"/>
          </w:tcPr>
          <w:p>
            <w:pPr>
              <w:jc w:val="right"/>
              <w:ind w:right="237"/>
              <w:spacing w:after="0" w:line="149" w:lineRule="exact"/>
              <w:rPr>
                <w:sz w:val="20"/>
                <w:szCs w:val="20"/>
                <w:color w:val="auto"/>
              </w:rPr>
            </w:pPr>
            <w:r>
              <w:rPr>
                <w:rFonts w:ascii="Arial" w:cs="Arial" w:eastAsia="Arial" w:hAnsi="Arial"/>
                <w:sz w:val="14"/>
                <w:szCs w:val="14"/>
                <w:color w:val="auto"/>
              </w:rPr>
              <w:t>Net Book</w:t>
            </w:r>
          </w:p>
        </w:tc>
        <w:tc>
          <w:tcPr>
            <w:tcW w:w="0" w:type="dxa"/>
            <w:vAlign w:val="bottom"/>
          </w:tcPr>
          <w:p>
            <w:pPr>
              <w:spacing w:after="0"/>
              <w:rPr>
                <w:sz w:val="1"/>
                <w:szCs w:val="1"/>
                <w:color w:val="auto"/>
              </w:rPr>
            </w:pPr>
          </w:p>
        </w:tc>
      </w:tr>
      <w:tr>
        <w:trPr>
          <w:trHeight w:val="149"/>
        </w:trPr>
        <w:tc>
          <w:tcPr>
            <w:tcW w:w="3360" w:type="dxa"/>
            <w:vAlign w:val="bottom"/>
            <w:tcBorders>
              <w:bottom w:val="single" w:sz="8" w:color="auto"/>
              <w:right w:val="single" w:sz="8" w:color="auto"/>
            </w:tcBorders>
            <w:vMerge w:val="continue"/>
          </w:tcPr>
          <w:p>
            <w:pPr>
              <w:spacing w:after="0"/>
              <w:rPr>
                <w:sz w:val="12"/>
                <w:szCs w:val="12"/>
                <w:color w:val="auto"/>
              </w:rPr>
            </w:pPr>
          </w:p>
        </w:tc>
        <w:tc>
          <w:tcPr>
            <w:tcW w:w="980" w:type="dxa"/>
            <w:vAlign w:val="bottom"/>
            <w:tcBorders>
              <w:bottom w:val="single" w:sz="8" w:color="auto"/>
            </w:tcBorders>
          </w:tcPr>
          <w:p>
            <w:pPr>
              <w:jc w:val="right"/>
              <w:ind w:right="79"/>
              <w:spacing w:after="0" w:line="149" w:lineRule="exact"/>
              <w:rPr>
                <w:sz w:val="20"/>
                <w:szCs w:val="20"/>
                <w:color w:val="auto"/>
              </w:rPr>
            </w:pPr>
            <w:r>
              <w:rPr>
                <w:rFonts w:ascii="Arial" w:cs="Arial" w:eastAsia="Arial" w:hAnsi="Arial"/>
                <w:sz w:val="14"/>
                <w:szCs w:val="14"/>
                <w:color w:val="auto"/>
              </w:rPr>
              <w:t>Amounts</w:t>
            </w:r>
          </w:p>
        </w:tc>
        <w:tc>
          <w:tcPr>
            <w:tcW w:w="1840" w:type="dxa"/>
            <w:vAlign w:val="bottom"/>
            <w:tcBorders>
              <w:bottom w:val="single" w:sz="8" w:color="auto"/>
            </w:tcBorders>
            <w:gridSpan w:val="2"/>
          </w:tcPr>
          <w:p>
            <w:pPr>
              <w:jc w:val="right"/>
              <w:ind w:right="472"/>
              <w:spacing w:after="0" w:line="149" w:lineRule="exact"/>
              <w:rPr>
                <w:sz w:val="20"/>
                <w:szCs w:val="20"/>
                <w:color w:val="auto"/>
              </w:rPr>
            </w:pPr>
            <w:r>
              <w:rPr>
                <w:rFonts w:ascii="Arial" w:cs="Arial" w:eastAsia="Arial" w:hAnsi="Arial"/>
                <w:sz w:val="14"/>
                <w:szCs w:val="14"/>
                <w:color w:val="auto"/>
              </w:rPr>
              <w:t>Amortization</w:t>
            </w:r>
          </w:p>
        </w:tc>
        <w:tc>
          <w:tcPr>
            <w:tcW w:w="1060" w:type="dxa"/>
            <w:vAlign w:val="bottom"/>
            <w:tcBorders>
              <w:bottom w:val="single" w:sz="8" w:color="auto"/>
              <w:right w:val="single" w:sz="8" w:color="auto"/>
            </w:tcBorders>
          </w:tcPr>
          <w:p>
            <w:pPr>
              <w:jc w:val="right"/>
              <w:ind w:right="257"/>
              <w:spacing w:after="0" w:line="149" w:lineRule="exact"/>
              <w:rPr>
                <w:sz w:val="20"/>
                <w:szCs w:val="20"/>
                <w:color w:val="auto"/>
              </w:rPr>
            </w:pPr>
            <w:r>
              <w:rPr>
                <w:rFonts w:ascii="Arial" w:cs="Arial" w:eastAsia="Arial" w:hAnsi="Arial"/>
                <w:sz w:val="14"/>
                <w:szCs w:val="14"/>
                <w:color w:val="auto"/>
              </w:rPr>
              <w:t>Value</w:t>
            </w:r>
          </w:p>
        </w:tc>
        <w:tc>
          <w:tcPr>
            <w:tcW w:w="4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79"/>
              <w:spacing w:after="0" w:line="149" w:lineRule="exact"/>
              <w:rPr>
                <w:sz w:val="20"/>
                <w:szCs w:val="20"/>
                <w:color w:val="auto"/>
              </w:rPr>
            </w:pPr>
            <w:r>
              <w:rPr>
                <w:rFonts w:ascii="Arial" w:cs="Arial" w:eastAsia="Arial" w:hAnsi="Arial"/>
                <w:sz w:val="14"/>
                <w:szCs w:val="14"/>
                <w:color w:val="auto"/>
              </w:rPr>
              <w:t>Amounts</w:t>
            </w:r>
          </w:p>
        </w:tc>
        <w:tc>
          <w:tcPr>
            <w:tcW w:w="1880" w:type="dxa"/>
            <w:vAlign w:val="bottom"/>
            <w:tcBorders>
              <w:bottom w:val="single" w:sz="8" w:color="auto"/>
            </w:tcBorders>
            <w:gridSpan w:val="2"/>
          </w:tcPr>
          <w:p>
            <w:pPr>
              <w:jc w:val="right"/>
              <w:ind w:right="412"/>
              <w:spacing w:after="0" w:line="149" w:lineRule="exact"/>
              <w:rPr>
                <w:sz w:val="20"/>
                <w:szCs w:val="20"/>
                <w:color w:val="auto"/>
              </w:rPr>
            </w:pPr>
            <w:r>
              <w:rPr>
                <w:rFonts w:ascii="Arial" w:cs="Arial" w:eastAsia="Arial" w:hAnsi="Arial"/>
                <w:sz w:val="14"/>
                <w:szCs w:val="14"/>
                <w:color w:val="auto"/>
              </w:rPr>
              <w:t>Amortization</w:t>
            </w:r>
          </w:p>
        </w:tc>
        <w:tc>
          <w:tcPr>
            <w:tcW w:w="1100" w:type="dxa"/>
            <w:vAlign w:val="bottom"/>
            <w:tcBorders>
              <w:bottom w:val="single" w:sz="8" w:color="auto"/>
            </w:tcBorders>
          </w:tcPr>
          <w:p>
            <w:pPr>
              <w:jc w:val="right"/>
              <w:ind w:right="237"/>
              <w:spacing w:after="0" w:line="149" w:lineRule="exact"/>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99"/>
        </w:trPr>
        <w:tc>
          <w:tcPr>
            <w:tcW w:w="3360" w:type="dxa"/>
            <w:vAlign w:val="bottom"/>
            <w:tcBorders>
              <w:right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rPr>
              <w:t>Indefinite-lived intangible assets —</w:t>
            </w: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60" w:type="dxa"/>
            <w:vAlign w:val="bottom"/>
            <w:tcBorders>
              <w:right w:val="single" w:sz="8" w:color="auto"/>
            </w:tcBorders>
            <w:shd w:val="clear" w:color="auto" w:fill="CCEEFF"/>
          </w:tcPr>
          <w:p>
            <w:pPr>
              <w:ind w:left="220"/>
              <w:spacing w:after="0" w:line="200" w:lineRule="exact"/>
              <w:rPr>
                <w:sz w:val="20"/>
                <w:szCs w:val="20"/>
                <w:color w:val="auto"/>
              </w:rPr>
            </w:pPr>
            <w:r>
              <w:rPr>
                <w:rFonts w:ascii="Arial" w:cs="Arial" w:eastAsia="Arial" w:hAnsi="Arial"/>
                <w:sz w:val="18"/>
                <w:szCs w:val="18"/>
                <w:color w:val="auto"/>
              </w:rPr>
              <w:t>tradenames</w:t>
            </w:r>
          </w:p>
        </w:tc>
        <w:tc>
          <w:tcPr>
            <w:tcW w:w="980" w:type="dxa"/>
            <w:vAlign w:val="bottom"/>
            <w:shd w:val="clear" w:color="auto" w:fill="CCEEFF"/>
          </w:tcPr>
          <w:p>
            <w:pPr>
              <w:jc w:val="right"/>
              <w:ind w:right="79"/>
              <w:spacing w:after="0" w:line="200" w:lineRule="exact"/>
              <w:rPr>
                <w:sz w:val="20"/>
                <w:szCs w:val="20"/>
                <w:color w:val="auto"/>
              </w:rPr>
            </w:pPr>
            <w:r>
              <w:rPr>
                <w:rFonts w:ascii="Arial" w:cs="Arial" w:eastAsia="Arial" w:hAnsi="Arial"/>
                <w:sz w:val="18"/>
                <w:szCs w:val="18"/>
                <w:color w:val="auto"/>
              </w:rPr>
              <w:t>$616.8</w:t>
            </w:r>
          </w:p>
        </w:tc>
        <w:tc>
          <w:tcPr>
            <w:tcW w:w="700" w:type="dxa"/>
            <w:vAlign w:val="bottom"/>
            <w:shd w:val="clear" w:color="auto" w:fill="CCEEFF"/>
          </w:tcPr>
          <w:p>
            <w:pPr>
              <w:ind w:left="500"/>
              <w:spacing w:after="0" w:line="200"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72"/>
              <w:spacing w:after="0" w:line="200" w:lineRule="exact"/>
              <w:rPr>
                <w:sz w:val="20"/>
                <w:szCs w:val="20"/>
                <w:color w:val="auto"/>
              </w:rPr>
            </w:pPr>
            <w:r>
              <w:rPr>
                <w:rFonts w:ascii="Arial" w:cs="Arial" w:eastAsia="Arial" w:hAnsi="Arial"/>
                <w:sz w:val="18"/>
                <w:szCs w:val="18"/>
                <w:color w:val="auto"/>
              </w:rPr>
              <w:t>(42.0)</w:t>
            </w:r>
            <w:r>
              <w:rPr>
                <w:rFonts w:ascii="Arial" w:cs="Arial" w:eastAsia="Arial" w:hAnsi="Arial"/>
                <w:sz w:val="11"/>
                <w:szCs w:val="11"/>
                <w:color w:val="auto"/>
              </w:rPr>
              <w:t>(a)</w:t>
            </w:r>
          </w:p>
        </w:tc>
        <w:tc>
          <w:tcPr>
            <w:tcW w:w="1060" w:type="dxa"/>
            <w:vAlign w:val="bottom"/>
            <w:tcBorders>
              <w:right w:val="single" w:sz="8" w:color="auto"/>
            </w:tcBorders>
            <w:shd w:val="clear" w:color="auto" w:fill="CCEEFF"/>
          </w:tcPr>
          <w:p>
            <w:pPr>
              <w:jc w:val="right"/>
              <w:ind w:right="257"/>
              <w:spacing w:after="0" w:line="200" w:lineRule="exact"/>
              <w:rPr>
                <w:sz w:val="20"/>
                <w:szCs w:val="20"/>
                <w:color w:val="auto"/>
              </w:rPr>
            </w:pPr>
            <w:r>
              <w:rPr>
                <w:rFonts w:ascii="Arial" w:cs="Arial" w:eastAsia="Arial" w:hAnsi="Arial"/>
                <w:sz w:val="18"/>
                <w:szCs w:val="18"/>
                <w:color w:val="auto"/>
              </w:rPr>
              <w:t>$ 574.8</w:t>
            </w:r>
          </w:p>
        </w:tc>
        <w:tc>
          <w:tcPr>
            <w:tcW w:w="4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9"/>
              <w:spacing w:after="0" w:line="200" w:lineRule="exact"/>
              <w:rPr>
                <w:sz w:val="20"/>
                <w:szCs w:val="20"/>
                <w:color w:val="auto"/>
              </w:rPr>
            </w:pPr>
            <w:r>
              <w:rPr>
                <w:rFonts w:ascii="Arial" w:cs="Arial" w:eastAsia="Arial" w:hAnsi="Arial"/>
                <w:sz w:val="18"/>
                <w:szCs w:val="18"/>
                <w:color w:val="auto"/>
              </w:rPr>
              <w:t>707.9</w:t>
            </w:r>
          </w:p>
        </w:tc>
        <w:tc>
          <w:tcPr>
            <w:tcW w:w="780" w:type="dxa"/>
            <w:vAlign w:val="bottom"/>
            <w:shd w:val="clear" w:color="auto" w:fill="CCEEFF"/>
          </w:tcPr>
          <w:p>
            <w:pPr>
              <w:ind w:left="580"/>
              <w:spacing w:after="0" w:line="200"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32"/>
              <w:spacing w:after="0" w:line="200" w:lineRule="exact"/>
              <w:rPr>
                <w:sz w:val="20"/>
                <w:szCs w:val="20"/>
                <w:color w:val="auto"/>
              </w:rPr>
            </w:pPr>
            <w:r>
              <w:rPr>
                <w:rFonts w:ascii="Arial" w:cs="Arial" w:eastAsia="Arial" w:hAnsi="Arial"/>
                <w:sz w:val="18"/>
                <w:szCs w:val="18"/>
                <w:color w:val="auto"/>
              </w:rPr>
              <w:t>(42.0)</w:t>
            </w:r>
            <w:r>
              <w:rPr>
                <w:rFonts w:ascii="Arial" w:cs="Arial" w:eastAsia="Arial" w:hAnsi="Arial"/>
                <w:sz w:val="11"/>
                <w:szCs w:val="11"/>
                <w:color w:val="auto"/>
              </w:rPr>
              <w:t>(a)</w:t>
            </w:r>
          </w:p>
        </w:tc>
        <w:tc>
          <w:tcPr>
            <w:tcW w:w="1100" w:type="dxa"/>
            <w:vAlign w:val="bottom"/>
            <w:shd w:val="clear" w:color="auto" w:fill="CCEEFF"/>
          </w:tcPr>
          <w:p>
            <w:pPr>
              <w:jc w:val="right"/>
              <w:ind w:right="237"/>
              <w:spacing w:after="0" w:line="200" w:lineRule="exact"/>
              <w:rPr>
                <w:sz w:val="20"/>
                <w:szCs w:val="20"/>
                <w:color w:val="auto"/>
              </w:rPr>
            </w:pPr>
            <w:r>
              <w:rPr>
                <w:rFonts w:ascii="Arial" w:cs="Arial" w:eastAsia="Arial" w:hAnsi="Arial"/>
                <w:sz w:val="18"/>
                <w:szCs w:val="18"/>
                <w:color w:val="auto"/>
              </w:rPr>
              <w:t>$ 665.9</w:t>
            </w:r>
          </w:p>
        </w:tc>
        <w:tc>
          <w:tcPr>
            <w:tcW w:w="0" w:type="dxa"/>
            <w:vAlign w:val="bottom"/>
          </w:tcPr>
          <w:p>
            <w:pPr>
              <w:spacing w:after="0"/>
              <w:rPr>
                <w:sz w:val="1"/>
                <w:szCs w:val="1"/>
                <w:color w:val="auto"/>
              </w:rPr>
            </w:pPr>
          </w:p>
        </w:tc>
      </w:tr>
      <w:tr>
        <w:trPr>
          <w:trHeight w:val="203"/>
        </w:trPr>
        <w:tc>
          <w:tcPr>
            <w:tcW w:w="33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Amortizable intangible assets</w:t>
            </w: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Borders>
              <w:right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Tradenames</w:t>
            </w:r>
          </w:p>
        </w:tc>
        <w:tc>
          <w:tcPr>
            <w:tcW w:w="980" w:type="dxa"/>
            <w:vAlign w:val="bottom"/>
            <w:shd w:val="clear" w:color="auto" w:fill="CCEEFF"/>
          </w:tcPr>
          <w:p>
            <w:pPr>
              <w:jc w:val="right"/>
              <w:ind w:right="79"/>
              <w:spacing w:after="0" w:line="202" w:lineRule="exact"/>
              <w:rPr>
                <w:sz w:val="20"/>
                <w:szCs w:val="20"/>
                <w:color w:val="auto"/>
              </w:rPr>
            </w:pPr>
            <w:r>
              <w:rPr>
                <w:rFonts w:ascii="Arial" w:cs="Arial" w:eastAsia="Arial" w:hAnsi="Arial"/>
                <w:sz w:val="18"/>
                <w:szCs w:val="18"/>
                <w:color w:val="auto"/>
              </w:rPr>
              <w:t>15.5</w:t>
            </w:r>
          </w:p>
        </w:tc>
        <w:tc>
          <w:tcPr>
            <w:tcW w:w="7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(5.4)</w:t>
            </w:r>
          </w:p>
        </w:tc>
        <w:tc>
          <w:tcPr>
            <w:tcW w:w="1060" w:type="dxa"/>
            <w:vAlign w:val="bottom"/>
            <w:tcBorders>
              <w:right w:val="single" w:sz="8" w:color="auto"/>
            </w:tcBorders>
            <w:shd w:val="clear" w:color="auto" w:fill="CCEEFF"/>
          </w:tcPr>
          <w:p>
            <w:pPr>
              <w:jc w:val="right"/>
              <w:ind w:right="257"/>
              <w:spacing w:after="0" w:line="202" w:lineRule="exact"/>
              <w:rPr>
                <w:sz w:val="20"/>
                <w:szCs w:val="20"/>
                <w:color w:val="auto"/>
              </w:rPr>
            </w:pPr>
            <w:r>
              <w:rPr>
                <w:rFonts w:ascii="Arial" w:cs="Arial" w:eastAsia="Arial" w:hAnsi="Arial"/>
                <w:sz w:val="18"/>
                <w:szCs w:val="18"/>
                <w:color w:val="auto"/>
              </w:rPr>
              <w:t>10.1</w:t>
            </w: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9"/>
              <w:spacing w:after="0" w:line="202" w:lineRule="exact"/>
              <w:rPr>
                <w:sz w:val="20"/>
                <w:szCs w:val="20"/>
                <w:color w:val="auto"/>
              </w:rPr>
            </w:pPr>
            <w:r>
              <w:rPr>
                <w:rFonts w:ascii="Arial" w:cs="Arial" w:eastAsia="Arial" w:hAnsi="Arial"/>
                <w:sz w:val="18"/>
                <w:szCs w:val="18"/>
                <w:color w:val="auto"/>
              </w:rPr>
              <w:t>17.3</w:t>
            </w:r>
          </w:p>
        </w:tc>
        <w:tc>
          <w:tcPr>
            <w:tcW w:w="7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(7.0)</w:t>
            </w:r>
          </w:p>
        </w:tc>
        <w:tc>
          <w:tcPr>
            <w:tcW w:w="1100" w:type="dxa"/>
            <w:vAlign w:val="bottom"/>
            <w:shd w:val="clear" w:color="auto" w:fill="CCEEFF"/>
          </w:tcPr>
          <w:p>
            <w:pPr>
              <w:jc w:val="right"/>
              <w:ind w:right="237"/>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3"/>
        </w:trPr>
        <w:tc>
          <w:tcPr>
            <w:tcW w:w="336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w w:val="99"/>
              </w:rPr>
              <w:t>Customer and contractual relationships</w:t>
            </w:r>
          </w:p>
        </w:tc>
        <w:tc>
          <w:tcPr>
            <w:tcW w:w="980" w:type="dxa"/>
            <w:vAlign w:val="bottom"/>
          </w:tcPr>
          <w:p>
            <w:pPr>
              <w:jc w:val="right"/>
              <w:ind w:right="79"/>
              <w:spacing w:after="0" w:line="202" w:lineRule="exact"/>
              <w:rPr>
                <w:sz w:val="20"/>
                <w:szCs w:val="20"/>
                <w:color w:val="auto"/>
              </w:rPr>
            </w:pPr>
            <w:r>
              <w:rPr>
                <w:rFonts w:ascii="Arial" w:cs="Arial" w:eastAsia="Arial" w:hAnsi="Arial"/>
                <w:sz w:val="18"/>
                <w:szCs w:val="18"/>
                <w:color w:val="auto"/>
              </w:rPr>
              <w:t>270.2</w:t>
            </w:r>
          </w:p>
        </w:tc>
        <w:tc>
          <w:tcPr>
            <w:tcW w:w="700" w:type="dxa"/>
            <w:vAlign w:val="bottom"/>
          </w:tcPr>
          <w:p>
            <w:pPr>
              <w:spacing w:after="0"/>
              <w:rPr>
                <w:sz w:val="17"/>
                <w:szCs w:val="17"/>
                <w:color w:val="auto"/>
              </w:rPr>
            </w:pPr>
          </w:p>
        </w:tc>
        <w:tc>
          <w:tcPr>
            <w:tcW w:w="1140" w:type="dxa"/>
            <w:vAlign w:val="bottom"/>
          </w:tcPr>
          <w:p>
            <w:pPr>
              <w:jc w:val="right"/>
              <w:ind w:right="412"/>
              <w:spacing w:after="0" w:line="202" w:lineRule="exact"/>
              <w:rPr>
                <w:sz w:val="20"/>
                <w:szCs w:val="20"/>
                <w:color w:val="auto"/>
              </w:rPr>
            </w:pPr>
            <w:r>
              <w:rPr>
                <w:rFonts w:ascii="Arial" w:cs="Arial" w:eastAsia="Arial" w:hAnsi="Arial"/>
                <w:sz w:val="18"/>
                <w:szCs w:val="18"/>
                <w:color w:val="auto"/>
              </w:rPr>
              <w:t>(163.7)</w:t>
            </w:r>
          </w:p>
        </w:tc>
        <w:tc>
          <w:tcPr>
            <w:tcW w:w="1060" w:type="dxa"/>
            <w:vAlign w:val="bottom"/>
            <w:tcBorders>
              <w:right w:val="single" w:sz="8" w:color="auto"/>
            </w:tcBorders>
          </w:tcPr>
          <w:p>
            <w:pPr>
              <w:jc w:val="right"/>
              <w:ind w:right="257"/>
              <w:spacing w:after="0" w:line="202" w:lineRule="exact"/>
              <w:rPr>
                <w:sz w:val="20"/>
                <w:szCs w:val="20"/>
                <w:color w:val="auto"/>
              </w:rPr>
            </w:pPr>
            <w:r>
              <w:rPr>
                <w:rFonts w:ascii="Arial" w:cs="Arial" w:eastAsia="Arial" w:hAnsi="Arial"/>
                <w:sz w:val="18"/>
                <w:szCs w:val="18"/>
                <w:color w:val="auto"/>
              </w:rPr>
              <w:t>106.5</w:t>
            </w:r>
          </w:p>
        </w:tc>
        <w:tc>
          <w:tcPr>
            <w:tcW w:w="460" w:type="dxa"/>
            <w:vAlign w:val="bottom"/>
          </w:tcPr>
          <w:p>
            <w:pPr>
              <w:spacing w:after="0"/>
              <w:rPr>
                <w:sz w:val="17"/>
                <w:szCs w:val="17"/>
                <w:color w:val="auto"/>
              </w:rPr>
            </w:pPr>
          </w:p>
        </w:tc>
        <w:tc>
          <w:tcPr>
            <w:tcW w:w="740" w:type="dxa"/>
            <w:vAlign w:val="bottom"/>
          </w:tcPr>
          <w:p>
            <w:pPr>
              <w:jc w:val="right"/>
              <w:ind w:right="79"/>
              <w:spacing w:after="0" w:line="202" w:lineRule="exact"/>
              <w:rPr>
                <w:sz w:val="20"/>
                <w:szCs w:val="20"/>
                <w:color w:val="auto"/>
              </w:rPr>
            </w:pPr>
            <w:r>
              <w:rPr>
                <w:rFonts w:ascii="Arial" w:cs="Arial" w:eastAsia="Arial" w:hAnsi="Arial"/>
                <w:sz w:val="18"/>
                <w:szCs w:val="18"/>
                <w:color w:val="auto"/>
              </w:rPr>
              <w:t>267.2</w:t>
            </w:r>
          </w:p>
        </w:tc>
        <w:tc>
          <w:tcPr>
            <w:tcW w:w="780" w:type="dxa"/>
            <w:vAlign w:val="bottom"/>
          </w:tcPr>
          <w:p>
            <w:pPr>
              <w:spacing w:after="0"/>
              <w:rPr>
                <w:sz w:val="17"/>
                <w:szCs w:val="17"/>
                <w:color w:val="auto"/>
              </w:rPr>
            </w:pPr>
          </w:p>
        </w:tc>
        <w:tc>
          <w:tcPr>
            <w:tcW w:w="110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(152.0)</w:t>
            </w:r>
          </w:p>
        </w:tc>
        <w:tc>
          <w:tcPr>
            <w:tcW w:w="1100" w:type="dxa"/>
            <w:vAlign w:val="bottom"/>
          </w:tcPr>
          <w:p>
            <w:pPr>
              <w:jc w:val="right"/>
              <w:ind w:right="237"/>
              <w:spacing w:after="0" w:line="202" w:lineRule="exact"/>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03"/>
        </w:trPr>
        <w:tc>
          <w:tcPr>
            <w:tcW w:w="3360" w:type="dxa"/>
            <w:vAlign w:val="bottom"/>
            <w:tcBorders>
              <w:bottom w:val="single" w:sz="8" w:color="auto"/>
              <w:right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Patents/proprietary technology</w:t>
            </w:r>
          </w:p>
        </w:tc>
        <w:tc>
          <w:tcPr>
            <w:tcW w:w="980" w:type="dxa"/>
            <w:vAlign w:val="bottom"/>
            <w:tcBorders>
              <w:bottom w:val="single" w:sz="8" w:color="auto"/>
            </w:tcBorders>
            <w:shd w:val="clear" w:color="auto" w:fill="CCEEFF"/>
          </w:tcPr>
          <w:p>
            <w:pPr>
              <w:jc w:val="right"/>
              <w:ind w:right="79"/>
              <w:spacing w:after="0" w:line="202" w:lineRule="exact"/>
              <w:rPr>
                <w:sz w:val="20"/>
                <w:szCs w:val="20"/>
                <w:color w:val="auto"/>
              </w:rPr>
            </w:pPr>
            <w:r>
              <w:rPr>
                <w:rFonts w:ascii="Arial" w:cs="Arial" w:eastAsia="Arial" w:hAnsi="Arial"/>
                <w:sz w:val="18"/>
                <w:szCs w:val="18"/>
                <w:color w:val="auto"/>
              </w:rPr>
              <w:t>40.5</w:t>
            </w:r>
          </w:p>
        </w:tc>
        <w:tc>
          <w:tcPr>
            <w:tcW w:w="7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(34.6)</w:t>
            </w:r>
          </w:p>
        </w:tc>
        <w:tc>
          <w:tcPr>
            <w:tcW w:w="1060" w:type="dxa"/>
            <w:vAlign w:val="bottom"/>
            <w:tcBorders>
              <w:bottom w:val="single" w:sz="8" w:color="auto"/>
              <w:right w:val="single" w:sz="8" w:color="auto"/>
            </w:tcBorders>
            <w:shd w:val="clear" w:color="auto" w:fill="CCEEFF"/>
          </w:tcPr>
          <w:p>
            <w:pPr>
              <w:jc w:val="right"/>
              <w:ind w:right="257"/>
              <w:spacing w:after="0" w:line="202" w:lineRule="exact"/>
              <w:rPr>
                <w:sz w:val="20"/>
                <w:szCs w:val="20"/>
                <w:color w:val="auto"/>
              </w:rPr>
            </w:pPr>
            <w:r>
              <w:rPr>
                <w:rFonts w:ascii="Arial" w:cs="Arial" w:eastAsia="Arial" w:hAnsi="Arial"/>
                <w:sz w:val="18"/>
                <w:szCs w:val="18"/>
                <w:color w:val="auto"/>
              </w:rPr>
              <w:t>5.9</w:t>
            </w:r>
          </w:p>
        </w:tc>
        <w:tc>
          <w:tcPr>
            <w:tcW w:w="4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79"/>
              <w:spacing w:after="0" w:line="202" w:lineRule="exact"/>
              <w:rPr>
                <w:sz w:val="20"/>
                <w:szCs w:val="20"/>
                <w:color w:val="auto"/>
              </w:rPr>
            </w:pPr>
            <w:r>
              <w:rPr>
                <w:rFonts w:ascii="Arial" w:cs="Arial" w:eastAsia="Arial" w:hAnsi="Arial"/>
                <w:sz w:val="18"/>
                <w:szCs w:val="18"/>
                <w:color w:val="auto"/>
              </w:rPr>
              <w:t>40.5</w:t>
            </w:r>
          </w:p>
        </w:tc>
        <w:tc>
          <w:tcPr>
            <w:tcW w:w="7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(33.1)</w:t>
            </w:r>
          </w:p>
        </w:tc>
        <w:tc>
          <w:tcPr>
            <w:tcW w:w="1100" w:type="dxa"/>
            <w:vAlign w:val="bottom"/>
            <w:tcBorders>
              <w:bottom w:val="single" w:sz="8" w:color="auto"/>
            </w:tcBorders>
            <w:shd w:val="clear" w:color="auto" w:fill="CCEEFF"/>
          </w:tcPr>
          <w:p>
            <w:pPr>
              <w:jc w:val="right"/>
              <w:ind w:right="237"/>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3360" w:type="dxa"/>
            <w:vAlign w:val="bottom"/>
            <w:tcBorders>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right"/>
              <w:ind w:right="79"/>
              <w:spacing w:after="0" w:line="196" w:lineRule="exact"/>
              <w:rPr>
                <w:sz w:val="20"/>
                <w:szCs w:val="20"/>
                <w:color w:val="auto"/>
              </w:rPr>
            </w:pPr>
            <w:r>
              <w:rPr>
                <w:rFonts w:ascii="Arial" w:cs="Arial" w:eastAsia="Arial" w:hAnsi="Arial"/>
                <w:sz w:val="18"/>
                <w:szCs w:val="18"/>
                <w:color w:val="auto"/>
              </w:rPr>
              <w:t>326.2</w:t>
            </w:r>
          </w:p>
        </w:tc>
        <w:tc>
          <w:tcPr>
            <w:tcW w:w="7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2"/>
              <w:spacing w:after="0" w:line="196" w:lineRule="exact"/>
              <w:rPr>
                <w:sz w:val="20"/>
                <w:szCs w:val="20"/>
                <w:color w:val="auto"/>
              </w:rPr>
            </w:pPr>
            <w:r>
              <w:rPr>
                <w:rFonts w:ascii="Arial" w:cs="Arial" w:eastAsia="Arial" w:hAnsi="Arial"/>
                <w:sz w:val="18"/>
                <w:szCs w:val="18"/>
                <w:color w:val="auto"/>
              </w:rPr>
              <w:t>(203.7)</w:t>
            </w:r>
          </w:p>
        </w:tc>
        <w:tc>
          <w:tcPr>
            <w:tcW w:w="1060" w:type="dxa"/>
            <w:vAlign w:val="bottom"/>
            <w:tcBorders>
              <w:bottom w:val="single" w:sz="8" w:color="auto"/>
              <w:right w:val="single" w:sz="8" w:color="auto"/>
            </w:tcBorders>
          </w:tcPr>
          <w:p>
            <w:pPr>
              <w:jc w:val="right"/>
              <w:ind w:right="257"/>
              <w:spacing w:after="0" w:line="196" w:lineRule="exact"/>
              <w:rPr>
                <w:sz w:val="20"/>
                <w:szCs w:val="20"/>
                <w:color w:val="auto"/>
              </w:rPr>
            </w:pPr>
            <w:r>
              <w:rPr>
                <w:rFonts w:ascii="Arial" w:cs="Arial" w:eastAsia="Arial" w:hAnsi="Arial"/>
                <w:sz w:val="18"/>
                <w:szCs w:val="18"/>
                <w:color w:val="auto"/>
              </w:rPr>
              <w:t>122.5</w:t>
            </w: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79"/>
              <w:spacing w:after="0" w:line="196" w:lineRule="exact"/>
              <w:rPr>
                <w:sz w:val="20"/>
                <w:szCs w:val="20"/>
                <w:color w:val="auto"/>
              </w:rPr>
            </w:pPr>
            <w:r>
              <w:rPr>
                <w:rFonts w:ascii="Arial" w:cs="Arial" w:eastAsia="Arial" w:hAnsi="Arial"/>
                <w:sz w:val="18"/>
                <w:szCs w:val="18"/>
                <w:color w:val="auto"/>
              </w:rPr>
              <w:t>325.0</w:t>
            </w:r>
          </w:p>
        </w:tc>
        <w:tc>
          <w:tcPr>
            <w:tcW w:w="7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2"/>
              <w:spacing w:after="0" w:line="196" w:lineRule="exact"/>
              <w:rPr>
                <w:sz w:val="20"/>
                <w:szCs w:val="20"/>
                <w:color w:val="auto"/>
              </w:rPr>
            </w:pPr>
            <w:r>
              <w:rPr>
                <w:rFonts w:ascii="Arial" w:cs="Arial" w:eastAsia="Arial" w:hAnsi="Arial"/>
                <w:sz w:val="18"/>
                <w:szCs w:val="18"/>
                <w:color w:val="auto"/>
              </w:rPr>
              <w:t>(192.1)</w:t>
            </w:r>
          </w:p>
        </w:tc>
        <w:tc>
          <w:tcPr>
            <w:tcW w:w="1100" w:type="dxa"/>
            <w:vAlign w:val="bottom"/>
            <w:tcBorders>
              <w:bottom w:val="single" w:sz="8" w:color="auto"/>
            </w:tcBorders>
          </w:tcPr>
          <w:p>
            <w:pPr>
              <w:jc w:val="right"/>
              <w:ind w:right="237"/>
              <w:spacing w:after="0" w:line="196" w:lineRule="exact"/>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03"/>
        </w:trPr>
        <w:tc>
          <w:tcPr>
            <w:tcW w:w="3360" w:type="dxa"/>
            <w:vAlign w:val="bottom"/>
            <w:tcBorders>
              <w:bottom w:val="single" w:sz="8" w:color="auto"/>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identifiable intangibles</w:t>
            </w:r>
          </w:p>
        </w:tc>
        <w:tc>
          <w:tcPr>
            <w:tcW w:w="980" w:type="dxa"/>
            <w:vAlign w:val="bottom"/>
            <w:tcBorders>
              <w:bottom w:val="single" w:sz="8" w:color="auto"/>
            </w:tcBorders>
            <w:shd w:val="clear" w:color="auto" w:fill="CCEEFF"/>
          </w:tcPr>
          <w:p>
            <w:pPr>
              <w:jc w:val="right"/>
              <w:ind w:right="79"/>
              <w:spacing w:after="0" w:line="196" w:lineRule="exact"/>
              <w:rPr>
                <w:sz w:val="20"/>
                <w:szCs w:val="20"/>
                <w:color w:val="auto"/>
              </w:rPr>
            </w:pPr>
            <w:r>
              <w:rPr>
                <w:rFonts w:ascii="Arial" w:cs="Arial" w:eastAsia="Arial" w:hAnsi="Arial"/>
                <w:sz w:val="18"/>
                <w:szCs w:val="18"/>
                <w:color w:val="auto"/>
              </w:rPr>
              <w:t>$943.0</w:t>
            </w:r>
          </w:p>
        </w:tc>
        <w:tc>
          <w:tcPr>
            <w:tcW w:w="700" w:type="dxa"/>
            <w:vAlign w:val="bottom"/>
            <w:tcBorders>
              <w:bottom w:val="single" w:sz="8" w:color="auto"/>
            </w:tcBorders>
            <w:shd w:val="clear" w:color="auto" w:fill="CCEEFF"/>
          </w:tcPr>
          <w:p>
            <w:pPr>
              <w:ind w:left="50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412"/>
              <w:spacing w:after="0" w:line="196" w:lineRule="exact"/>
              <w:rPr>
                <w:sz w:val="20"/>
                <w:szCs w:val="20"/>
                <w:color w:val="auto"/>
              </w:rPr>
            </w:pPr>
            <w:r>
              <w:rPr>
                <w:rFonts w:ascii="Arial" w:cs="Arial" w:eastAsia="Arial" w:hAnsi="Arial"/>
                <w:sz w:val="18"/>
                <w:szCs w:val="18"/>
                <w:color w:val="auto"/>
              </w:rPr>
              <w:t>(245.7)</w:t>
            </w:r>
          </w:p>
        </w:tc>
        <w:tc>
          <w:tcPr>
            <w:tcW w:w="1060" w:type="dxa"/>
            <w:vAlign w:val="bottom"/>
            <w:tcBorders>
              <w:bottom w:val="single" w:sz="8" w:color="auto"/>
              <w:right w:val="single" w:sz="8" w:color="auto"/>
            </w:tcBorders>
            <w:shd w:val="clear" w:color="auto" w:fill="CCEEFF"/>
          </w:tcPr>
          <w:p>
            <w:pPr>
              <w:jc w:val="right"/>
              <w:ind w:right="257"/>
              <w:spacing w:after="0" w:line="196" w:lineRule="exact"/>
              <w:rPr>
                <w:sz w:val="20"/>
                <w:szCs w:val="20"/>
                <w:color w:val="auto"/>
              </w:rPr>
            </w:pPr>
            <w:r>
              <w:rPr>
                <w:rFonts w:ascii="Arial" w:cs="Arial" w:eastAsia="Arial" w:hAnsi="Arial"/>
                <w:sz w:val="18"/>
                <w:szCs w:val="18"/>
                <w:color w:val="auto"/>
              </w:rPr>
              <w:t>$ 697.3</w:t>
            </w: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79"/>
              <w:spacing w:after="0" w:line="196" w:lineRule="exact"/>
              <w:rPr>
                <w:sz w:val="20"/>
                <w:szCs w:val="20"/>
                <w:color w:val="auto"/>
              </w:rPr>
            </w:pPr>
            <w:r>
              <w:rPr>
                <w:rFonts w:ascii="Arial" w:cs="Arial" w:eastAsia="Arial" w:hAnsi="Arial"/>
                <w:sz w:val="18"/>
                <w:szCs w:val="18"/>
                <w:color w:val="auto"/>
                <w:w w:val="93"/>
              </w:rPr>
              <w:t>1,032.9</w:t>
            </w:r>
          </w:p>
        </w:tc>
        <w:tc>
          <w:tcPr>
            <w:tcW w:w="780" w:type="dxa"/>
            <w:vAlign w:val="bottom"/>
            <w:tcBorders>
              <w:bottom w:val="single" w:sz="8" w:color="auto"/>
            </w:tcBorders>
            <w:shd w:val="clear" w:color="auto" w:fill="CCEEFF"/>
          </w:tcPr>
          <w:p>
            <w:pPr>
              <w:ind w:left="58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52"/>
              <w:spacing w:after="0" w:line="196" w:lineRule="exact"/>
              <w:rPr>
                <w:sz w:val="20"/>
                <w:szCs w:val="20"/>
                <w:color w:val="auto"/>
              </w:rPr>
            </w:pPr>
            <w:r>
              <w:rPr>
                <w:rFonts w:ascii="Arial" w:cs="Arial" w:eastAsia="Arial" w:hAnsi="Arial"/>
                <w:sz w:val="18"/>
                <w:szCs w:val="18"/>
                <w:color w:val="auto"/>
              </w:rPr>
              <w:t>(234.1)</w:t>
            </w:r>
          </w:p>
        </w:tc>
        <w:tc>
          <w:tcPr>
            <w:tcW w:w="1100" w:type="dxa"/>
            <w:vAlign w:val="bottom"/>
            <w:tcBorders>
              <w:bottom w:val="single" w:sz="8" w:color="auto"/>
            </w:tcBorders>
            <w:shd w:val="clear" w:color="auto" w:fill="CCEEFF"/>
          </w:tcPr>
          <w:p>
            <w:pPr>
              <w:jc w:val="right"/>
              <w:ind w:right="237"/>
              <w:spacing w:after="0" w:line="196" w:lineRule="exact"/>
              <w:rPr>
                <w:sz w:val="20"/>
                <w:szCs w:val="20"/>
                <w:color w:val="auto"/>
              </w:rPr>
            </w:pPr>
            <w:r>
              <w:rPr>
                <w:rFonts w:ascii="Arial" w:cs="Arial" w:eastAsia="Arial" w:hAnsi="Arial"/>
                <w:sz w:val="18"/>
                <w:szCs w:val="18"/>
                <w:color w:val="auto"/>
              </w:rPr>
              <w:t>$ 798.8</w:t>
            </w:r>
          </w:p>
        </w:tc>
        <w:tc>
          <w:tcPr>
            <w:tcW w:w="0" w:type="dxa"/>
            <w:vAlign w:val="bottom"/>
          </w:tcPr>
          <w:p>
            <w:pPr>
              <w:spacing w:after="0"/>
              <w:rPr>
                <w:sz w:val="1"/>
                <w:szCs w:val="1"/>
                <w:color w:val="auto"/>
              </w:rPr>
            </w:pPr>
          </w:p>
        </w:tc>
      </w:tr>
    </w:tbl>
    <w:p>
      <w:pPr>
        <w:ind w:left="220" w:hanging="212"/>
        <w:spacing w:after="0" w:line="230" w:lineRule="auto"/>
        <w:tabs>
          <w:tab w:leader="none" w:pos="220" w:val="left"/>
        </w:tabs>
        <w:numPr>
          <w:ilvl w:val="0"/>
          <w:numId w:val="29"/>
        </w:numPr>
        <w:rPr>
          <w:rFonts w:ascii="Arial" w:cs="Arial" w:eastAsia="Arial" w:hAnsi="Arial"/>
          <w:sz w:val="22"/>
          <w:szCs w:val="22"/>
          <w:color w:val="auto"/>
          <w:vertAlign w:val="superscript"/>
        </w:rPr>
      </w:pPr>
      <w:r>
        <w:rPr>
          <w:rFonts w:ascii="Arial" w:cs="Arial" w:eastAsia="Arial" w:hAnsi="Arial"/>
          <w:sz w:val="14"/>
          <w:szCs w:val="14"/>
          <w:color w:val="auto"/>
        </w:rPr>
        <w:t>Accumulated amortization prior to the adoption of revised authoritative guidance on goodwill and other intangibles assets.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record intangible amortization of approximately $11 million in 2012 through 2016.</w:t>
      </w:r>
    </w:p>
    <w:p>
      <w:pPr>
        <w:spacing w:after="0" w:line="158"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In the fourth quarter of 2011, in conjunction with our annual impairment testing, we recorded pre-tax indefinite-lived tradename impairment charges of $90.0 million ($55.3 million after tax) in our Advanced Material Windows &amp; Door Systems segment. These charges were primarily the result of reduced revenue growth and profit margin expectations associated with our Simonton tradename over the next two to three years. Our revenue and profit margin expectations were lowered based upon the results of our annual planning process that was completed in the fourth quarter and included consideration of our actual fourth quarter 2011 results, including lower 2011 sales due to the expiration of U.S. tax incentives for purchases of energy-efficient home products, as well as our projection of the recovery of the U.S. home products market. Both of the reporting units within Advanced Material Windows &amp; Door Systems have tradenames and goodwill. Any future reduction in the estimated fair value of the tradename would result in an impairment charge. The estimated excess fair value in the reporting units of the Advanced Material Windows &amp; Door Systems segment is less than 10% and accordingly, any further reduction in the estimated fair values could trigger a goodwill impairment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charge in future periods. As of December 31, 2011, these reporting units had indefinite-lived tradenames with an aggregate book value of $227.0 million and goodwill with an aggregate book value of $230.2 million.</w:t>
      </w:r>
    </w:p>
    <w:p>
      <w:pPr>
        <w:spacing w:after="0" w:line="15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review indefinite-lived intangible assets for impairment annually, as well as whenever market or business events indicate there may be a potential impact on a specific intangible. Impairment losses are recorded to the extent that the carrying value of the indefinite-lived intangible asset exceeds its fair value. We measure fair value using the standard relief-from-royalty approach which estimates the present value of royalty income that could be hypothetically earned by licensing the brand name to a third party over the remaining useful life.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We did not record any goodwill or indefinite-lived intangible asset impairment charges in 2010 or 2009.</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Company cannot predict the occurrence of certain events that might adversely affect the carrying value of goodwill and other intangible assets. Such events may include, but are not limited to, the impact of the economic environment, a material negative change in relationships with significant customers, and strategic decisions made in response to economic and competitive conditions. While our cash flow projections used to assess impairment of our goodwill and other intangible assets are influenced by a number of variables, they are most significantly influenced by our projection for the recovery of the U.S. home products markets in the next 3 to 5 years. We reevaluate our projection of the U.S. home products market periodically and in connection with our annual operating plans finalized in the fourth quarter of each year. The U.S. home products market is highly dependent on U.S. new home construction which has fallen to, and remains at, near historic lows. Our projection for the U.S. home products markets is inherently subject to a number of uncertain factors, such as employment, home prices, credit availability, and the rate of home foreclosures. Significant changes in these and other factors could cause us to change our cash flow projections in future periods which could trigger impairment of goodwill or indefinite-lived intangible assets in the period in which such changes occur.</w:t>
      </w:r>
    </w:p>
    <w:p>
      <w:pPr>
        <w:spacing w:after="0" w:line="317"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180"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In the third quarter of 2011, we acquired a regional windows business for $6 million in cash. This acquisition was not material for the purposes of supplemental disclosure and did not have a material impact on our consolidated financial statements.</w:t>
      </w:r>
    </w:p>
    <w:p>
      <w:pPr>
        <w:spacing w:after="0" w:line="133"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External Debt and Financing Arrangements</w:t>
      </w:r>
    </w:p>
    <w:p>
      <w:pPr>
        <w:spacing w:after="0" w:line="18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On August 22, 2011, we signed a $650 million, 5-year committed revolving credit facility as well as a $350 million, 5-year term loan. Both facilities are to be used for general corporate purposes, including for financing the $500 million dividend we paid to our Former Parent immediately prior to the Separation. On October 4, 2011, Home &amp; Security made an initial borrowing of $510 million under these facilities. On December 31, 2011, our outstanding borrowing under these facilities was $400.0 million. The interest rates under these facilities are variable based on LIBOR at the time of the borrowing and the Company’s leverage as measured by a debt to Adjusted EBITDA ratio. Based upon the Company’s debt to Adjusted EBITDA ratio, the Company’s borrowing rate could range from LIBOR + 1.0% to LIBOR + 2.0%. The credit facilities also include a minimum Consolidated Interest Coverage Ratio requirement of 3.0 to 1.0. The Consolidated Interest Coverage Ratio is defined as the ratio of Adjusted EBITDA to Consolidated Interest Expense. Adjusted EBITDA is defined as consolidated net income before interest expense, income taxes, and depreciation and amortization of intangible assets, losses from asset impairments, and certain other adjustments. Consolidated Interest Expense is as disclosed in our financial statements. The credit facility also includes a</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Maximum Leverage Ratio of 3.5 to 1.0 as measured by the ratio of our debt to Adjusted EBITDA. The Maximum Leverage Ratio is permitted to increase to 3.75 to 1.0 for three succeeding quarters in the event of an acquisition.</w:t>
      </w:r>
    </w:p>
    <w:p>
      <w:pPr>
        <w:spacing w:after="0" w:line="15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At December 31, 2011 and 2010, there were $3.8 million and $3.0 million of external short-term borrowings outstanding, respectively, comprised of notes payable to banks that are used for general corporate purposes. These amounts pertained to uncommitted bank lines of credit in China and India, which provide for unsecured borrowings for working capital of up to $22.7 million and $15.5 million, as of December 31, 2011 and 2010, respectively. The weighted-average interest rates on these borrowings were 14.3%, 3.2% and 9.8% in 2011, 2010 and 2009, respectively. There were no amounts outstanding under committed short-term bank credit agreements at December 31, 2011 and 2010.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external long-term debt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123825</wp:posOffset>
            </wp:positionV>
            <wp:extent cx="60801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3"/>
        </w:trPr>
        <w:tc>
          <w:tcPr>
            <w:tcW w:w="64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millions)</w:t>
            </w:r>
          </w:p>
        </w:tc>
        <w:tc>
          <w:tcPr>
            <w:tcW w:w="15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i w:val="1"/>
                <w:iCs w:val="1"/>
                <w:color w:val="auto"/>
              </w:rPr>
              <w:t>2011</w:t>
            </w: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2010</w:t>
            </w:r>
          </w:p>
        </w:tc>
      </w:tr>
      <w:tr>
        <w:trPr>
          <w:trHeight w:val="196"/>
        </w:trPr>
        <w:tc>
          <w:tcPr>
            <w:tcW w:w="6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$650 million revolving credit agreement due October 2016</w:t>
            </w:r>
          </w:p>
        </w:tc>
        <w:tc>
          <w:tcPr>
            <w:tcW w:w="1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15"/>
              <w:spacing w:after="0" w:line="196" w:lineRule="exact"/>
              <w:rPr>
                <w:sz w:val="20"/>
                <w:szCs w:val="20"/>
                <w:color w:val="auto"/>
              </w:rPr>
            </w:pPr>
            <w:r>
              <w:rPr>
                <w:rFonts w:ascii="Arial" w:cs="Arial" w:eastAsia="Arial" w:hAnsi="Arial"/>
                <w:sz w:val="18"/>
                <w:szCs w:val="18"/>
                <w:color w:val="auto"/>
              </w:rPr>
              <w:t>50.0</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rPr>
              <w:t>—</w:t>
            </w: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$350 million term loan due October 2016</w:t>
            </w:r>
          </w:p>
        </w:tc>
        <w:tc>
          <w:tcPr>
            <w:tcW w:w="1540" w:type="dxa"/>
            <w:vAlign w:val="bottom"/>
          </w:tcPr>
          <w:p>
            <w:pPr>
              <w:spacing w:after="0"/>
              <w:rPr>
                <w:sz w:val="17"/>
                <w:szCs w:val="17"/>
                <w:color w:val="auto"/>
              </w:rPr>
            </w:pPr>
          </w:p>
        </w:tc>
        <w:tc>
          <w:tcPr>
            <w:tcW w:w="740" w:type="dxa"/>
            <w:vAlign w:val="bottom"/>
          </w:tcPr>
          <w:p>
            <w:pPr>
              <w:jc w:val="right"/>
              <w:ind w:right="215"/>
              <w:spacing w:after="0" w:line="202" w:lineRule="exact"/>
              <w:rPr>
                <w:sz w:val="20"/>
                <w:szCs w:val="20"/>
                <w:color w:val="auto"/>
              </w:rPr>
            </w:pPr>
            <w:r>
              <w:rPr>
                <w:rFonts w:ascii="Arial" w:cs="Arial" w:eastAsia="Arial" w:hAnsi="Arial"/>
                <w:sz w:val="18"/>
                <w:szCs w:val="18"/>
                <w:color w:val="auto"/>
                <w:w w:val="93"/>
              </w:rPr>
              <w:t>350.0</w:t>
            </w:r>
          </w:p>
        </w:tc>
        <w:tc>
          <w:tcPr>
            <w:tcW w:w="380" w:type="dxa"/>
            <w:vAlign w:val="bottom"/>
          </w:tcPr>
          <w:p>
            <w:pPr>
              <w:spacing w:after="0"/>
              <w:rPr>
                <w:sz w:val="17"/>
                <w:szCs w:val="17"/>
                <w:color w:val="auto"/>
              </w:rPr>
            </w:pPr>
          </w:p>
        </w:tc>
        <w:tc>
          <w:tcPr>
            <w:tcW w:w="4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Industrial revenue bonds due in 2016</w:t>
            </w:r>
          </w:p>
        </w:tc>
        <w:tc>
          <w:tcPr>
            <w:tcW w:w="15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15"/>
              <w:spacing w:after="0" w:line="202" w:lineRule="exact"/>
              <w:rPr>
                <w:sz w:val="20"/>
                <w:szCs w:val="20"/>
                <w:color w:val="auto"/>
              </w:rPr>
            </w:pPr>
            <w:r>
              <w:rPr>
                <w:rFonts w:ascii="Arial" w:cs="Arial" w:eastAsia="Arial" w:hAnsi="Arial"/>
                <w:sz w:val="18"/>
                <w:szCs w:val="18"/>
                <w:color w:val="auto"/>
              </w:rPr>
              <w:t>6.8</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6.8</w:t>
            </w:r>
          </w:p>
        </w:tc>
      </w:tr>
      <w:tr>
        <w:trPr>
          <w:trHeight w:val="203"/>
        </w:trPr>
        <w:tc>
          <w:tcPr>
            <w:tcW w:w="64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Industrial revenue bonds due in 2021 (repaid in December 2011)</w:t>
            </w:r>
          </w:p>
        </w:tc>
        <w:tc>
          <w:tcPr>
            <w:tcW w:w="15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5"/>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w w:val="96"/>
              </w:rPr>
              <w:t>10.0</w:t>
            </w:r>
          </w:p>
        </w:tc>
      </w:tr>
      <w:tr>
        <w:trPr>
          <w:trHeight w:val="196"/>
        </w:trPr>
        <w:tc>
          <w:tcPr>
            <w:tcW w:w="646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debt</w:t>
            </w:r>
          </w:p>
        </w:tc>
        <w:tc>
          <w:tcPr>
            <w:tcW w:w="15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15"/>
              <w:spacing w:after="0" w:line="196" w:lineRule="exact"/>
              <w:rPr>
                <w:sz w:val="20"/>
                <w:szCs w:val="20"/>
                <w:color w:val="auto"/>
              </w:rPr>
            </w:pPr>
            <w:r>
              <w:rPr>
                <w:rFonts w:ascii="Arial" w:cs="Arial" w:eastAsia="Arial" w:hAnsi="Arial"/>
                <w:sz w:val="18"/>
                <w:szCs w:val="18"/>
                <w:color w:val="auto"/>
                <w:w w:val="93"/>
              </w:rPr>
              <w:t>406.8</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w w:val="96"/>
              </w:rPr>
              <w:t>16.8</w:t>
            </w:r>
          </w:p>
        </w:tc>
      </w:tr>
      <w:tr>
        <w:trPr>
          <w:trHeight w:val="203"/>
        </w:trPr>
        <w:tc>
          <w:tcPr>
            <w:tcW w:w="64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Less: current portion</w:t>
            </w:r>
          </w:p>
        </w:tc>
        <w:tc>
          <w:tcPr>
            <w:tcW w:w="15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5"/>
              <w:spacing w:after="0" w:line="202" w:lineRule="exact"/>
              <w:rPr>
                <w:sz w:val="20"/>
                <w:szCs w:val="20"/>
                <w:color w:val="auto"/>
              </w:rPr>
            </w:pPr>
            <w:r>
              <w:rPr>
                <w:rFonts w:ascii="Arial" w:cs="Arial" w:eastAsia="Arial" w:hAnsi="Arial"/>
                <w:sz w:val="18"/>
                <w:szCs w:val="18"/>
                <w:color w:val="auto"/>
              </w:rPr>
              <w:t>17.5</w:t>
            </w:r>
          </w:p>
        </w:tc>
        <w:tc>
          <w:tcPr>
            <w:tcW w:w="3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w:t>
            </w:r>
          </w:p>
        </w:tc>
      </w:tr>
      <w:tr>
        <w:trPr>
          <w:trHeight w:val="203"/>
        </w:trPr>
        <w:tc>
          <w:tcPr>
            <w:tcW w:w="64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long-term debt</w:t>
            </w:r>
          </w:p>
        </w:tc>
        <w:tc>
          <w:tcPr>
            <w:tcW w:w="1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215"/>
              <w:spacing w:after="0" w:line="196" w:lineRule="exact"/>
              <w:rPr>
                <w:sz w:val="20"/>
                <w:szCs w:val="20"/>
                <w:color w:val="auto"/>
              </w:rPr>
            </w:pPr>
            <w:r>
              <w:rPr>
                <w:rFonts w:ascii="Arial" w:cs="Arial" w:eastAsia="Arial" w:hAnsi="Arial"/>
                <w:sz w:val="18"/>
                <w:szCs w:val="18"/>
                <w:color w:val="auto"/>
                <w:w w:val="93"/>
              </w:rPr>
              <w:t>389.3</w:t>
            </w:r>
          </w:p>
        </w:tc>
        <w:tc>
          <w:tcPr>
            <w:tcW w:w="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w w:val="96"/>
              </w:rPr>
              <w:t>16.8</w:t>
            </w:r>
          </w:p>
        </w:tc>
      </w:tr>
    </w:tbl>
    <w:p>
      <w:pPr>
        <w:spacing w:after="0" w:line="165"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Term loan amortization payments during the next five years as of December 31, 2011 were $17.5 million in 2012, $33.3 million in 2013, $29.9 million in 2014, $26.9 million in 2015, and the remaining $242.4 million in 2016.</w:t>
      </w:r>
    </w:p>
    <w:p>
      <w:pPr>
        <w:spacing w:after="0" w:line="155" w:lineRule="exact"/>
        <w:rPr>
          <w:sz w:val="20"/>
          <w:szCs w:val="20"/>
          <w:color w:val="auto"/>
        </w:rPr>
      </w:pPr>
    </w:p>
    <w:p>
      <w:pPr>
        <w:jc w:val="both"/>
        <w:ind w:right="260"/>
        <w:spacing w:after="0" w:line="281" w:lineRule="auto"/>
        <w:rPr>
          <w:sz w:val="20"/>
          <w:szCs w:val="20"/>
          <w:color w:val="auto"/>
        </w:rPr>
      </w:pPr>
      <w:r>
        <w:rPr>
          <w:rFonts w:ascii="Arial" w:cs="Arial" w:eastAsia="Arial" w:hAnsi="Arial"/>
          <w:sz w:val="16"/>
          <w:szCs w:val="16"/>
          <w:color w:val="auto"/>
        </w:rPr>
        <w:t>The interest rates on the long-term debt are based on a floating rate. In our debt agreements, there are normal and customary events of default which would permit the lenders of any debt agreement to accelerate the debt if not cured within applicable grace periods, such as failure to pay principal or interest when due or a change in control of the Company. There were no events of default as of December 31, 2011.</w:t>
      </w:r>
    </w:p>
    <w:p>
      <w:pPr>
        <w:spacing w:after="0" w:line="102"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8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do not enter into financial instruments for trading or speculative purposes. We principally use financial instruments to reduce the impact of changes in foreign currency exchange rates and commodities used as raw materials in our products. The principal derivative financial instruments we enter into on a routine basis are foreign exchange contracts. In addition, from time to time, we enter into commodity swaps. Derivative financial instruments are recorded at fair value. The counterparties to derivative contracts are major financial institutions. We are subject to credit risk on these contracts equal to the fair value of these instruments. Management currently believes that the risk of incurring material losses is unlikely and that the losses, if any, would be immaterial to the Company.</w:t>
      </w:r>
    </w:p>
    <w:p>
      <w:pPr>
        <w:spacing w:after="0" w:line="15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Raw materials used by the Company are subject to price volatility caused by weather, supply conditions, geopolitical and economic variables, and other unpredictable external factors. From time to time, we enter into commodity swaps to manage the price risk associated with forecasted purchases of materials used in our operations. We account for these commodity derivatives as economic hedges or cash flow hedges. Changes in the fair value of economic hedges are recorded directly into current period earnings. There were no material commodity swap contracts outstanding for the years ended December 31, 2011 and 2010.</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enter into foreign exchange contracts primarily to hedge forecasted sales and purchases denominated in select foreign currencies, thereby limiting currency risk that would otherwise result from changes in exchange rates. The periods of the foreign exchange contracts correspond to the periods of the forecasted transactions, which generally do not exceed 12 to 15 months subsequent to the latest balance sheet date.</w:t>
      </w:r>
    </w:p>
    <w:p>
      <w:pPr>
        <w:spacing w:after="0" w:line="15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For derivative instruments that are designated as fair value hedges, the gain or loss on the derivative instrument as well as the offsetting loss or gain on the hedged item are recognized on the same line of the income statement. Any ineffectiveness was immaterial in the years ended December 31, 2011 and 2010. The effective portions of cash flow hedges are reported in OCI and are recognized in the statement of income when the hedged item affects earnings. The ineffective portion of all hedges is recognized in current period earnings. In addition, changes in the fair value of all economic hedge transactions are immediately recognized in current period earnings. Our primary foreign currency hedge contracts pertain to the Canadian dollar, the Chinese yuan and the Mexican peso. The gross U.S. dollar equivalent notional amount of all foreign currency derivative hedges outstanding at December 31, 2011 was $142.3 million, representing a net settlement receivable of $1.5 million. Based on foreign exchange rates as of December 31, 2011, we estimate that $1.0 million of net foreign currency derivative losses included in other comprehensive income as of December 31, 2011 will be reclassified to earnings within the next twelve months.</w:t>
      </w:r>
    </w:p>
    <w:p>
      <w:pPr>
        <w:spacing w:after="0" w:line="16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fair values of foreign exchange and commodity derivative instruments on the consolidated balance sheets as of December 31, 2011 and 2010 were:</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500"/>
        </w:trPr>
        <w:tc>
          <w:tcPr>
            <w:tcW w:w="3680" w:type="dxa"/>
            <w:vAlign w:val="bottom"/>
            <w:tcBorders>
              <w:top w:val="single" w:sz="8" w:color="auto"/>
              <w:bottom w:val="single" w:sz="8" w:color="auto"/>
              <w:right w:val="single" w:sz="8" w:color="auto"/>
            </w:tcBorders>
          </w:tcPr>
          <w:p>
            <w:pPr>
              <w:spacing w:after="0"/>
              <w:rPr>
                <w:sz w:val="24"/>
                <w:szCs w:val="24"/>
                <w:color w:val="auto"/>
              </w:rPr>
            </w:pPr>
          </w:p>
        </w:tc>
        <w:tc>
          <w:tcPr>
            <w:tcW w:w="3580" w:type="dxa"/>
            <w:vAlign w:val="bottom"/>
            <w:tcBorders>
              <w:top w:val="single" w:sz="8" w:color="auto"/>
              <w:bottom w:val="single" w:sz="8" w:color="auto"/>
              <w:right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gridSpan w:val="2"/>
          </w:tcPr>
          <w:p>
            <w:pPr>
              <w:jc w:val="right"/>
              <w:ind w:right="615"/>
              <w:spacing w:after="0"/>
              <w:rPr>
                <w:sz w:val="20"/>
                <w:szCs w:val="20"/>
                <w:color w:val="auto"/>
              </w:rPr>
            </w:pPr>
            <w:r>
              <w:rPr>
                <w:rFonts w:ascii="Arial" w:cs="Arial" w:eastAsia="Arial" w:hAnsi="Arial"/>
                <w:sz w:val="14"/>
                <w:szCs w:val="14"/>
                <w:color w:val="auto"/>
              </w:rPr>
              <w:t>Fair Value</w:t>
            </w:r>
          </w:p>
        </w:tc>
      </w:tr>
      <w:tr>
        <w:trPr>
          <w:trHeight w:val="480"/>
        </w:trPr>
        <w:tc>
          <w:tcPr>
            <w:tcW w:w="3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i w:val="1"/>
                <w:iCs w:val="1"/>
                <w:color w:val="auto"/>
              </w:rPr>
              <w:t>(In millions)</w:t>
            </w:r>
          </w:p>
        </w:tc>
        <w:tc>
          <w:tcPr>
            <w:tcW w:w="35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i w:val="1"/>
                <w:iCs w:val="1"/>
                <w:color w:val="auto"/>
              </w:rPr>
              <w:t>2011</w:t>
            </w:r>
          </w:p>
        </w:tc>
        <w:tc>
          <w:tcPr>
            <w:tcW w:w="3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2010</w:t>
            </w:r>
          </w:p>
        </w:tc>
      </w:tr>
      <w:tr>
        <w:trPr>
          <w:trHeight w:val="196"/>
        </w:trPr>
        <w:tc>
          <w:tcPr>
            <w:tcW w:w="3680" w:type="dxa"/>
            <w:vAlign w:val="bottom"/>
            <w:tcBorders>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3580" w:type="dxa"/>
            <w:vAlign w:val="bottom"/>
            <w:tcBorders>
              <w:right w:val="single" w:sz="8" w:color="auto"/>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36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Foreign exchange contracts</w:t>
            </w:r>
          </w:p>
        </w:tc>
        <w:tc>
          <w:tcPr>
            <w:tcW w:w="3580" w:type="dxa"/>
            <w:vAlign w:val="bottom"/>
            <w:tcBorders>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Other current assets</w:t>
            </w: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$ 2.5</w:t>
            </w:r>
          </w:p>
        </w:tc>
        <w:tc>
          <w:tcPr>
            <w:tcW w:w="360" w:type="dxa"/>
            <w:vAlign w:val="bottom"/>
            <w:tcBorders>
              <w:right w:val="single" w:sz="8" w:color="auto"/>
            </w:tcBorders>
          </w:tcPr>
          <w:p>
            <w:pPr>
              <w:spacing w:after="0"/>
              <w:rPr>
                <w:sz w:val="17"/>
                <w:szCs w:val="17"/>
                <w:color w:val="auto"/>
              </w:rPr>
            </w:pPr>
          </w:p>
        </w:tc>
        <w:tc>
          <w:tcPr>
            <w:tcW w:w="10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$ 1.2</w:t>
            </w:r>
          </w:p>
        </w:tc>
      </w:tr>
      <w:tr>
        <w:trPr>
          <w:trHeight w:val="203"/>
        </w:trPr>
        <w:tc>
          <w:tcPr>
            <w:tcW w:w="3680" w:type="dxa"/>
            <w:vAlign w:val="bottom"/>
            <w:tcBorders>
              <w:bottom w:val="single" w:sz="8" w:color="auto"/>
              <w:right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Commodity contracts</w:t>
            </w:r>
          </w:p>
        </w:tc>
        <w:tc>
          <w:tcPr>
            <w:tcW w:w="3580" w:type="dxa"/>
            <w:vAlign w:val="bottom"/>
            <w:tcBorders>
              <w:bottom w:val="single" w:sz="8" w:color="auto"/>
              <w:right w:val="single" w:sz="8" w:color="auto"/>
            </w:tcBorders>
            <w:shd w:val="clear" w:color="auto" w:fill="CCEEFF"/>
          </w:tcPr>
          <w:p>
            <w:pPr>
              <w:ind w:left="400"/>
              <w:spacing w:after="0" w:line="202" w:lineRule="exact"/>
              <w:rPr>
                <w:sz w:val="20"/>
                <w:szCs w:val="20"/>
                <w:color w:val="auto"/>
              </w:rPr>
            </w:pPr>
            <w:r>
              <w:rPr>
                <w:rFonts w:ascii="Arial" w:cs="Arial" w:eastAsia="Arial" w:hAnsi="Arial"/>
                <w:sz w:val="18"/>
                <w:szCs w:val="18"/>
                <w:color w:val="auto"/>
              </w:rPr>
              <w:t>Other current assets</w:t>
            </w:r>
          </w:p>
        </w:tc>
        <w:tc>
          <w:tcPr>
            <w:tcW w:w="900" w:type="dxa"/>
            <w:vAlign w:val="bottom"/>
            <w:tcBorders>
              <w:bottom w:val="single" w:sz="8" w:color="auto"/>
            </w:tcBorders>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0.1</w:t>
            </w:r>
          </w:p>
        </w:tc>
        <w:tc>
          <w:tcPr>
            <w:tcW w:w="360" w:type="dxa"/>
            <w:vAlign w:val="bottom"/>
            <w:tcBorders>
              <w:bottom w:val="single" w:sz="8" w:color="auto"/>
              <w:right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2.0</w:t>
            </w:r>
          </w:p>
        </w:tc>
      </w:tr>
      <w:tr>
        <w:trPr>
          <w:trHeight w:val="203"/>
        </w:trPr>
        <w:tc>
          <w:tcPr>
            <w:tcW w:w="3680" w:type="dxa"/>
            <w:vAlign w:val="bottom"/>
            <w:tcBorders>
              <w:bottom w:val="single" w:sz="8" w:color="auto"/>
              <w:right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Total assets</w:t>
            </w:r>
          </w:p>
        </w:tc>
        <w:tc>
          <w:tcPr>
            <w:tcW w:w="900" w:type="dxa"/>
            <w:vAlign w:val="bottom"/>
            <w:tcBorders>
              <w:bottom w:val="single" w:sz="8" w:color="auto"/>
            </w:tcBorders>
          </w:tcPr>
          <w:p>
            <w:pPr>
              <w:jc w:val="right"/>
              <w:ind w:right="15"/>
              <w:spacing w:after="0" w:line="196" w:lineRule="exact"/>
              <w:rPr>
                <w:sz w:val="20"/>
                <w:szCs w:val="20"/>
                <w:color w:val="auto"/>
              </w:rPr>
            </w:pPr>
            <w:r>
              <w:rPr>
                <w:rFonts w:ascii="Arial" w:cs="Arial" w:eastAsia="Arial" w:hAnsi="Arial"/>
                <w:sz w:val="18"/>
                <w:szCs w:val="18"/>
                <w:color w:val="auto"/>
              </w:rPr>
              <w:t>$ 2.6</w:t>
            </w:r>
          </w:p>
        </w:tc>
        <w:tc>
          <w:tcPr>
            <w:tcW w:w="36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tcBorders>
          </w:tcPr>
          <w:p>
            <w:pPr>
              <w:jc w:val="right"/>
              <w:ind w:right="15"/>
              <w:spacing w:after="0" w:line="196" w:lineRule="exact"/>
              <w:rPr>
                <w:sz w:val="20"/>
                <w:szCs w:val="20"/>
                <w:color w:val="auto"/>
              </w:rPr>
            </w:pPr>
            <w:r>
              <w:rPr>
                <w:rFonts w:ascii="Arial" w:cs="Arial" w:eastAsia="Arial" w:hAnsi="Arial"/>
                <w:sz w:val="18"/>
                <w:szCs w:val="18"/>
                <w:color w:val="auto"/>
              </w:rPr>
              <w:t>$ 3.2</w:t>
            </w:r>
          </w:p>
        </w:tc>
      </w:tr>
      <w:tr>
        <w:trPr>
          <w:trHeight w:val="203"/>
        </w:trPr>
        <w:tc>
          <w:tcPr>
            <w:tcW w:w="36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Liabilities:</w:t>
            </w:r>
          </w:p>
        </w:tc>
        <w:tc>
          <w:tcPr>
            <w:tcW w:w="3580" w:type="dxa"/>
            <w:vAlign w:val="bottom"/>
            <w:tcBorders>
              <w:right w:val="single" w:sz="8" w:color="auto"/>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36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Foreign exchange contracts</w:t>
            </w:r>
          </w:p>
        </w:tc>
        <w:tc>
          <w:tcPr>
            <w:tcW w:w="3580" w:type="dxa"/>
            <w:vAlign w:val="bottom"/>
            <w:tcBorders>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Other current liabilities</w:t>
            </w: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$ 1.0</w:t>
            </w:r>
          </w:p>
        </w:tc>
        <w:tc>
          <w:tcPr>
            <w:tcW w:w="360" w:type="dxa"/>
            <w:vAlign w:val="bottom"/>
            <w:tcBorders>
              <w:right w:val="single" w:sz="8" w:color="auto"/>
            </w:tcBorders>
          </w:tcPr>
          <w:p>
            <w:pPr>
              <w:spacing w:after="0"/>
              <w:rPr>
                <w:sz w:val="17"/>
                <w:szCs w:val="17"/>
                <w:color w:val="auto"/>
              </w:rPr>
            </w:pPr>
          </w:p>
        </w:tc>
        <w:tc>
          <w:tcPr>
            <w:tcW w:w="10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$ 1.0</w:t>
            </w:r>
          </w:p>
        </w:tc>
      </w:tr>
      <w:tr>
        <w:trPr>
          <w:trHeight w:val="203"/>
        </w:trPr>
        <w:tc>
          <w:tcPr>
            <w:tcW w:w="3680" w:type="dxa"/>
            <w:vAlign w:val="bottom"/>
            <w:tcBorders>
              <w:bottom w:val="single" w:sz="8" w:color="auto"/>
              <w:right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Commodity contracts</w:t>
            </w:r>
          </w:p>
        </w:tc>
        <w:tc>
          <w:tcPr>
            <w:tcW w:w="3580" w:type="dxa"/>
            <w:vAlign w:val="bottom"/>
            <w:tcBorders>
              <w:bottom w:val="single" w:sz="8" w:color="auto"/>
              <w:right w:val="single" w:sz="8" w:color="auto"/>
            </w:tcBorders>
            <w:shd w:val="clear" w:color="auto" w:fill="CCEEFF"/>
          </w:tcPr>
          <w:p>
            <w:pPr>
              <w:ind w:left="400"/>
              <w:spacing w:after="0" w:line="202" w:lineRule="exact"/>
              <w:rPr>
                <w:sz w:val="20"/>
                <w:szCs w:val="20"/>
                <w:color w:val="auto"/>
              </w:rPr>
            </w:pPr>
            <w:r>
              <w:rPr>
                <w:rFonts w:ascii="Arial" w:cs="Arial" w:eastAsia="Arial" w:hAnsi="Arial"/>
                <w:sz w:val="18"/>
                <w:szCs w:val="18"/>
                <w:color w:val="auto"/>
              </w:rPr>
              <w:t>Other current liabilities</w:t>
            </w:r>
          </w:p>
        </w:tc>
        <w:tc>
          <w:tcPr>
            <w:tcW w:w="900" w:type="dxa"/>
            <w:vAlign w:val="bottom"/>
            <w:tcBorders>
              <w:bottom w:val="single" w:sz="8" w:color="auto"/>
            </w:tcBorders>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0.5</w:t>
            </w:r>
          </w:p>
        </w:tc>
        <w:tc>
          <w:tcPr>
            <w:tcW w:w="360" w:type="dxa"/>
            <w:vAlign w:val="bottom"/>
            <w:tcBorders>
              <w:bottom w:val="single" w:sz="8" w:color="auto"/>
              <w:right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r>
      <w:tr>
        <w:trPr>
          <w:trHeight w:val="203"/>
        </w:trPr>
        <w:tc>
          <w:tcPr>
            <w:tcW w:w="3680" w:type="dxa"/>
            <w:vAlign w:val="bottom"/>
            <w:tcBorders>
              <w:bottom w:val="single" w:sz="8" w:color="auto"/>
              <w:right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ind w:left="400"/>
              <w:spacing w:after="0" w:line="196" w:lineRule="exact"/>
              <w:rPr>
                <w:sz w:val="20"/>
                <w:szCs w:val="20"/>
                <w:color w:val="auto"/>
              </w:rPr>
            </w:pPr>
            <w:r>
              <w:rPr>
                <w:rFonts w:ascii="Arial" w:cs="Arial" w:eastAsia="Arial" w:hAnsi="Arial"/>
                <w:sz w:val="18"/>
                <w:szCs w:val="18"/>
                <w:color w:val="auto"/>
              </w:rPr>
              <w:t>Total liabilities</w:t>
            </w:r>
          </w:p>
        </w:tc>
        <w:tc>
          <w:tcPr>
            <w:tcW w:w="900" w:type="dxa"/>
            <w:vAlign w:val="bottom"/>
            <w:tcBorders>
              <w:bottom w:val="single" w:sz="8" w:color="auto"/>
            </w:tcBorders>
          </w:tcPr>
          <w:p>
            <w:pPr>
              <w:jc w:val="right"/>
              <w:ind w:right="15"/>
              <w:spacing w:after="0" w:line="196" w:lineRule="exact"/>
              <w:rPr>
                <w:sz w:val="20"/>
                <w:szCs w:val="20"/>
                <w:color w:val="auto"/>
              </w:rPr>
            </w:pPr>
            <w:r>
              <w:rPr>
                <w:rFonts w:ascii="Arial" w:cs="Arial" w:eastAsia="Arial" w:hAnsi="Arial"/>
                <w:sz w:val="18"/>
                <w:szCs w:val="18"/>
                <w:color w:val="auto"/>
              </w:rPr>
              <w:t>$ 1.5</w:t>
            </w:r>
          </w:p>
        </w:tc>
        <w:tc>
          <w:tcPr>
            <w:tcW w:w="36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tcBorders>
          </w:tcPr>
          <w:p>
            <w:pPr>
              <w:jc w:val="right"/>
              <w:ind w:right="15"/>
              <w:spacing w:after="0" w:line="196" w:lineRule="exact"/>
              <w:rPr>
                <w:sz w:val="20"/>
                <w:szCs w:val="20"/>
                <w:color w:val="auto"/>
              </w:rPr>
            </w:pPr>
            <w:r>
              <w:rPr>
                <w:rFonts w:ascii="Arial" w:cs="Arial" w:eastAsia="Arial" w:hAnsi="Arial"/>
                <w:sz w:val="18"/>
                <w:szCs w:val="18"/>
                <w:color w:val="auto"/>
              </w:rPr>
              <w:t>$ 1.0</w:t>
            </w:r>
          </w:p>
        </w:tc>
      </w:tr>
    </w:tbl>
    <w:p>
      <w:pPr>
        <w:spacing w:after="0" w:line="165"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The effects of derivative financial instruments on the consolidated statements of income and OCI for the years ended December 31, 2011 and 2010 were:</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405"/>
        </w:trPr>
        <w:tc>
          <w:tcPr>
            <w:tcW w:w="35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i w:val="1"/>
                <w:iCs w:val="1"/>
                <w:color w:val="auto"/>
              </w:rPr>
              <w:t>(In millions)</w:t>
            </w:r>
          </w:p>
        </w:tc>
        <w:tc>
          <w:tcPr>
            <w:tcW w:w="5000" w:type="dxa"/>
            <w:vAlign w:val="bottom"/>
            <w:tcBorders>
              <w:top w:val="single" w:sz="8" w:color="auto"/>
              <w:bottom w:val="single" w:sz="8" w:color="auto"/>
            </w:tcBorders>
            <w:gridSpan w:val="2"/>
          </w:tcPr>
          <w:p>
            <w:pPr>
              <w:jc w:val="right"/>
              <w:ind w:right="676"/>
              <w:spacing w:after="0"/>
              <w:rPr>
                <w:sz w:val="20"/>
                <w:szCs w:val="20"/>
                <w:color w:val="auto"/>
              </w:rPr>
            </w:pPr>
            <w:r>
              <w:rPr>
                <w:rFonts w:ascii="Arial" w:cs="Arial" w:eastAsia="Arial" w:hAnsi="Arial"/>
                <w:sz w:val="14"/>
                <w:szCs w:val="14"/>
                <w:color w:val="auto"/>
              </w:rPr>
              <w:t>Gain (Loss) Recognized in Income</w:t>
            </w:r>
          </w:p>
        </w:tc>
        <w:tc>
          <w:tcPr>
            <w:tcW w:w="1020" w:type="dxa"/>
            <w:vAlign w:val="bottom"/>
            <w:tcBorders>
              <w:top w:val="single" w:sz="8" w:color="auto"/>
              <w:bottom w:val="single" w:sz="8" w:color="auto"/>
            </w:tcBorders>
          </w:tcPr>
          <w:p>
            <w:pPr>
              <w:spacing w:after="0"/>
              <w:rPr>
                <w:sz w:val="24"/>
                <w:szCs w:val="24"/>
                <w:color w:val="auto"/>
              </w:rPr>
            </w:pPr>
          </w:p>
        </w:tc>
      </w:tr>
      <w:tr>
        <w:trPr>
          <w:trHeight w:val="480"/>
        </w:trPr>
        <w:tc>
          <w:tcPr>
            <w:tcW w:w="3560" w:type="dxa"/>
            <w:vAlign w:val="bottom"/>
            <w:tcBorders>
              <w:bottom w:val="single" w:sz="8" w:color="auto"/>
              <w:right w:val="single" w:sz="8" w:color="auto"/>
            </w:tcBorders>
          </w:tcPr>
          <w:p>
            <w:pPr>
              <w:spacing w:after="0"/>
              <w:rPr>
                <w:sz w:val="24"/>
                <w:szCs w:val="24"/>
                <w:color w:val="auto"/>
              </w:rPr>
            </w:pPr>
          </w:p>
        </w:tc>
        <w:tc>
          <w:tcPr>
            <w:tcW w:w="3560" w:type="dxa"/>
            <w:vAlign w:val="bottom"/>
            <w:tcBorders>
              <w:bottom w:val="single" w:sz="8" w:color="auto"/>
              <w:right w:val="single" w:sz="8" w:color="auto"/>
            </w:tcBorders>
          </w:tcPr>
          <w:p>
            <w:pPr>
              <w:ind w:left="1760"/>
              <w:spacing w:after="0"/>
              <w:rPr>
                <w:sz w:val="20"/>
                <w:szCs w:val="20"/>
                <w:color w:val="auto"/>
              </w:rPr>
            </w:pPr>
            <w:r>
              <w:rPr>
                <w:rFonts w:ascii="Arial" w:cs="Arial" w:eastAsia="Arial" w:hAnsi="Arial"/>
                <w:sz w:val="14"/>
                <w:szCs w:val="14"/>
                <w:color w:val="auto"/>
              </w:rPr>
              <w:t>Location</w:t>
            </w:r>
          </w:p>
        </w:tc>
        <w:tc>
          <w:tcPr>
            <w:tcW w:w="1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480"/>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Type of hedge</w:t>
            </w:r>
          </w:p>
        </w:tc>
        <w:tc>
          <w:tcPr>
            <w:tcW w:w="35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jc w:val="right"/>
              <w:ind w:right="456"/>
              <w:spacing w:after="0"/>
              <w:rPr>
                <w:sz w:val="20"/>
                <w:szCs w:val="20"/>
                <w:color w:val="auto"/>
              </w:rPr>
            </w:pPr>
            <w:r>
              <w:rPr>
                <w:rFonts w:ascii="Arial" w:cs="Arial" w:eastAsia="Arial" w:hAnsi="Arial"/>
                <w:sz w:val="14"/>
                <w:szCs w:val="14"/>
                <w:i w:val="1"/>
                <w:iCs w:val="1"/>
                <w:color w:val="auto"/>
              </w:rPr>
              <w:t>2011</w:t>
            </w: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2010</w:t>
            </w:r>
          </w:p>
        </w:tc>
      </w:tr>
      <w:tr>
        <w:trPr>
          <w:trHeight w:val="196"/>
        </w:trPr>
        <w:tc>
          <w:tcPr>
            <w:tcW w:w="3560" w:type="dxa"/>
            <w:vAlign w:val="bottom"/>
            <w:tcBorders>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w:t>
            </w:r>
          </w:p>
        </w:tc>
        <w:tc>
          <w:tcPr>
            <w:tcW w:w="3560" w:type="dxa"/>
            <w:vAlign w:val="bottom"/>
            <w:tcBorders>
              <w:right w:val="single" w:sz="8" w:color="auto"/>
            </w:tcBorders>
            <w:shd w:val="clear" w:color="auto" w:fill="CCEEFF"/>
          </w:tcPr>
          <w:p>
            <w:pPr>
              <w:ind w:left="480"/>
              <w:spacing w:after="0" w:line="196" w:lineRule="exact"/>
              <w:rPr>
                <w:sz w:val="20"/>
                <w:szCs w:val="20"/>
                <w:color w:val="auto"/>
              </w:rPr>
            </w:pPr>
            <w:r>
              <w:rPr>
                <w:rFonts w:ascii="Arial" w:cs="Arial" w:eastAsia="Arial" w:hAnsi="Arial"/>
                <w:sz w:val="18"/>
                <w:szCs w:val="18"/>
                <w:color w:val="auto"/>
              </w:rPr>
              <w:t>Net sales</w:t>
            </w:r>
          </w:p>
        </w:tc>
        <w:tc>
          <w:tcPr>
            <w:tcW w:w="1440" w:type="dxa"/>
            <w:vAlign w:val="bottom"/>
            <w:tcBorders>
              <w:right w:val="single" w:sz="8" w:color="auto"/>
            </w:tcBorders>
            <w:shd w:val="clear" w:color="auto" w:fill="CCEEFF"/>
          </w:tcPr>
          <w:p>
            <w:pPr>
              <w:jc w:val="right"/>
              <w:ind w:right="396"/>
              <w:spacing w:after="0" w:line="196" w:lineRule="exact"/>
              <w:rPr>
                <w:sz w:val="20"/>
                <w:szCs w:val="20"/>
                <w:color w:val="auto"/>
              </w:rPr>
            </w:pPr>
            <w:r>
              <w:rPr>
                <w:rFonts w:ascii="Arial" w:cs="Arial" w:eastAsia="Arial" w:hAnsi="Arial"/>
                <w:sz w:val="18"/>
                <w:szCs w:val="18"/>
                <w:color w:val="auto"/>
              </w:rPr>
              <w:t>$(0.6)</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$(0.5)</w:t>
            </w:r>
          </w:p>
        </w:tc>
      </w:tr>
      <w:tr>
        <w:trPr>
          <w:trHeight w:val="203"/>
        </w:trPr>
        <w:tc>
          <w:tcPr>
            <w:tcW w:w="3560" w:type="dxa"/>
            <w:vAlign w:val="bottom"/>
            <w:tcBorders>
              <w:right w:val="single" w:sz="8" w:color="auto"/>
            </w:tcBorders>
          </w:tcPr>
          <w:p>
            <w:pPr>
              <w:spacing w:after="0"/>
              <w:rPr>
                <w:sz w:val="17"/>
                <w:szCs w:val="17"/>
                <w:color w:val="auto"/>
              </w:rPr>
            </w:pPr>
          </w:p>
        </w:tc>
        <w:tc>
          <w:tcPr>
            <w:tcW w:w="3560" w:type="dxa"/>
            <w:vAlign w:val="bottom"/>
            <w:tcBorders>
              <w:right w:val="single" w:sz="8" w:color="auto"/>
            </w:tcBorders>
          </w:tcPr>
          <w:p>
            <w:pPr>
              <w:ind w:left="480"/>
              <w:spacing w:after="0" w:line="202" w:lineRule="exact"/>
              <w:rPr>
                <w:sz w:val="20"/>
                <w:szCs w:val="20"/>
                <w:color w:val="auto"/>
              </w:rPr>
            </w:pPr>
            <w:r>
              <w:rPr>
                <w:rFonts w:ascii="Arial" w:cs="Arial" w:eastAsia="Arial" w:hAnsi="Arial"/>
                <w:sz w:val="18"/>
                <w:szCs w:val="18"/>
                <w:color w:val="auto"/>
              </w:rPr>
              <w:t>Cost of products sold</w:t>
            </w:r>
          </w:p>
        </w:tc>
        <w:tc>
          <w:tcPr>
            <w:tcW w:w="1440" w:type="dxa"/>
            <w:vAlign w:val="bottom"/>
            <w:tcBorders>
              <w:right w:val="single" w:sz="8" w:color="auto"/>
            </w:tcBorders>
          </w:tcPr>
          <w:p>
            <w:pPr>
              <w:jc w:val="right"/>
              <w:ind w:right="456"/>
              <w:spacing w:after="0" w:line="202" w:lineRule="exact"/>
              <w:rPr>
                <w:sz w:val="20"/>
                <w:szCs w:val="20"/>
                <w:color w:val="auto"/>
              </w:rPr>
            </w:pPr>
            <w:r>
              <w:rPr>
                <w:rFonts w:ascii="Arial" w:cs="Arial" w:eastAsia="Arial" w:hAnsi="Arial"/>
                <w:sz w:val="18"/>
                <w:szCs w:val="18"/>
                <w:color w:val="auto"/>
              </w:rPr>
              <w:t>1.6</w:t>
            </w:r>
          </w:p>
        </w:tc>
        <w:tc>
          <w:tcPr>
            <w:tcW w:w="10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1.8</w:t>
            </w:r>
          </w:p>
        </w:tc>
      </w:tr>
      <w:tr>
        <w:trPr>
          <w:trHeight w:val="203"/>
        </w:trPr>
        <w:tc>
          <w:tcPr>
            <w:tcW w:w="3560" w:type="dxa"/>
            <w:vAlign w:val="bottom"/>
            <w:tcBorders>
              <w:bottom w:val="single" w:sz="8" w:color="auto"/>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Fair value</w:t>
            </w:r>
          </w:p>
        </w:tc>
        <w:tc>
          <w:tcPr>
            <w:tcW w:w="3560" w:type="dxa"/>
            <w:vAlign w:val="bottom"/>
            <w:tcBorders>
              <w:bottom w:val="single" w:sz="8" w:color="auto"/>
              <w:right w:val="single" w:sz="8" w:color="auto"/>
            </w:tcBorders>
            <w:shd w:val="clear" w:color="auto" w:fill="CCEEFF"/>
          </w:tcPr>
          <w:p>
            <w:pPr>
              <w:ind w:left="480"/>
              <w:spacing w:after="0" w:line="202" w:lineRule="exact"/>
              <w:rPr>
                <w:sz w:val="20"/>
                <w:szCs w:val="20"/>
                <w:color w:val="auto"/>
              </w:rPr>
            </w:pPr>
            <w:r>
              <w:rPr>
                <w:rFonts w:ascii="Arial" w:cs="Arial" w:eastAsia="Arial" w:hAnsi="Arial"/>
                <w:sz w:val="18"/>
                <w:szCs w:val="18"/>
                <w:color w:val="auto"/>
              </w:rPr>
              <w:t>Other income (expense), net</w:t>
            </w:r>
          </w:p>
        </w:tc>
        <w:tc>
          <w:tcPr>
            <w:tcW w:w="1440" w:type="dxa"/>
            <w:vAlign w:val="bottom"/>
            <w:tcBorders>
              <w:bottom w:val="single" w:sz="8" w:color="auto"/>
              <w:right w:val="single" w:sz="8" w:color="auto"/>
            </w:tcBorders>
            <w:shd w:val="clear" w:color="auto" w:fill="CCEEFF"/>
          </w:tcPr>
          <w:p>
            <w:pPr>
              <w:jc w:val="right"/>
              <w:ind w:right="456"/>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0.3</w:t>
            </w:r>
          </w:p>
        </w:tc>
      </w:tr>
      <w:tr>
        <w:trPr>
          <w:trHeight w:val="203"/>
        </w:trPr>
        <w:tc>
          <w:tcPr>
            <w:tcW w:w="3560" w:type="dxa"/>
            <w:vAlign w:val="bottom"/>
            <w:tcBorders>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Total</w:t>
            </w:r>
          </w:p>
        </w:tc>
        <w:tc>
          <w:tcPr>
            <w:tcW w:w="356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jc w:val="right"/>
              <w:ind w:right="456"/>
              <w:spacing w:after="0" w:line="196" w:lineRule="exact"/>
              <w:rPr>
                <w:sz w:val="20"/>
                <w:szCs w:val="20"/>
                <w:color w:val="auto"/>
              </w:rPr>
            </w:pPr>
            <w:r>
              <w:rPr>
                <w:rFonts w:ascii="Arial" w:cs="Arial" w:eastAsia="Arial" w:hAnsi="Arial"/>
                <w:sz w:val="18"/>
                <w:szCs w:val="18"/>
                <w:color w:val="auto"/>
              </w:rPr>
              <w:t>$ 1.0</w:t>
            </w:r>
          </w:p>
        </w:tc>
        <w:tc>
          <w:tcPr>
            <w:tcW w:w="1020" w:type="dxa"/>
            <w:vAlign w:val="bottom"/>
            <w:tcBorders>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auto"/>
              </w:rPr>
              <w:t>$ 1.6</w:t>
            </w:r>
          </w:p>
        </w:tc>
      </w:tr>
    </w:tbl>
    <w:p>
      <w:pPr>
        <w:spacing w:after="0" w:line="165"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For cash flow hedges that are effective, the amounts recognized in OCI were $0.8 million and $2.1 million in 2011 and 2010, respectively. In the years ended December 31, 2011, 2010 and 2009, the ineffective portion of cash flow hedges recognized in other expense (income), net, was insignificant.</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as of December 31, 2011 and 2010 were as follows:</w:t>
      </w:r>
    </w:p>
    <w:p>
      <w:pPr>
        <w:spacing w:after="0" w:line="175" w:lineRule="exact"/>
        <w:rPr>
          <w:sz w:val="20"/>
          <w:szCs w:val="20"/>
          <w:color w:val="auto"/>
        </w:rPr>
      </w:pPr>
    </w:p>
    <w:tbl>
      <w:tblPr>
        <w:tblLayout w:type="fixed"/>
        <w:tblInd w:w="920" w:type="dxa"/>
        <w:tblCellMar>
          <w:top w:w="0" w:type="dxa"/>
          <w:left w:w="0" w:type="dxa"/>
          <w:bottom w:w="0" w:type="dxa"/>
          <w:right w:w="0" w:type="dxa"/>
        </w:tblCellMar>
      </w:tblPr>
      <w:tr>
        <w:trPr>
          <w:trHeight w:val="405"/>
        </w:trPr>
        <w:tc>
          <w:tcPr>
            <w:tcW w:w="72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i w:val="1"/>
                <w:iCs w:val="1"/>
                <w:color w:val="auto"/>
              </w:rPr>
              <w:t>(In millions)</w:t>
            </w:r>
          </w:p>
        </w:tc>
        <w:tc>
          <w:tcPr>
            <w:tcW w:w="90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gridSpan w:val="2"/>
          </w:tcPr>
          <w:p>
            <w:pPr>
              <w:jc w:val="right"/>
              <w:ind w:right="616"/>
              <w:spacing w:after="0"/>
              <w:rPr>
                <w:sz w:val="20"/>
                <w:szCs w:val="20"/>
                <w:color w:val="auto"/>
              </w:rPr>
            </w:pPr>
            <w:r>
              <w:rPr>
                <w:rFonts w:ascii="Arial" w:cs="Arial" w:eastAsia="Arial" w:hAnsi="Arial"/>
                <w:sz w:val="14"/>
                <w:szCs w:val="14"/>
                <w:color w:val="auto"/>
              </w:rPr>
              <w:t>Fair Value</w:t>
            </w:r>
          </w:p>
        </w:tc>
      </w:tr>
      <w:tr>
        <w:trPr>
          <w:trHeight w:val="480"/>
        </w:trPr>
        <w:tc>
          <w:tcPr>
            <w:tcW w:w="72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i w:val="1"/>
                <w:iCs w:val="1"/>
                <w:color w:val="auto"/>
              </w:rPr>
              <w:t>2011</w:t>
            </w:r>
          </w:p>
        </w:tc>
        <w:tc>
          <w:tcPr>
            <w:tcW w:w="3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2010</w:t>
            </w:r>
          </w:p>
        </w:tc>
      </w:tr>
      <w:tr>
        <w:trPr>
          <w:trHeight w:val="196"/>
        </w:trPr>
        <w:tc>
          <w:tcPr>
            <w:tcW w:w="7260" w:type="dxa"/>
            <w:vAlign w:val="bottom"/>
            <w:tcBorders>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90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726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Derivative asset financial instruments (level 2)</w:t>
            </w:r>
          </w:p>
        </w:tc>
        <w:tc>
          <w:tcPr>
            <w:tcW w:w="9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$ 2.6</w:t>
            </w:r>
          </w:p>
        </w:tc>
        <w:tc>
          <w:tcPr>
            <w:tcW w:w="360" w:type="dxa"/>
            <w:vAlign w:val="bottom"/>
            <w:tcBorders>
              <w:right w:val="single" w:sz="8" w:color="auto"/>
            </w:tcBorders>
          </w:tcPr>
          <w:p>
            <w:pPr>
              <w:spacing w:after="0"/>
              <w:rPr>
                <w:sz w:val="17"/>
                <w:szCs w:val="17"/>
                <w:color w:val="auto"/>
              </w:rPr>
            </w:pPr>
          </w:p>
        </w:tc>
        <w:tc>
          <w:tcPr>
            <w:tcW w:w="10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$ 3.2</w:t>
            </w:r>
          </w:p>
        </w:tc>
      </w:tr>
      <w:tr>
        <w:trPr>
          <w:trHeight w:val="203"/>
        </w:trPr>
        <w:tc>
          <w:tcPr>
            <w:tcW w:w="7260" w:type="dxa"/>
            <w:vAlign w:val="bottom"/>
            <w:tcBorders>
              <w:bottom w:val="single" w:sz="8" w:color="auto"/>
              <w:right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Deferred compensation program assets (level 1)</w:t>
            </w:r>
          </w:p>
        </w:tc>
        <w:tc>
          <w:tcPr>
            <w:tcW w:w="900" w:type="dxa"/>
            <w:vAlign w:val="bottom"/>
            <w:tcBorders>
              <w:bottom w:val="single" w:sz="8" w:color="auto"/>
            </w:tcBorders>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4.2</w:t>
            </w:r>
          </w:p>
        </w:tc>
        <w:tc>
          <w:tcPr>
            <w:tcW w:w="360" w:type="dxa"/>
            <w:vAlign w:val="bottom"/>
            <w:tcBorders>
              <w:bottom w:val="single" w:sz="8" w:color="auto"/>
              <w:right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5.1</w:t>
            </w:r>
          </w:p>
        </w:tc>
      </w:tr>
      <w:tr>
        <w:trPr>
          <w:trHeight w:val="203"/>
        </w:trPr>
        <w:tc>
          <w:tcPr>
            <w:tcW w:w="7260" w:type="dxa"/>
            <w:vAlign w:val="bottom"/>
            <w:tcBorders>
              <w:bottom w:val="single" w:sz="8" w:color="auto"/>
              <w:right w:val="single" w:sz="8" w:color="auto"/>
            </w:tcBorders>
          </w:tcPr>
          <w:p>
            <w:pPr>
              <w:ind w:left="440"/>
              <w:spacing w:after="0" w:line="196" w:lineRule="exact"/>
              <w:rPr>
                <w:sz w:val="20"/>
                <w:szCs w:val="20"/>
                <w:color w:val="auto"/>
              </w:rPr>
            </w:pPr>
            <w:r>
              <w:rPr>
                <w:rFonts w:ascii="Arial" w:cs="Arial" w:eastAsia="Arial" w:hAnsi="Arial"/>
                <w:sz w:val="18"/>
                <w:szCs w:val="18"/>
                <w:color w:val="auto"/>
              </w:rPr>
              <w:t>Total assets</w:t>
            </w:r>
          </w:p>
        </w:tc>
        <w:tc>
          <w:tcPr>
            <w:tcW w:w="900" w:type="dxa"/>
            <w:vAlign w:val="bottom"/>
            <w:tcBorders>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auto"/>
              </w:rPr>
              <w:t>$ 6.8</w:t>
            </w:r>
          </w:p>
        </w:tc>
        <w:tc>
          <w:tcPr>
            <w:tcW w:w="36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auto"/>
              </w:rPr>
              <w:t>$ 8.3</w:t>
            </w:r>
          </w:p>
        </w:tc>
      </w:tr>
      <w:tr>
        <w:trPr>
          <w:trHeight w:val="203"/>
        </w:trPr>
        <w:tc>
          <w:tcPr>
            <w:tcW w:w="726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Liabilities:</w:t>
            </w:r>
          </w:p>
        </w:tc>
        <w:tc>
          <w:tcPr>
            <w:tcW w:w="90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0"/>
        </w:trPr>
        <w:tc>
          <w:tcPr>
            <w:tcW w:w="7260" w:type="dxa"/>
            <w:vAlign w:val="bottom"/>
            <w:tcBorders>
              <w:bottom w:val="single" w:sz="8" w:color="auto"/>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Derivative liability financial instruments (level 2)</w:t>
            </w:r>
          </w:p>
        </w:tc>
        <w:tc>
          <w:tcPr>
            <w:tcW w:w="900" w:type="dxa"/>
            <w:vAlign w:val="bottom"/>
            <w:tcBorders>
              <w:bottom w:val="single" w:sz="8" w:color="auto"/>
            </w:tcBorders>
          </w:tcPr>
          <w:p>
            <w:pPr>
              <w:jc w:val="right"/>
              <w:ind w:right="16"/>
              <w:spacing w:after="0" w:line="202" w:lineRule="exact"/>
              <w:rPr>
                <w:sz w:val="20"/>
                <w:szCs w:val="20"/>
                <w:color w:val="auto"/>
              </w:rPr>
            </w:pPr>
            <w:r>
              <w:rPr>
                <w:rFonts w:ascii="Arial" w:cs="Arial" w:eastAsia="Arial" w:hAnsi="Arial"/>
                <w:sz w:val="18"/>
                <w:szCs w:val="18"/>
                <w:color w:val="auto"/>
              </w:rPr>
              <w:t>$ 1.5</w:t>
            </w:r>
          </w:p>
        </w:tc>
        <w:tc>
          <w:tcPr>
            <w:tcW w:w="3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tcBorders>
          </w:tcPr>
          <w:p>
            <w:pPr>
              <w:jc w:val="right"/>
              <w:ind w:right="16"/>
              <w:spacing w:after="0" w:line="202" w:lineRule="exact"/>
              <w:rPr>
                <w:sz w:val="20"/>
                <w:szCs w:val="20"/>
                <w:color w:val="auto"/>
              </w:rPr>
            </w:pPr>
            <w:r>
              <w:rPr>
                <w:rFonts w:ascii="Arial" w:cs="Arial" w:eastAsia="Arial" w:hAnsi="Arial"/>
                <w:sz w:val="18"/>
                <w:szCs w:val="18"/>
                <w:color w:val="auto"/>
              </w:rPr>
              <w:t>$ 1.0</w:t>
            </w:r>
          </w:p>
        </w:tc>
      </w:tr>
    </w:tbl>
    <w:p>
      <w:pPr>
        <w:spacing w:after="0" w:line="165"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The principal derivative financial instruments we enter into on a routine basis are foreign exchange contracts. In addition, from time to time, we enter into commodity swaps. Derivative financial instruments are recorded at fair value.</w:t>
      </w:r>
    </w:p>
    <w:p>
      <w:pPr>
        <w:spacing w:after="0" w:line="15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Authoritative guidance on fair value measurement (ASC 820) establishes a fair value hierarchy that prioritizes the inputs to valuation techniques used to measure fair value into three levels. Level 1 inputs, the highest priority, are quoted prices in active markets for identical assets or liabilities. Level 2 inputs reflect other than quoted prices included in Level 1 that are either observable directly or through corroboration with observable market data. Level 3 inputs are unobservable inputs, due to little or no market activity for the asset or liability, such as internally-developed valuation models. We do not have any assets or liabilities measured at fair value that are Level 3.</w:t>
      </w:r>
    </w:p>
    <w:p>
      <w:pPr>
        <w:spacing w:after="0" w:line="157"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Because the interest rate on the Company’s long-term debt is variable, the aggregate carrying value at December 31, 2011 and 2010 of $406.8 million and $16.8 million, respectively, approximates the fair value.</w:t>
      </w:r>
    </w:p>
    <w:p>
      <w:pPr>
        <w:spacing w:after="0" w:line="155"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In 2011, we recorded intangible asset impairment charges of $90.0 million. Refer to Note 5, “Goodwill and Other Intangible Assets,” for additional information. In accordance with ASC 820, below is the disclosure for assets measured at fair value on a nonrecurring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60801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4240" w:type="dxa"/>
            <w:vAlign w:val="bottom"/>
            <w:gridSpan w:val="2"/>
          </w:tcPr>
          <w:p>
            <w:pPr>
              <w:jc w:val="right"/>
              <w:ind w:right="546"/>
              <w:spacing w:after="0"/>
              <w:rPr>
                <w:sz w:val="20"/>
                <w:szCs w:val="20"/>
                <w:color w:val="auto"/>
              </w:rPr>
            </w:pPr>
            <w:r>
              <w:rPr>
                <w:rFonts w:ascii="Arial" w:cs="Arial" w:eastAsia="Arial" w:hAnsi="Arial"/>
                <w:sz w:val="14"/>
                <w:szCs w:val="14"/>
                <w:color w:val="auto"/>
              </w:rPr>
              <w:t>Fair Value Measurements Using</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6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940" w:type="dxa"/>
            <w:vAlign w:val="bottom"/>
          </w:tcPr>
          <w:p>
            <w:pPr>
              <w:spacing w:after="0"/>
              <w:rPr>
                <w:sz w:val="12"/>
                <w:szCs w:val="12"/>
                <w:color w:val="auto"/>
              </w:rPr>
            </w:pPr>
          </w:p>
        </w:tc>
        <w:tc>
          <w:tcPr>
            <w:tcW w:w="2300" w:type="dxa"/>
            <w:vAlign w:val="bottom"/>
          </w:tcPr>
          <w:p>
            <w:pPr>
              <w:jc w:val="right"/>
              <w:ind w:right="546"/>
              <w:spacing w:after="0" w:line="149" w:lineRule="exact"/>
              <w:rPr>
                <w:sz w:val="20"/>
                <w:szCs w:val="20"/>
                <w:color w:val="auto"/>
              </w:rPr>
            </w:pPr>
            <w:r>
              <w:rPr>
                <w:rFonts w:ascii="Arial" w:cs="Arial" w:eastAsia="Arial" w:hAnsi="Arial"/>
                <w:sz w:val="14"/>
                <w:szCs w:val="14"/>
                <w:color w:val="auto"/>
              </w:rPr>
              <w:t>Significant Unobservable</w:t>
            </w:r>
          </w:p>
        </w:tc>
        <w:tc>
          <w:tcPr>
            <w:tcW w:w="1180" w:type="dxa"/>
            <w:vAlign w:val="bottom"/>
          </w:tcPr>
          <w:p>
            <w:pPr>
              <w:jc w:val="right"/>
              <w:ind w:right="26"/>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4160" w:type="dxa"/>
            <w:vAlign w:val="bottom"/>
            <w:tcBorders>
              <w:bottom w:val="single" w:sz="8" w:color="auto"/>
            </w:tcBorders>
            <w:vMerge w:val="continue"/>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tcPr>
          <w:p>
            <w:pPr>
              <w:jc w:val="right"/>
              <w:ind w:right="546"/>
              <w:spacing w:after="0" w:line="149" w:lineRule="exact"/>
              <w:rPr>
                <w:sz w:val="20"/>
                <w:szCs w:val="20"/>
                <w:color w:val="auto"/>
              </w:rPr>
            </w:pPr>
            <w:r>
              <w:rPr>
                <w:rFonts w:ascii="Arial" w:cs="Arial" w:eastAsia="Arial" w:hAnsi="Arial"/>
                <w:sz w:val="14"/>
                <w:szCs w:val="14"/>
                <w:color w:val="auto"/>
              </w:rPr>
              <w:t>Inputs (level 3)</w:t>
            </w:r>
          </w:p>
        </w:tc>
        <w:tc>
          <w:tcPr>
            <w:tcW w:w="1180" w:type="dxa"/>
            <w:vAlign w:val="bottom"/>
            <w:tcBorders>
              <w:bottom w:val="single" w:sz="8" w:color="auto"/>
            </w:tcBorders>
          </w:tcPr>
          <w:p>
            <w:pPr>
              <w:jc w:val="right"/>
              <w:ind w:right="26"/>
              <w:spacing w:after="0" w:line="149" w:lineRule="exact"/>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203"/>
        </w:trPr>
        <w:tc>
          <w:tcPr>
            <w:tcW w:w="4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Indefinite-lived intangible assets</w:t>
            </w:r>
          </w:p>
        </w:tc>
        <w:tc>
          <w:tcPr>
            <w:tcW w:w="1940" w:type="dxa"/>
            <w:vAlign w:val="bottom"/>
            <w:tcBorders>
              <w:bottom w:val="single" w:sz="8" w:color="auto"/>
            </w:tcBorders>
            <w:shd w:val="clear" w:color="auto" w:fill="CCEEFF"/>
          </w:tcPr>
          <w:p>
            <w:pPr>
              <w:jc w:val="right"/>
              <w:ind w:right="82"/>
              <w:spacing w:after="0" w:line="196" w:lineRule="exact"/>
              <w:rPr>
                <w:sz w:val="20"/>
                <w:szCs w:val="20"/>
                <w:color w:val="auto"/>
              </w:rPr>
            </w:pPr>
            <w:r>
              <w:rPr>
                <w:rFonts w:ascii="Arial" w:cs="Arial" w:eastAsia="Arial" w:hAnsi="Arial"/>
                <w:sz w:val="18"/>
                <w:szCs w:val="18"/>
                <w:color w:val="auto"/>
              </w:rPr>
              <w:t>$</w:t>
            </w:r>
          </w:p>
        </w:tc>
        <w:tc>
          <w:tcPr>
            <w:tcW w:w="2300" w:type="dxa"/>
            <w:vAlign w:val="bottom"/>
            <w:tcBorders>
              <w:bottom w:val="single" w:sz="8" w:color="auto"/>
            </w:tcBorders>
            <w:shd w:val="clear" w:color="auto" w:fill="CCEEFF"/>
          </w:tcPr>
          <w:p>
            <w:pPr>
              <w:jc w:val="right"/>
              <w:ind w:right="546"/>
              <w:spacing w:after="0" w:line="196" w:lineRule="exact"/>
              <w:rPr>
                <w:sz w:val="20"/>
                <w:szCs w:val="20"/>
                <w:color w:val="auto"/>
              </w:rPr>
            </w:pPr>
            <w:r>
              <w:rPr>
                <w:rFonts w:ascii="Arial" w:cs="Arial" w:eastAsia="Arial" w:hAnsi="Arial"/>
                <w:sz w:val="18"/>
                <w:szCs w:val="18"/>
                <w:color w:val="auto"/>
              </w:rPr>
              <w:t>227.0</w:t>
            </w:r>
          </w:p>
        </w:tc>
        <w:tc>
          <w:tcPr>
            <w:tcW w:w="1180" w:type="dxa"/>
            <w:vAlign w:val="bottom"/>
            <w:tcBorders>
              <w:bottom w:val="single" w:sz="8" w:color="auto"/>
            </w:tcBorders>
            <w:shd w:val="clear" w:color="auto" w:fill="CCEEFF"/>
          </w:tcPr>
          <w:p>
            <w:pPr>
              <w:jc w:val="right"/>
              <w:ind w:right="26"/>
              <w:spacing w:after="0" w:line="196" w:lineRule="exact"/>
              <w:rPr>
                <w:sz w:val="20"/>
                <w:szCs w:val="20"/>
                <w:color w:val="auto"/>
              </w:rPr>
            </w:pPr>
            <w:r>
              <w:rPr>
                <w:rFonts w:ascii="Arial" w:cs="Arial" w:eastAsia="Arial" w:hAnsi="Arial"/>
                <w:sz w:val="18"/>
                <w:szCs w:val="18"/>
                <w:color w:val="auto"/>
              </w:rPr>
              <w:t>$ 90.0</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440" w:hanging="432"/>
        <w:spacing w:after="0"/>
        <w:tabs>
          <w:tab w:leader="none" w:pos="4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180"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The Company has 750 million authorized shares of common stock, par value $0.01 per share. The number of shares of common stock and treasury stock and the share activity for 2011 and 2010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405"/>
        </w:trPr>
        <w:tc>
          <w:tcPr>
            <w:tcW w:w="5440" w:type="dxa"/>
            <w:vAlign w:val="bottom"/>
            <w:tcBorders>
              <w:top w:val="single" w:sz="8" w:color="auto"/>
              <w:bottom w:val="single" w:sz="8" w:color="auto"/>
              <w:right w:val="single" w:sz="8" w:color="auto"/>
            </w:tcBorders>
          </w:tcPr>
          <w:p>
            <w:pPr>
              <w:spacing w:after="0"/>
              <w:rPr>
                <w:sz w:val="24"/>
                <w:szCs w:val="24"/>
                <w:color w:val="auto"/>
              </w:rPr>
            </w:pPr>
          </w:p>
        </w:tc>
        <w:tc>
          <w:tcPr>
            <w:tcW w:w="2160" w:type="dxa"/>
            <w:vAlign w:val="bottom"/>
            <w:tcBorders>
              <w:top w:val="single" w:sz="8" w:color="auto"/>
              <w:bottom w:val="single" w:sz="8" w:color="auto"/>
            </w:tcBorders>
            <w:gridSpan w:val="2"/>
          </w:tcPr>
          <w:p>
            <w:pPr>
              <w:ind w:left="1040"/>
              <w:spacing w:after="0"/>
              <w:rPr>
                <w:sz w:val="20"/>
                <w:szCs w:val="20"/>
                <w:color w:val="auto"/>
              </w:rPr>
            </w:pPr>
            <w:r>
              <w:rPr>
                <w:rFonts w:ascii="Arial" w:cs="Arial" w:eastAsia="Arial" w:hAnsi="Arial"/>
                <w:sz w:val="14"/>
                <w:szCs w:val="14"/>
                <w:color w:val="auto"/>
              </w:rPr>
              <w:t>Common Shares</w:t>
            </w:r>
          </w:p>
        </w:tc>
        <w:tc>
          <w:tcPr>
            <w:tcW w:w="980" w:type="dxa"/>
            <w:vAlign w:val="bottom"/>
            <w:tcBorders>
              <w:top w:val="single" w:sz="8" w:color="auto"/>
              <w:bottom w:val="single" w:sz="8" w:color="auto"/>
              <w:right w:val="single" w:sz="8" w:color="auto"/>
            </w:tcBorders>
          </w:tcPr>
          <w:p>
            <w:pPr>
              <w:spacing w:after="0"/>
              <w:rPr>
                <w:sz w:val="24"/>
                <w:szCs w:val="24"/>
                <w:color w:val="auto"/>
              </w:rPr>
            </w:pPr>
          </w:p>
        </w:tc>
        <w:tc>
          <w:tcPr>
            <w:tcW w:w="1960" w:type="dxa"/>
            <w:vAlign w:val="bottom"/>
            <w:tcBorders>
              <w:top w:val="single" w:sz="8" w:color="auto"/>
              <w:bottom w:val="single" w:sz="8" w:color="auto"/>
            </w:tcBorders>
            <w:gridSpan w:val="2"/>
          </w:tcPr>
          <w:p>
            <w:pPr>
              <w:ind w:left="900"/>
              <w:spacing w:after="0"/>
              <w:rPr>
                <w:sz w:val="20"/>
                <w:szCs w:val="20"/>
                <w:color w:val="auto"/>
              </w:rPr>
            </w:pPr>
            <w:r>
              <w:rPr>
                <w:rFonts w:ascii="Arial" w:cs="Arial" w:eastAsia="Arial" w:hAnsi="Arial"/>
                <w:sz w:val="14"/>
                <w:szCs w:val="14"/>
                <w:color w:val="auto"/>
              </w:rPr>
              <w:t>Treasury Shares</w:t>
            </w:r>
          </w:p>
        </w:tc>
        <w:tc>
          <w:tcPr>
            <w:tcW w:w="880" w:type="dxa"/>
            <w:vAlign w:val="bottom"/>
            <w:tcBorders>
              <w:top w:val="single" w:sz="8" w:color="auto"/>
              <w:bottom w:val="single" w:sz="8" w:color="auto"/>
            </w:tcBorders>
          </w:tcPr>
          <w:p>
            <w:pPr>
              <w:spacing w:after="0"/>
              <w:rPr>
                <w:sz w:val="24"/>
                <w:szCs w:val="24"/>
                <w:color w:val="auto"/>
              </w:rPr>
            </w:pPr>
          </w:p>
        </w:tc>
      </w:tr>
      <w:tr>
        <w:trPr>
          <w:trHeight w:val="480"/>
        </w:trPr>
        <w:tc>
          <w:tcPr>
            <w:tcW w:w="54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jc w:val="right"/>
              <w:ind w:right="337"/>
              <w:spacing w:after="0"/>
              <w:rPr>
                <w:sz w:val="20"/>
                <w:szCs w:val="20"/>
                <w:color w:val="auto"/>
              </w:rPr>
            </w:pPr>
            <w:r>
              <w:rPr>
                <w:rFonts w:ascii="Arial" w:cs="Arial" w:eastAsia="Arial" w:hAnsi="Arial"/>
                <w:sz w:val="14"/>
                <w:szCs w:val="14"/>
                <w:i w:val="1"/>
                <w:iCs w:val="1"/>
                <w:color w:val="auto"/>
              </w:rPr>
              <w:t>2011</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jc w:val="right"/>
              <w:ind w:right="336"/>
              <w:spacing w:after="0"/>
              <w:rPr>
                <w:sz w:val="20"/>
                <w:szCs w:val="20"/>
                <w:color w:val="auto"/>
              </w:rPr>
            </w:pPr>
            <w:r>
              <w:rPr>
                <w:rFonts w:ascii="Arial" w:cs="Arial" w:eastAsia="Arial" w:hAnsi="Arial"/>
                <w:sz w:val="14"/>
                <w:szCs w:val="14"/>
                <w:color w:val="auto"/>
              </w:rPr>
              <w:t>2010</w:t>
            </w:r>
          </w:p>
        </w:tc>
        <w:tc>
          <w:tcPr>
            <w:tcW w:w="1500" w:type="dxa"/>
            <w:vAlign w:val="bottom"/>
            <w:tcBorders>
              <w:bottom w:val="single" w:sz="8" w:color="auto"/>
              <w:right w:val="single" w:sz="8" w:color="auto"/>
            </w:tcBorders>
          </w:tcPr>
          <w:p>
            <w:pPr>
              <w:jc w:val="right"/>
              <w:ind w:right="438"/>
              <w:spacing w:after="0"/>
              <w:rPr>
                <w:sz w:val="20"/>
                <w:szCs w:val="20"/>
                <w:color w:val="auto"/>
              </w:rPr>
            </w:pPr>
            <w:r>
              <w:rPr>
                <w:rFonts w:ascii="Arial" w:cs="Arial" w:eastAsia="Arial" w:hAnsi="Arial"/>
                <w:sz w:val="14"/>
                <w:szCs w:val="14"/>
                <w:i w:val="1"/>
                <w:iCs w:val="1"/>
                <w:color w:val="auto"/>
              </w:rPr>
              <w:t>2011</w:t>
            </w: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color w:val="auto"/>
              </w:rPr>
              <w:t>2010</w:t>
            </w:r>
          </w:p>
        </w:tc>
      </w:tr>
      <w:tr>
        <w:trPr>
          <w:trHeight w:val="196"/>
        </w:trPr>
        <w:tc>
          <w:tcPr>
            <w:tcW w:w="5440" w:type="dxa"/>
            <w:vAlign w:val="bottom"/>
            <w:tcBorders>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the beginning of the year</w:t>
            </w:r>
          </w:p>
        </w:tc>
        <w:tc>
          <w:tcPr>
            <w:tcW w:w="1840" w:type="dxa"/>
            <w:vAlign w:val="bottom"/>
            <w:tcBorders>
              <w:right w:val="single" w:sz="8" w:color="auto"/>
            </w:tcBorders>
            <w:shd w:val="clear" w:color="auto" w:fill="CCEEFF"/>
          </w:tcPr>
          <w:p>
            <w:pPr>
              <w:jc w:val="right"/>
              <w:ind w:right="337"/>
              <w:spacing w:after="0" w:line="196" w:lineRule="exact"/>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jc w:val="right"/>
              <w:ind w:right="336"/>
              <w:spacing w:after="0" w:line="196" w:lineRule="exact"/>
              <w:rPr>
                <w:sz w:val="20"/>
                <w:szCs w:val="20"/>
                <w:color w:val="auto"/>
              </w:rPr>
            </w:pPr>
            <w:r>
              <w:rPr>
                <w:rFonts w:ascii="Arial" w:cs="Arial" w:eastAsia="Arial" w:hAnsi="Arial"/>
                <w:sz w:val="18"/>
                <w:szCs w:val="18"/>
                <w:color w:val="auto"/>
              </w:rPr>
              <w:t>1,000</w:t>
            </w:r>
          </w:p>
        </w:tc>
        <w:tc>
          <w:tcPr>
            <w:tcW w:w="1500" w:type="dxa"/>
            <w:vAlign w:val="bottom"/>
            <w:tcBorders>
              <w:right w:val="single" w:sz="8" w:color="auto"/>
            </w:tcBorders>
            <w:shd w:val="clear" w:color="auto" w:fill="CCEEFF"/>
          </w:tcPr>
          <w:p>
            <w:pPr>
              <w:jc w:val="right"/>
              <w:ind w:right="438"/>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36"/>
              <w:spacing w:after="0" w:line="196" w:lineRule="exact"/>
              <w:rPr>
                <w:sz w:val="20"/>
                <w:szCs w:val="20"/>
                <w:color w:val="auto"/>
              </w:rPr>
            </w:pPr>
            <w:r>
              <w:rPr>
                <w:rFonts w:ascii="Arial" w:cs="Arial" w:eastAsia="Arial" w:hAnsi="Arial"/>
                <w:sz w:val="18"/>
                <w:szCs w:val="18"/>
                <w:color w:val="auto"/>
              </w:rPr>
              <w:t>—</w:t>
            </w:r>
          </w:p>
        </w:tc>
      </w:tr>
      <w:tr>
        <w:trPr>
          <w:trHeight w:val="203"/>
        </w:trPr>
        <w:tc>
          <w:tcPr>
            <w:tcW w:w="544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Stock split on September 27, 2011</w:t>
            </w:r>
          </w:p>
        </w:tc>
        <w:tc>
          <w:tcPr>
            <w:tcW w:w="1840" w:type="dxa"/>
            <w:vAlign w:val="bottom"/>
            <w:tcBorders>
              <w:right w:val="single" w:sz="8" w:color="auto"/>
            </w:tcBorders>
          </w:tcPr>
          <w:p>
            <w:pPr>
              <w:jc w:val="right"/>
              <w:ind w:right="337"/>
              <w:spacing w:after="0" w:line="202" w:lineRule="exact"/>
              <w:rPr>
                <w:sz w:val="20"/>
                <w:szCs w:val="20"/>
                <w:color w:val="auto"/>
              </w:rPr>
            </w:pPr>
            <w:r>
              <w:rPr>
                <w:rFonts w:ascii="Arial" w:cs="Arial" w:eastAsia="Arial" w:hAnsi="Arial"/>
                <w:sz w:val="18"/>
                <w:szCs w:val="18"/>
                <w:color w:val="auto"/>
              </w:rPr>
              <w:t>155,051,629</w:t>
            </w:r>
          </w:p>
        </w:tc>
        <w:tc>
          <w:tcPr>
            <w:tcW w:w="320" w:type="dxa"/>
            <w:vAlign w:val="bottom"/>
          </w:tcPr>
          <w:p>
            <w:pPr>
              <w:spacing w:after="0"/>
              <w:rPr>
                <w:sz w:val="17"/>
                <w:szCs w:val="17"/>
                <w:color w:val="auto"/>
              </w:rPr>
            </w:pPr>
          </w:p>
        </w:tc>
        <w:tc>
          <w:tcPr>
            <w:tcW w:w="980" w:type="dxa"/>
            <w:vAlign w:val="bottom"/>
            <w:tcBorders>
              <w:right w:val="single" w:sz="8" w:color="auto"/>
            </w:tcBorders>
          </w:tcPr>
          <w:p>
            <w:pPr>
              <w:jc w:val="right"/>
              <w:ind w:right="336"/>
              <w:spacing w:after="0" w:line="202" w:lineRule="exact"/>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tcPr>
          <w:p>
            <w:pPr>
              <w:jc w:val="right"/>
              <w:ind w:right="438"/>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880" w:type="dxa"/>
            <w:vAlign w:val="bottom"/>
          </w:tcPr>
          <w:p>
            <w:pPr>
              <w:jc w:val="right"/>
              <w:ind w:right="436"/>
              <w:spacing w:after="0" w:line="202" w:lineRule="exact"/>
              <w:rPr>
                <w:sz w:val="20"/>
                <w:szCs w:val="20"/>
                <w:color w:val="auto"/>
              </w:rPr>
            </w:pPr>
            <w:r>
              <w:rPr>
                <w:rFonts w:ascii="Arial" w:cs="Arial" w:eastAsia="Arial" w:hAnsi="Arial"/>
                <w:sz w:val="18"/>
                <w:szCs w:val="18"/>
                <w:color w:val="auto"/>
              </w:rPr>
              <w:t>—</w:t>
            </w:r>
          </w:p>
        </w:tc>
      </w:tr>
      <w:tr>
        <w:trPr>
          <w:trHeight w:val="203"/>
        </w:trPr>
        <w:tc>
          <w:tcPr>
            <w:tcW w:w="544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Stock plan shares issued</w:t>
            </w:r>
          </w:p>
        </w:tc>
        <w:tc>
          <w:tcPr>
            <w:tcW w:w="1840" w:type="dxa"/>
            <w:vAlign w:val="bottom"/>
            <w:tcBorders>
              <w:right w:val="single" w:sz="8" w:color="auto"/>
            </w:tcBorders>
            <w:shd w:val="clear" w:color="auto" w:fill="CCEEFF"/>
          </w:tcPr>
          <w:p>
            <w:pPr>
              <w:jc w:val="right"/>
              <w:ind w:right="337"/>
              <w:spacing w:after="0" w:line="202" w:lineRule="exact"/>
              <w:rPr>
                <w:sz w:val="20"/>
                <w:szCs w:val="20"/>
                <w:color w:val="auto"/>
              </w:rPr>
            </w:pPr>
            <w:r>
              <w:rPr>
                <w:rFonts w:ascii="Arial" w:cs="Arial" w:eastAsia="Arial" w:hAnsi="Arial"/>
                <w:sz w:val="18"/>
                <w:szCs w:val="18"/>
                <w:color w:val="auto"/>
              </w:rPr>
              <w:t>958,860</w:t>
            </w:r>
          </w:p>
        </w:tc>
        <w:tc>
          <w:tcPr>
            <w:tcW w:w="320" w:type="dxa"/>
            <w:vAlign w:val="bottom"/>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jc w:val="right"/>
              <w:ind w:right="336"/>
              <w:spacing w:after="0" w:line="202" w:lineRule="exact"/>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shd w:val="clear" w:color="auto" w:fill="CCEEFF"/>
          </w:tcPr>
          <w:p>
            <w:pPr>
              <w:jc w:val="right"/>
              <w:ind w:right="438"/>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36"/>
              <w:spacing w:after="0" w:line="202" w:lineRule="exact"/>
              <w:rPr>
                <w:sz w:val="20"/>
                <w:szCs w:val="20"/>
                <w:color w:val="auto"/>
              </w:rPr>
            </w:pPr>
            <w:r>
              <w:rPr>
                <w:rFonts w:ascii="Arial" w:cs="Arial" w:eastAsia="Arial" w:hAnsi="Arial"/>
                <w:sz w:val="18"/>
                <w:szCs w:val="18"/>
                <w:color w:val="auto"/>
              </w:rPr>
              <w:t>—</w:t>
            </w:r>
          </w:p>
        </w:tc>
      </w:tr>
      <w:tr>
        <w:trPr>
          <w:trHeight w:val="203"/>
        </w:trPr>
        <w:tc>
          <w:tcPr>
            <w:tcW w:w="5440" w:type="dxa"/>
            <w:vAlign w:val="bottom"/>
            <w:tcBorders>
              <w:bottom w:val="single" w:sz="8" w:color="auto"/>
              <w:right w:val="single" w:sz="8" w:color="auto"/>
            </w:tcBorders>
          </w:tcPr>
          <w:p>
            <w:pPr>
              <w:spacing w:after="0" w:line="202" w:lineRule="exact"/>
              <w:rPr>
                <w:sz w:val="20"/>
                <w:szCs w:val="20"/>
                <w:color w:val="auto"/>
              </w:rPr>
            </w:pPr>
            <w:r>
              <w:rPr>
                <w:rFonts w:ascii="Arial" w:cs="Arial" w:eastAsia="Arial" w:hAnsi="Arial"/>
                <w:sz w:val="18"/>
                <w:szCs w:val="18"/>
                <w:color w:val="auto"/>
              </w:rPr>
              <w:t>Shares surrendered by optionees</w:t>
            </w:r>
          </w:p>
        </w:tc>
        <w:tc>
          <w:tcPr>
            <w:tcW w:w="1840" w:type="dxa"/>
            <w:vAlign w:val="bottom"/>
            <w:tcBorders>
              <w:bottom w:val="single" w:sz="8" w:color="auto"/>
              <w:right w:val="single" w:sz="8" w:color="auto"/>
            </w:tcBorders>
          </w:tcPr>
          <w:p>
            <w:pPr>
              <w:jc w:val="right"/>
              <w:ind w:right="277"/>
              <w:spacing w:after="0" w:line="202" w:lineRule="exact"/>
              <w:rPr>
                <w:sz w:val="20"/>
                <w:szCs w:val="20"/>
                <w:color w:val="auto"/>
              </w:rPr>
            </w:pPr>
            <w:r>
              <w:rPr>
                <w:rFonts w:ascii="Arial" w:cs="Arial" w:eastAsia="Arial" w:hAnsi="Arial"/>
                <w:sz w:val="18"/>
                <w:szCs w:val="18"/>
                <w:color w:val="auto"/>
              </w:rPr>
              <w:t>(3,357)</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right"/>
              <w:ind w:right="336"/>
              <w:spacing w:after="0" w:line="202" w:lineRule="exact"/>
              <w:rPr>
                <w:sz w:val="20"/>
                <w:szCs w:val="20"/>
                <w:color w:val="auto"/>
              </w:rPr>
            </w:pP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jc w:val="right"/>
              <w:ind w:right="438"/>
              <w:spacing w:after="0" w:line="202" w:lineRule="exact"/>
              <w:rPr>
                <w:sz w:val="20"/>
                <w:szCs w:val="20"/>
                <w:color w:val="auto"/>
              </w:rPr>
            </w:pPr>
            <w:r>
              <w:rPr>
                <w:rFonts w:ascii="Arial" w:cs="Arial" w:eastAsia="Arial" w:hAnsi="Arial"/>
                <w:sz w:val="18"/>
                <w:szCs w:val="18"/>
                <w:color w:val="auto"/>
              </w:rPr>
              <w:t>3,357</w:t>
            </w: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6"/>
              <w:spacing w:after="0" w:line="202" w:lineRule="exact"/>
              <w:rPr>
                <w:sz w:val="20"/>
                <w:szCs w:val="20"/>
                <w:color w:val="auto"/>
              </w:rPr>
            </w:pPr>
            <w:r>
              <w:rPr>
                <w:rFonts w:ascii="Arial" w:cs="Arial" w:eastAsia="Arial" w:hAnsi="Arial"/>
                <w:sz w:val="18"/>
                <w:szCs w:val="18"/>
                <w:color w:val="auto"/>
              </w:rPr>
              <w:t>—</w:t>
            </w:r>
          </w:p>
        </w:tc>
      </w:tr>
      <w:tr>
        <w:trPr>
          <w:trHeight w:val="203"/>
        </w:trPr>
        <w:tc>
          <w:tcPr>
            <w:tcW w:w="5440" w:type="dxa"/>
            <w:vAlign w:val="bottom"/>
            <w:tcBorders>
              <w:bottom w:val="single" w:sz="8" w:color="auto"/>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the end of the year</w:t>
            </w:r>
          </w:p>
        </w:tc>
        <w:tc>
          <w:tcPr>
            <w:tcW w:w="1840" w:type="dxa"/>
            <w:vAlign w:val="bottom"/>
            <w:tcBorders>
              <w:bottom w:val="single" w:sz="8" w:color="auto"/>
              <w:right w:val="single" w:sz="8" w:color="auto"/>
            </w:tcBorders>
            <w:shd w:val="clear" w:color="auto" w:fill="CCEEFF"/>
          </w:tcPr>
          <w:p>
            <w:pPr>
              <w:jc w:val="right"/>
              <w:ind w:right="337"/>
              <w:spacing w:after="0" w:line="196" w:lineRule="exact"/>
              <w:rPr>
                <w:sz w:val="20"/>
                <w:szCs w:val="20"/>
                <w:color w:val="auto"/>
              </w:rPr>
            </w:pPr>
            <w:r>
              <w:rPr>
                <w:rFonts w:ascii="Arial" w:cs="Arial" w:eastAsia="Arial" w:hAnsi="Arial"/>
                <w:sz w:val="18"/>
                <w:szCs w:val="18"/>
                <w:color w:val="auto"/>
              </w:rPr>
              <w:t>156,008,132</w:t>
            </w: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right w:val="single" w:sz="8" w:color="auto"/>
            </w:tcBorders>
            <w:shd w:val="clear" w:color="auto" w:fill="CCEEFF"/>
          </w:tcPr>
          <w:p>
            <w:pPr>
              <w:jc w:val="right"/>
              <w:ind w:right="336"/>
              <w:spacing w:after="0" w:line="196" w:lineRule="exact"/>
              <w:rPr>
                <w:sz w:val="20"/>
                <w:szCs w:val="20"/>
                <w:color w:val="auto"/>
              </w:rPr>
            </w:pPr>
            <w:r>
              <w:rPr>
                <w:rFonts w:ascii="Arial" w:cs="Arial" w:eastAsia="Arial" w:hAnsi="Arial"/>
                <w:sz w:val="18"/>
                <w:szCs w:val="18"/>
                <w:color w:val="auto"/>
              </w:rPr>
              <w:t>1,000</w:t>
            </w:r>
          </w:p>
        </w:tc>
        <w:tc>
          <w:tcPr>
            <w:tcW w:w="1500" w:type="dxa"/>
            <w:vAlign w:val="bottom"/>
            <w:tcBorders>
              <w:bottom w:val="single" w:sz="8" w:color="auto"/>
              <w:right w:val="single" w:sz="8" w:color="auto"/>
            </w:tcBorders>
            <w:shd w:val="clear" w:color="auto" w:fill="CCEEFF"/>
          </w:tcPr>
          <w:p>
            <w:pPr>
              <w:jc w:val="right"/>
              <w:ind w:right="438"/>
              <w:spacing w:after="0" w:line="196" w:lineRule="exact"/>
              <w:rPr>
                <w:sz w:val="20"/>
                <w:szCs w:val="20"/>
                <w:color w:val="auto"/>
              </w:rPr>
            </w:pPr>
            <w:r>
              <w:rPr>
                <w:rFonts w:ascii="Arial" w:cs="Arial" w:eastAsia="Arial" w:hAnsi="Arial"/>
                <w:sz w:val="18"/>
                <w:szCs w:val="18"/>
                <w:color w:val="auto"/>
              </w:rPr>
              <w:t>3,357</w:t>
            </w: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436"/>
              <w:spacing w:after="0" w:line="196" w:lineRule="exact"/>
              <w:rPr>
                <w:sz w:val="20"/>
                <w:szCs w:val="20"/>
                <w:color w:val="auto"/>
              </w:rPr>
            </w:pPr>
            <w:r>
              <w:rPr>
                <w:rFonts w:ascii="Arial" w:cs="Arial" w:eastAsia="Arial" w:hAnsi="Arial"/>
                <w:sz w:val="18"/>
                <w:szCs w:val="18"/>
                <w:color w:val="auto"/>
              </w:rPr>
              <w:t>—</w:t>
            </w:r>
          </w:p>
        </w:tc>
      </w:tr>
      <w:tr>
        <w:trPr>
          <w:trHeight w:val="363"/>
        </w:trPr>
        <w:tc>
          <w:tcPr>
            <w:tcW w:w="5440" w:type="dxa"/>
            <w:vAlign w:val="bottom"/>
          </w:tcPr>
          <w:p>
            <w:pPr>
              <w:spacing w:after="0"/>
              <w:rPr>
                <w:sz w:val="24"/>
                <w:szCs w:val="24"/>
                <w:color w:val="auto"/>
              </w:rPr>
            </w:pPr>
          </w:p>
        </w:tc>
        <w:tc>
          <w:tcPr>
            <w:tcW w:w="1840" w:type="dxa"/>
            <w:vAlign w:val="bottom"/>
          </w:tcPr>
          <w:p>
            <w:pPr>
              <w:jc w:val="right"/>
              <w:ind w:right="1377"/>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Since the Separation, no dividends have been paid on our common stock.</w:t>
      </w:r>
    </w:p>
    <w:p>
      <w:pPr>
        <w:spacing w:after="0" w:line="158"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The Company has 60,000,000 authorized shares of preferred stock, par value $0.01 per share. Of the 60,000,000 shares authorized, 750,000 shares have been designated as Series A Junior Participating Preferred Stock, par value $0.01 per share. At December 31, 2011, no shares of our preferred stock were outstanding, and we have no present plans to issue any shares of preferred stock. Our Board of Directors has the authority, without action by the Company’s stockholders, to designate and issue our preferred stock in one or more series and to designate the rights, preferences, limitations and privileges of each series of preferred stock, which may be greater than the rights of the Company’s common stock.</w:t>
      </w:r>
    </w:p>
    <w:p>
      <w:pPr>
        <w:spacing w:after="0" w:line="129"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Effective September 6, 2011, the Company’s Board of Directors adopted a stockholder rights plan (the “Rights Plan”) and declared a dividend distribution of one right for each outstanding share of common stock. Each right entitles the holder to purchase from the Company one one-thousandth of a share of Series A Junior Participating Preferred Stock, par value $0.01 per share, at an initial exercise price of $65.00 per one one-thousandth of a share. The Rights Plan is intended to protect the Company’s stockholders against any coercive, unfair or inadequate tender offers and other abusive takeover tactics that may or may not occur and to preserve the Company’s long-term value for the benefit of its stockholders. Rights become exercisable after ten days following the acquisition by a person or group of 15% or more of the Company’s outstanding common stock, or ten business days (or later if determined by the Board of Directors in accordance with the plan) after the commencement of a tender offer or exchange offer to acquire 15% or more of the outstanding common stock. If such a person or group acquires 15% or more of the common stock, each right (other than such person’s or group’s rights, which will become void) will entitle the holder to purchase, at the exercise price, common stock having a market value equal to twice the exercise price. In certain circumstances, the rights may be redeemed by the Company at an initial redemption price of $0.01 per right. If not redeemed, the rights will expire on October 3, 2012.</w:t>
      </w:r>
    </w:p>
    <w:p>
      <w:pPr>
        <w:spacing w:after="0" w:line="314" w:lineRule="exact"/>
        <w:rPr>
          <w:sz w:val="20"/>
          <w:szCs w:val="20"/>
          <w:color w:val="auto"/>
        </w:rPr>
      </w:pPr>
    </w:p>
    <w:p>
      <w:pPr>
        <w:ind w:left="440" w:hanging="432"/>
        <w:spacing w:after="0"/>
        <w:tabs>
          <w:tab w:leader="none" w:pos="4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80" w:lineRule="exact"/>
        <w:rPr>
          <w:sz w:val="20"/>
          <w:szCs w:val="20"/>
          <w:color w:val="auto"/>
        </w:rPr>
      </w:pPr>
    </w:p>
    <w:p>
      <w:pPr>
        <w:jc w:val="both"/>
        <w:ind w:right="540"/>
        <w:spacing w:after="0" w:line="264" w:lineRule="auto"/>
        <w:rPr>
          <w:sz w:val="20"/>
          <w:szCs w:val="20"/>
          <w:color w:val="auto"/>
        </w:rPr>
      </w:pPr>
      <w:r>
        <w:rPr>
          <w:rFonts w:ascii="Arial" w:cs="Arial" w:eastAsia="Arial" w:hAnsi="Arial"/>
          <w:sz w:val="16"/>
          <w:szCs w:val="16"/>
          <w:color w:val="auto"/>
        </w:rPr>
        <w:t>Prior to and in connection with the Separation, the Company adopted, and our Former Parent as its sole stockholder prior to the Separation approved, the Fortune Brands Home &amp; Security, Inc. 2011 Long-Term Incentive Plan (the “Plan”). The Plan provides for the granting of stock options, performance share awards, restricted stock units, and other equity-based awards, to employees and consultants. A maximum of</w:t>
      </w:r>
    </w:p>
    <w:p>
      <w:pPr>
        <w:spacing w:after="0" w:line="1"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30.0 million shares of common stock may be awarded under the Plan. As of December 31, 2011, 6.7 million shares of Home &amp; Security common stock were available for issuance under this Plan. Upon the exercise of stock options or the payout of restricted stock units, shares of common stock are issued from authorized common shares. Prior to the Separation, employees of Home &amp; Security participated in our Former Parents’ stock-based compensation plans.</w:t>
      </w:r>
    </w:p>
    <w:p>
      <w:pPr>
        <w:spacing w:after="0" w:line="15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At the time of the Separation, all outstanding equity awards granted by our Former Parent held by Home &amp; Security employees were converted into Home &amp; Security equity. The manner of conversion for each employee was determined based on the type of award, vesting status of the award, and the employment status of the employee at the Separation date of October 3, 2011.</w:t>
      </w:r>
    </w:p>
    <w:p>
      <w:pPr>
        <w:spacing w:after="0" w:line="15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conversion of stock options constituted a modification of those stock option awards under the provisions of ASC 718 because certain awards did not have antidilution provisions. Stock-based compensation relating to the incremental fair value between Former Parent awards held prior to the Separation and Home &amp; Security awards subsequent to the modification resulted in additional pre-tax stock-based compensation charges of $2.4 million related to previously vested options.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All stock-based compensation to employees is required to be measured at fair value and expensed over the requisite service period. The Company recognizes compensation expense on awards on a straight-line basis over the requisite service period for the entire award. Stock options granted under the Plan generally vest over a three-year period and have a maturity of ten years from the grant date.</w:t>
      </w:r>
    </w:p>
    <w:p>
      <w:pPr>
        <w:spacing w:after="0" w:line="154"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Restricted stock units have been granted to certain officers of the Company and represent the right to receive unrestricted shares of stock based on service. Certain restricted stock units are also subject to attaining specific performance criteria and are generally subject to performance criteria. Compensation cost is recognized over the service period. The fair value of each restricted stock unit granted is equal to the share price at the date of grant. Restricted stock units generally vest after a three-year period (although certain grants vest after two or four years).</w:t>
      </w:r>
    </w:p>
    <w:p>
      <w:pPr>
        <w:spacing w:after="0" w:line="129"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The fair value of Home &amp; Security options granted subsequent to the Separation and our Former Parents’ stock options granted to Home &amp; Security employees prior to the Separation for the years ended December 31, 2011, 2010 and 2009 was estimated at the date of grant using a Black-Scholes option pricing model with the assumptions shown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404"/>
        </w:trPr>
        <w:tc>
          <w:tcPr>
            <w:tcW w:w="5840" w:type="dxa"/>
            <w:vAlign w:val="bottom"/>
            <w:tcBorders>
              <w:top w:val="single" w:sz="8" w:color="auto"/>
              <w:right w:val="single" w:sz="8" w:color="auto"/>
            </w:tcBorders>
          </w:tcPr>
          <w:p>
            <w:pPr>
              <w:spacing w:after="0"/>
              <w:rPr>
                <w:sz w:val="24"/>
                <w:szCs w:val="24"/>
                <w:color w:val="auto"/>
              </w:rPr>
            </w:pPr>
          </w:p>
        </w:tc>
        <w:tc>
          <w:tcPr>
            <w:tcW w:w="1460" w:type="dxa"/>
            <w:vAlign w:val="bottom"/>
            <w:tcBorders>
              <w:top w:val="single" w:sz="8" w:color="auto"/>
              <w:right w:val="single" w:sz="8" w:color="auto"/>
            </w:tcBorders>
          </w:tcPr>
          <w:p>
            <w:pPr>
              <w:jc w:val="right"/>
              <w:ind w:right="161"/>
              <w:spacing w:after="0"/>
              <w:rPr>
                <w:sz w:val="20"/>
                <w:szCs w:val="20"/>
                <w:color w:val="auto"/>
              </w:rPr>
            </w:pPr>
            <w:r>
              <w:rPr>
                <w:rFonts w:ascii="Arial" w:cs="Arial" w:eastAsia="Arial" w:hAnsi="Arial"/>
                <w:sz w:val="14"/>
                <w:szCs w:val="14"/>
                <w:color w:val="auto"/>
              </w:rPr>
              <w:t>Home &amp; Security</w:t>
            </w:r>
          </w:p>
        </w:tc>
        <w:tc>
          <w:tcPr>
            <w:tcW w:w="14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jc w:val="right"/>
              <w:ind w:right="261"/>
              <w:spacing w:after="0"/>
              <w:rPr>
                <w:sz w:val="20"/>
                <w:szCs w:val="20"/>
                <w:color w:val="auto"/>
              </w:rPr>
            </w:pPr>
            <w:r>
              <w:rPr>
                <w:rFonts w:ascii="Arial" w:cs="Arial" w:eastAsia="Arial" w:hAnsi="Arial"/>
                <w:sz w:val="14"/>
                <w:szCs w:val="14"/>
                <w:color w:val="auto"/>
              </w:rPr>
              <w:t>Former Parent</w:t>
            </w:r>
          </w:p>
        </w:tc>
        <w:tc>
          <w:tcPr>
            <w:tcW w:w="1180" w:type="dxa"/>
            <w:vAlign w:val="bottom"/>
            <w:tcBorders>
              <w:top w:val="single" w:sz="8" w:color="auto"/>
            </w:tcBorders>
          </w:tcPr>
          <w:p>
            <w:pPr>
              <w:spacing w:after="0"/>
              <w:rPr>
                <w:sz w:val="24"/>
                <w:szCs w:val="24"/>
                <w:color w:val="auto"/>
              </w:rPr>
            </w:pPr>
          </w:p>
        </w:tc>
      </w:tr>
      <w:tr>
        <w:trPr>
          <w:trHeight w:val="163"/>
        </w:trPr>
        <w:tc>
          <w:tcPr>
            <w:tcW w:w="584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jc w:val="right"/>
              <w:ind w:right="481"/>
              <w:spacing w:after="0"/>
              <w:rPr>
                <w:sz w:val="20"/>
                <w:szCs w:val="20"/>
                <w:color w:val="auto"/>
              </w:rPr>
            </w:pPr>
            <w:r>
              <w:rPr>
                <w:rFonts w:ascii="Arial" w:cs="Arial" w:eastAsia="Arial" w:hAnsi="Arial"/>
                <w:sz w:val="14"/>
                <w:szCs w:val="14"/>
                <w:color w:val="auto"/>
              </w:rPr>
              <w:t>grants</w:t>
            </w:r>
          </w:p>
        </w:tc>
        <w:tc>
          <w:tcPr>
            <w:tcW w:w="1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color w:val="auto"/>
              </w:rPr>
              <w:t>grants</w:t>
            </w:r>
          </w:p>
        </w:tc>
        <w:tc>
          <w:tcPr>
            <w:tcW w:w="1180" w:type="dxa"/>
            <w:vAlign w:val="bottom"/>
            <w:tcBorders>
              <w:bottom w:val="single" w:sz="8" w:color="auto"/>
            </w:tcBorders>
          </w:tcPr>
          <w:p>
            <w:pPr>
              <w:spacing w:after="0"/>
              <w:rPr>
                <w:sz w:val="14"/>
                <w:szCs w:val="14"/>
                <w:color w:val="auto"/>
              </w:rPr>
            </w:pPr>
          </w:p>
        </w:tc>
      </w:tr>
      <w:tr>
        <w:trPr>
          <w:trHeight w:val="480"/>
        </w:trPr>
        <w:tc>
          <w:tcPr>
            <w:tcW w:w="584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jc w:val="right"/>
              <w:ind w:right="321"/>
              <w:spacing w:after="0"/>
              <w:rPr>
                <w:sz w:val="20"/>
                <w:szCs w:val="20"/>
                <w:color w:val="auto"/>
              </w:rPr>
            </w:pPr>
            <w:r>
              <w:rPr>
                <w:rFonts w:ascii="Arial" w:cs="Arial" w:eastAsia="Arial" w:hAnsi="Arial"/>
                <w:sz w:val="14"/>
                <w:szCs w:val="14"/>
                <w:i w:val="1"/>
                <w:iCs w:val="1"/>
                <w:color w:val="auto"/>
              </w:rPr>
              <w:t>2011</w:t>
            </w:r>
          </w:p>
        </w:tc>
        <w:tc>
          <w:tcPr>
            <w:tcW w:w="1460" w:type="dxa"/>
            <w:vAlign w:val="bottom"/>
            <w:tcBorders>
              <w:bottom w:val="single" w:sz="8" w:color="auto"/>
              <w:right w:val="single" w:sz="8" w:color="auto"/>
            </w:tcBorders>
          </w:tcPr>
          <w:p>
            <w:pPr>
              <w:jc w:val="right"/>
              <w:ind w:right="276"/>
              <w:spacing w:after="0"/>
              <w:rPr>
                <w:sz w:val="20"/>
                <w:szCs w:val="20"/>
                <w:color w:val="auto"/>
              </w:rPr>
            </w:pPr>
            <w:r>
              <w:rPr>
                <w:rFonts w:ascii="Arial" w:cs="Arial" w:eastAsia="Arial" w:hAnsi="Arial"/>
                <w:sz w:val="14"/>
                <w:szCs w:val="14"/>
                <w:i w:val="1"/>
                <w:iCs w:val="1"/>
                <w:color w:val="auto"/>
              </w:rPr>
              <w:t>2011</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color w:val="auto"/>
              </w:rPr>
              <w:t>2010</w:t>
            </w: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2009</w:t>
            </w:r>
          </w:p>
        </w:tc>
      </w:tr>
      <w:tr>
        <w:trPr>
          <w:trHeight w:val="196"/>
        </w:trPr>
        <w:tc>
          <w:tcPr>
            <w:tcW w:w="5840" w:type="dxa"/>
            <w:vAlign w:val="bottom"/>
            <w:tcBorders>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Current expected dividend yield</w:t>
            </w:r>
          </w:p>
        </w:tc>
        <w:tc>
          <w:tcPr>
            <w:tcW w:w="1460" w:type="dxa"/>
            <w:vAlign w:val="bottom"/>
            <w:tcBorders>
              <w:right w:val="single" w:sz="8" w:color="auto"/>
            </w:tcBorders>
            <w:shd w:val="clear" w:color="auto" w:fill="CCEEFF"/>
          </w:tcPr>
          <w:p>
            <w:pPr>
              <w:jc w:val="right"/>
              <w:ind w:right="161"/>
              <w:spacing w:after="0" w:line="196" w:lineRule="exact"/>
              <w:rPr>
                <w:sz w:val="20"/>
                <w:szCs w:val="20"/>
                <w:color w:val="auto"/>
              </w:rPr>
            </w:pPr>
            <w:r>
              <w:rPr>
                <w:rFonts w:ascii="Arial" w:cs="Arial" w:eastAsia="Arial" w:hAnsi="Arial"/>
                <w:sz w:val="18"/>
                <w:szCs w:val="18"/>
                <w:color w:val="auto"/>
              </w:rPr>
              <w:t>1.5%</w:t>
            </w:r>
          </w:p>
        </w:tc>
        <w:tc>
          <w:tcPr>
            <w:tcW w:w="1460" w:type="dxa"/>
            <w:vAlign w:val="bottom"/>
            <w:tcBorders>
              <w:right w:val="single" w:sz="8" w:color="auto"/>
            </w:tcBorders>
            <w:shd w:val="clear" w:color="auto" w:fill="CCEEFF"/>
          </w:tcPr>
          <w:p>
            <w:pPr>
              <w:jc w:val="right"/>
              <w:ind w:right="276"/>
              <w:spacing w:after="0" w:line="196" w:lineRule="exact"/>
              <w:rPr>
                <w:sz w:val="20"/>
                <w:szCs w:val="20"/>
                <w:color w:val="auto"/>
              </w:rPr>
            </w:pPr>
            <w:r>
              <w:rPr>
                <w:rFonts w:ascii="Arial" w:cs="Arial" w:eastAsia="Arial" w:hAnsi="Arial"/>
                <w:sz w:val="18"/>
                <w:szCs w:val="18"/>
                <w:color w:val="auto"/>
              </w:rPr>
              <w:t>2.0%</w:t>
            </w:r>
          </w:p>
        </w:tc>
        <w:tc>
          <w:tcPr>
            <w:tcW w:w="1480" w:type="dxa"/>
            <w:vAlign w:val="bottom"/>
            <w:shd w:val="clear" w:color="auto" w:fill="CCEEFF"/>
          </w:tcPr>
          <w:p>
            <w:pPr>
              <w:jc w:val="right"/>
              <w:ind w:right="301"/>
              <w:spacing w:after="0" w:line="196" w:lineRule="exact"/>
              <w:rPr>
                <w:sz w:val="20"/>
                <w:szCs w:val="20"/>
                <w:color w:val="auto"/>
              </w:rPr>
            </w:pPr>
            <w:r>
              <w:rPr>
                <w:rFonts w:ascii="Arial" w:cs="Arial" w:eastAsia="Arial" w:hAnsi="Arial"/>
                <w:sz w:val="18"/>
                <w:szCs w:val="18"/>
                <w:color w:val="auto"/>
              </w:rPr>
              <w:t>2.1%</w:t>
            </w:r>
          </w:p>
        </w:tc>
        <w:tc>
          <w:tcPr>
            <w:tcW w:w="118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2.1%</w:t>
            </w:r>
          </w:p>
        </w:tc>
      </w:tr>
      <w:tr>
        <w:trPr>
          <w:trHeight w:val="203"/>
        </w:trPr>
        <w:tc>
          <w:tcPr>
            <w:tcW w:w="584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Expected volatility</w:t>
            </w:r>
          </w:p>
        </w:tc>
        <w:tc>
          <w:tcPr>
            <w:tcW w:w="1460" w:type="dxa"/>
            <w:vAlign w:val="bottom"/>
            <w:tcBorders>
              <w:right w:val="single" w:sz="8" w:color="auto"/>
            </w:tcBorders>
          </w:tcPr>
          <w:p>
            <w:pPr>
              <w:jc w:val="right"/>
              <w:ind w:right="161"/>
              <w:spacing w:after="0" w:line="202" w:lineRule="exact"/>
              <w:rPr>
                <w:sz w:val="20"/>
                <w:szCs w:val="20"/>
                <w:color w:val="auto"/>
              </w:rPr>
            </w:pPr>
            <w:r>
              <w:rPr>
                <w:rFonts w:ascii="Arial" w:cs="Arial" w:eastAsia="Arial" w:hAnsi="Arial"/>
                <w:sz w:val="18"/>
                <w:szCs w:val="18"/>
                <w:color w:val="auto"/>
              </w:rPr>
              <w:t>39.0%</w:t>
            </w:r>
          </w:p>
        </w:tc>
        <w:tc>
          <w:tcPr>
            <w:tcW w:w="1460" w:type="dxa"/>
            <w:vAlign w:val="bottom"/>
            <w:tcBorders>
              <w:right w:val="single" w:sz="8" w:color="auto"/>
            </w:tcBorders>
          </w:tcPr>
          <w:p>
            <w:pPr>
              <w:jc w:val="right"/>
              <w:ind w:right="276"/>
              <w:spacing w:after="0" w:line="202" w:lineRule="exact"/>
              <w:rPr>
                <w:sz w:val="20"/>
                <w:szCs w:val="20"/>
                <w:color w:val="auto"/>
              </w:rPr>
            </w:pPr>
            <w:r>
              <w:rPr>
                <w:rFonts w:ascii="Arial" w:cs="Arial" w:eastAsia="Arial" w:hAnsi="Arial"/>
                <w:sz w:val="18"/>
                <w:szCs w:val="18"/>
                <w:color w:val="auto"/>
              </w:rPr>
              <w:t>33.2%</w:t>
            </w:r>
          </w:p>
        </w:tc>
        <w:tc>
          <w:tcPr>
            <w:tcW w:w="1480" w:type="dxa"/>
            <w:vAlign w:val="bottom"/>
          </w:tcPr>
          <w:p>
            <w:pPr>
              <w:jc w:val="right"/>
              <w:ind w:right="301"/>
              <w:spacing w:after="0" w:line="202" w:lineRule="exact"/>
              <w:rPr>
                <w:sz w:val="20"/>
                <w:szCs w:val="20"/>
                <w:color w:val="auto"/>
              </w:rPr>
            </w:pPr>
            <w:r>
              <w:rPr>
                <w:rFonts w:ascii="Arial" w:cs="Arial" w:eastAsia="Arial" w:hAnsi="Arial"/>
                <w:sz w:val="18"/>
                <w:szCs w:val="18"/>
                <w:color w:val="auto"/>
              </w:rPr>
              <w:t>34.1%</w:t>
            </w:r>
          </w:p>
        </w:tc>
        <w:tc>
          <w:tcPr>
            <w:tcW w:w="11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33.3%</w:t>
            </w:r>
          </w:p>
        </w:tc>
      </w:tr>
      <w:tr>
        <w:trPr>
          <w:trHeight w:val="203"/>
        </w:trPr>
        <w:tc>
          <w:tcPr>
            <w:tcW w:w="584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460" w:type="dxa"/>
            <w:vAlign w:val="bottom"/>
            <w:tcBorders>
              <w:right w:val="single" w:sz="8" w:color="auto"/>
            </w:tcBorders>
            <w:shd w:val="clear" w:color="auto" w:fill="CCEEFF"/>
          </w:tcPr>
          <w:p>
            <w:pPr>
              <w:jc w:val="right"/>
              <w:ind w:right="161"/>
              <w:spacing w:after="0" w:line="202" w:lineRule="exact"/>
              <w:rPr>
                <w:sz w:val="20"/>
                <w:szCs w:val="20"/>
                <w:color w:val="auto"/>
              </w:rPr>
            </w:pPr>
            <w:r>
              <w:rPr>
                <w:rFonts w:ascii="Arial" w:cs="Arial" w:eastAsia="Arial" w:hAnsi="Arial"/>
                <w:sz w:val="18"/>
                <w:szCs w:val="18"/>
                <w:color w:val="auto"/>
              </w:rPr>
              <w:t>1.2%</w:t>
            </w:r>
          </w:p>
        </w:tc>
        <w:tc>
          <w:tcPr>
            <w:tcW w:w="1460" w:type="dxa"/>
            <w:vAlign w:val="bottom"/>
            <w:tcBorders>
              <w:right w:val="single" w:sz="8" w:color="auto"/>
            </w:tcBorders>
            <w:shd w:val="clear" w:color="auto" w:fill="CCEEFF"/>
          </w:tcPr>
          <w:p>
            <w:pPr>
              <w:jc w:val="right"/>
              <w:ind w:right="276"/>
              <w:spacing w:after="0" w:line="202" w:lineRule="exact"/>
              <w:rPr>
                <w:sz w:val="20"/>
                <w:szCs w:val="20"/>
                <w:color w:val="auto"/>
              </w:rPr>
            </w:pPr>
            <w:r>
              <w:rPr>
                <w:rFonts w:ascii="Arial" w:cs="Arial" w:eastAsia="Arial" w:hAnsi="Arial"/>
                <w:sz w:val="18"/>
                <w:szCs w:val="18"/>
                <w:color w:val="auto"/>
              </w:rPr>
              <w:t>2.3%</w:t>
            </w:r>
          </w:p>
        </w:tc>
        <w:tc>
          <w:tcPr>
            <w:tcW w:w="1480" w:type="dxa"/>
            <w:vAlign w:val="bottom"/>
            <w:shd w:val="clear" w:color="auto" w:fill="CCEEFF"/>
          </w:tcPr>
          <w:p>
            <w:pPr>
              <w:jc w:val="right"/>
              <w:ind w:right="301"/>
              <w:spacing w:after="0" w:line="202" w:lineRule="exact"/>
              <w:rPr>
                <w:sz w:val="20"/>
                <w:szCs w:val="20"/>
                <w:color w:val="auto"/>
              </w:rPr>
            </w:pPr>
            <w:r>
              <w:rPr>
                <w:rFonts w:ascii="Arial" w:cs="Arial" w:eastAsia="Arial" w:hAnsi="Arial"/>
                <w:sz w:val="18"/>
                <w:szCs w:val="18"/>
                <w:color w:val="auto"/>
              </w:rPr>
              <w:t>2.2%</w:t>
            </w:r>
          </w:p>
        </w:tc>
        <w:tc>
          <w:tcPr>
            <w:tcW w:w="118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2.1%</w:t>
            </w:r>
          </w:p>
        </w:tc>
      </w:tr>
      <w:tr>
        <w:trPr>
          <w:trHeight w:val="210"/>
        </w:trPr>
        <w:tc>
          <w:tcPr>
            <w:tcW w:w="5840" w:type="dxa"/>
            <w:vAlign w:val="bottom"/>
            <w:tcBorders>
              <w:bottom w:val="single" w:sz="8" w:color="auto"/>
              <w:right w:val="single" w:sz="8" w:color="auto"/>
            </w:tcBorders>
          </w:tcPr>
          <w:p>
            <w:pPr>
              <w:spacing w:after="0" w:line="202" w:lineRule="exact"/>
              <w:rPr>
                <w:sz w:val="20"/>
                <w:szCs w:val="20"/>
                <w:color w:val="auto"/>
              </w:rPr>
            </w:pPr>
            <w:r>
              <w:rPr>
                <w:rFonts w:ascii="Arial" w:cs="Arial" w:eastAsia="Arial" w:hAnsi="Arial"/>
                <w:sz w:val="18"/>
                <w:szCs w:val="18"/>
                <w:color w:val="auto"/>
              </w:rPr>
              <w:t>Expected term</w:t>
            </w:r>
          </w:p>
        </w:tc>
        <w:tc>
          <w:tcPr>
            <w:tcW w:w="1460" w:type="dxa"/>
            <w:vAlign w:val="bottom"/>
            <w:tcBorders>
              <w:bottom w:val="single" w:sz="8" w:color="auto"/>
              <w:right w:val="single" w:sz="8" w:color="auto"/>
            </w:tcBorders>
          </w:tcPr>
          <w:p>
            <w:pPr>
              <w:jc w:val="right"/>
              <w:ind w:right="161"/>
              <w:spacing w:after="0" w:line="202" w:lineRule="exact"/>
              <w:rPr>
                <w:sz w:val="20"/>
                <w:szCs w:val="20"/>
                <w:color w:val="auto"/>
              </w:rPr>
            </w:pPr>
            <w:r>
              <w:rPr>
                <w:rFonts w:ascii="Arial" w:cs="Arial" w:eastAsia="Arial" w:hAnsi="Arial"/>
                <w:sz w:val="18"/>
                <w:szCs w:val="18"/>
                <w:color w:val="auto"/>
              </w:rPr>
              <w:t>6.5 years</w:t>
            </w:r>
          </w:p>
        </w:tc>
        <w:tc>
          <w:tcPr>
            <w:tcW w:w="1460" w:type="dxa"/>
            <w:vAlign w:val="bottom"/>
            <w:tcBorders>
              <w:bottom w:val="single" w:sz="8" w:color="auto"/>
              <w:right w:val="single" w:sz="8" w:color="auto"/>
            </w:tcBorders>
          </w:tcPr>
          <w:p>
            <w:pPr>
              <w:jc w:val="right"/>
              <w:ind w:right="276"/>
              <w:spacing w:after="0" w:line="202" w:lineRule="exact"/>
              <w:rPr>
                <w:sz w:val="20"/>
                <w:szCs w:val="20"/>
                <w:color w:val="auto"/>
              </w:rPr>
            </w:pPr>
            <w:r>
              <w:rPr>
                <w:rFonts w:ascii="Arial" w:cs="Arial" w:eastAsia="Arial" w:hAnsi="Arial"/>
                <w:sz w:val="18"/>
                <w:szCs w:val="18"/>
                <w:color w:val="auto"/>
              </w:rPr>
              <w:t>5.5 years</w:t>
            </w:r>
          </w:p>
        </w:tc>
        <w:tc>
          <w:tcPr>
            <w:tcW w:w="1480" w:type="dxa"/>
            <w:vAlign w:val="bottom"/>
            <w:tcBorders>
              <w:bottom w:val="single" w:sz="8" w:color="auto"/>
            </w:tcBorders>
          </w:tcPr>
          <w:p>
            <w:pPr>
              <w:jc w:val="right"/>
              <w:ind w:right="301"/>
              <w:spacing w:after="0" w:line="202" w:lineRule="exact"/>
              <w:rPr>
                <w:sz w:val="20"/>
                <w:szCs w:val="20"/>
                <w:color w:val="auto"/>
              </w:rPr>
            </w:pPr>
            <w:r>
              <w:rPr>
                <w:rFonts w:ascii="Arial" w:cs="Arial" w:eastAsia="Arial" w:hAnsi="Arial"/>
                <w:sz w:val="18"/>
                <w:szCs w:val="18"/>
                <w:color w:val="auto"/>
              </w:rPr>
              <w:t>4.5 years</w:t>
            </w:r>
          </w:p>
        </w:tc>
        <w:tc>
          <w:tcPr>
            <w:tcW w:w="1180" w:type="dxa"/>
            <w:vAlign w:val="bottom"/>
            <w:tcBorders>
              <w:bottom w:val="single" w:sz="8" w:color="auto"/>
            </w:tcBorders>
          </w:tcPr>
          <w:p>
            <w:pPr>
              <w:jc w:val="right"/>
              <w:ind w:right="16"/>
              <w:spacing w:after="0" w:line="202" w:lineRule="exact"/>
              <w:rPr>
                <w:sz w:val="20"/>
                <w:szCs w:val="20"/>
                <w:color w:val="auto"/>
              </w:rPr>
            </w:pPr>
            <w:r>
              <w:rPr>
                <w:rFonts w:ascii="Arial" w:cs="Arial" w:eastAsia="Arial" w:hAnsi="Arial"/>
                <w:sz w:val="18"/>
                <w:szCs w:val="18"/>
                <w:color w:val="auto"/>
              </w:rPr>
              <w:t>4.5 years</w:t>
            </w:r>
          </w:p>
        </w:tc>
      </w:tr>
    </w:tbl>
    <w:p>
      <w:pPr>
        <w:spacing w:after="0" w:line="165"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For periods presented prior to the Separation date of October 3, 2011, all stock-based compensation awards were made by our Former Parent and used our Former Parent assumptions for volatility, dividend yield and term. The weighted-average grant date fair value of stock options granted by our Former Parent during the years ended December 31, 2011, 2010 and 2009 was $16.98, $11.28 and $10.81, respectively.</w:t>
      </w:r>
    </w:p>
    <w:p>
      <w:pPr>
        <w:spacing w:after="0" w:line="15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Home &amp; Security assumptions were utilized for grants made on or after October 4, 2011. The determination of expected volatility is based on a blended peer group volatility for companies in similar industries, stage of life and with similar market capitalization since there is not sufficient historical volatility data for Home &amp; Security common stock over the period commensurate with the expected term of stock options, as well as other relevant factors. The risk-free interest rate is based on U.S. government issues with a remaining term equal to the expected life of the stock options. The expected term is the period over which our employees are expected to hold their options. It is based on the simplified method from the SEC’s safe harbor guidelines. The dividend yield is based on the Company’s estimated dividend over the expected term. The weighted-average grant date fair value of stock options granted under the Plan during the years ended December 31, 2011 was $4.20.</w:t>
      </w:r>
    </w:p>
    <w:p>
      <w:pPr>
        <w:spacing w:after="0" w:line="155"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In the year ended December 31, 2011, we recognized pre-tax stock-based compensation expense for stock options in net income of $14.1 million ($9.4 million after tax). In the year ended December 31, 2010, we recognized pre-tax stock-based compensation expense for stock options in net income of $11.7 million ($7.9 million after tax). In the year ended December 31 2009, we recognized pre-tax stock-based compensation expense for stock options in net income of $7.8 million ($6.1 million after tax). Of the total pre-tax stock-based compensation expense, the amounts included in selling, general and administrative expenses in the consolidated statements of income were $12.8 million, $9.9 million and $5.9 million, in 2011, 2010 and 2009, respectively. Compensation costs that were capitalized in cost of products sold were not material.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A summary of Home &amp; Security stock option activity related to Home &amp; Security and our Former Parent employees for the year ended December 31, 2011 is as follows. All awards granted have been adjusted to reflect the conversion as of the date of the Separation as all stock options prior to the Separation were options in our Former Parent stock. With respect to the Former Parent stock options granted prior to Separation, the converted Home &amp; Security stock options retained the vesting schedule and expiration date of the original Former Parent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123825</wp:posOffset>
            </wp:positionV>
            <wp:extent cx="60801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120" w:type="dxa"/>
            <w:vAlign w:val="bottom"/>
          </w:tcPr>
          <w:p>
            <w:pPr>
              <w:jc w:val="right"/>
              <w:ind w:right="20"/>
              <w:spacing w:after="0"/>
              <w:rPr>
                <w:sz w:val="20"/>
                <w:szCs w:val="20"/>
                <w:color w:val="auto"/>
              </w:rPr>
            </w:pPr>
            <w:r>
              <w:rPr>
                <w:rFonts w:ascii="Arial" w:cs="Arial" w:eastAsia="Arial" w:hAnsi="Arial"/>
                <w:sz w:val="14"/>
                <w:szCs w:val="14"/>
                <w:color w:val="auto"/>
              </w:rPr>
              <w:t>Weighted-</w:t>
            </w:r>
          </w:p>
        </w:tc>
      </w:tr>
      <w:tr>
        <w:trPr>
          <w:trHeight w:val="149"/>
        </w:trPr>
        <w:tc>
          <w:tcPr>
            <w:tcW w:w="50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120" w:type="dxa"/>
            <w:vAlign w:val="bottom"/>
          </w:tcPr>
          <w:p>
            <w:pPr>
              <w:jc w:val="right"/>
              <w:ind w:right="20"/>
              <w:spacing w:after="0" w:line="149" w:lineRule="exact"/>
              <w:rPr>
                <w:sz w:val="20"/>
                <w:szCs w:val="20"/>
                <w:color w:val="auto"/>
              </w:rPr>
            </w:pPr>
            <w:r>
              <w:rPr>
                <w:rFonts w:ascii="Arial" w:cs="Arial" w:eastAsia="Arial" w:hAnsi="Arial"/>
                <w:sz w:val="14"/>
                <w:szCs w:val="14"/>
                <w:color w:val="auto"/>
              </w:rPr>
              <w:t>Average</w:t>
            </w:r>
          </w:p>
        </w:tc>
      </w:tr>
      <w:tr>
        <w:trPr>
          <w:trHeight w:val="149"/>
        </w:trPr>
        <w:tc>
          <w:tcPr>
            <w:tcW w:w="50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120" w:type="dxa"/>
            <w:vAlign w:val="bottom"/>
          </w:tcPr>
          <w:p>
            <w:pPr>
              <w:jc w:val="right"/>
              <w:ind w:right="20"/>
              <w:spacing w:after="0" w:line="149" w:lineRule="exact"/>
              <w:rPr>
                <w:sz w:val="20"/>
                <w:szCs w:val="20"/>
                <w:color w:val="auto"/>
              </w:rPr>
            </w:pPr>
            <w:r>
              <w:rPr>
                <w:rFonts w:ascii="Arial" w:cs="Arial" w:eastAsia="Arial" w:hAnsi="Arial"/>
                <w:sz w:val="14"/>
                <w:szCs w:val="14"/>
                <w:color w:val="auto"/>
              </w:rPr>
              <w:t>Exercise</w:t>
            </w:r>
          </w:p>
        </w:tc>
      </w:tr>
      <w:tr>
        <w:trPr>
          <w:trHeight w:val="149"/>
        </w:trPr>
        <w:tc>
          <w:tcPr>
            <w:tcW w:w="5000" w:type="dxa"/>
            <w:vAlign w:val="bottom"/>
            <w:tcBorders>
              <w:bottom w:val="single" w:sz="8" w:color="auto"/>
            </w:tcBorders>
          </w:tcPr>
          <w:p>
            <w:pPr>
              <w:spacing w:after="0"/>
              <w:rPr>
                <w:sz w:val="12"/>
                <w:szCs w:val="12"/>
                <w:color w:val="auto"/>
              </w:rPr>
            </w:pPr>
          </w:p>
        </w:tc>
        <w:tc>
          <w:tcPr>
            <w:tcW w:w="3460" w:type="dxa"/>
            <w:vAlign w:val="bottom"/>
            <w:tcBorders>
              <w:bottom w:val="single" w:sz="8" w:color="auto"/>
            </w:tcBorders>
          </w:tcPr>
          <w:p>
            <w:pPr>
              <w:jc w:val="right"/>
              <w:ind w:right="355"/>
              <w:spacing w:after="0" w:line="149" w:lineRule="exact"/>
              <w:rPr>
                <w:sz w:val="20"/>
                <w:szCs w:val="20"/>
                <w:color w:val="auto"/>
              </w:rPr>
            </w:pPr>
            <w:r>
              <w:rPr>
                <w:rFonts w:ascii="Arial" w:cs="Arial" w:eastAsia="Arial" w:hAnsi="Arial"/>
                <w:sz w:val="14"/>
                <w:szCs w:val="14"/>
                <w:color w:val="auto"/>
              </w:rPr>
              <w:t>Options</w:t>
            </w:r>
          </w:p>
        </w:tc>
        <w:tc>
          <w:tcPr>
            <w:tcW w:w="1120" w:type="dxa"/>
            <w:vAlign w:val="bottom"/>
            <w:tcBorders>
              <w:bottom w:val="single" w:sz="8" w:color="auto"/>
            </w:tcBorders>
          </w:tcPr>
          <w:p>
            <w:pPr>
              <w:jc w:val="right"/>
              <w:ind w:right="20"/>
              <w:spacing w:after="0" w:line="149" w:lineRule="exact"/>
              <w:rPr>
                <w:sz w:val="20"/>
                <w:szCs w:val="20"/>
                <w:color w:val="auto"/>
              </w:rPr>
            </w:pPr>
            <w:r>
              <w:rPr>
                <w:rFonts w:ascii="Arial" w:cs="Arial" w:eastAsia="Arial" w:hAnsi="Arial"/>
                <w:sz w:val="14"/>
                <w:szCs w:val="14"/>
                <w:color w:val="auto"/>
              </w:rPr>
              <w:t>Price</w:t>
            </w:r>
          </w:p>
        </w:tc>
      </w:tr>
      <w:tr>
        <w:trPr>
          <w:trHeight w:val="196"/>
        </w:trPr>
        <w:tc>
          <w:tcPr>
            <w:tcW w:w="5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2010</w:t>
            </w:r>
          </w:p>
        </w:tc>
        <w:tc>
          <w:tcPr>
            <w:tcW w:w="3460" w:type="dxa"/>
            <w:vAlign w:val="bottom"/>
            <w:shd w:val="clear" w:color="auto" w:fill="CCEEFF"/>
          </w:tcPr>
          <w:p>
            <w:pPr>
              <w:jc w:val="right"/>
              <w:ind w:right="355"/>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r>
      <w:tr>
        <w:trPr>
          <w:trHeight w:val="203"/>
        </w:trPr>
        <w:tc>
          <w:tcPr>
            <w:tcW w:w="5000" w:type="dxa"/>
            <w:vAlign w:val="bottom"/>
          </w:tcPr>
          <w:p>
            <w:pPr>
              <w:ind w:left="220"/>
              <w:spacing w:after="0" w:line="202" w:lineRule="exact"/>
              <w:rPr>
                <w:sz w:val="20"/>
                <w:szCs w:val="20"/>
                <w:color w:val="auto"/>
              </w:rPr>
            </w:pPr>
            <w:r>
              <w:rPr>
                <w:rFonts w:ascii="Arial" w:cs="Arial" w:eastAsia="Arial" w:hAnsi="Arial"/>
                <w:sz w:val="18"/>
                <w:szCs w:val="18"/>
                <w:color w:val="auto"/>
              </w:rPr>
              <w:t>Converted on October 4, 2011</w:t>
            </w:r>
          </w:p>
        </w:tc>
        <w:tc>
          <w:tcPr>
            <w:tcW w:w="3460" w:type="dxa"/>
            <w:vAlign w:val="bottom"/>
          </w:tcPr>
          <w:p>
            <w:pPr>
              <w:jc w:val="right"/>
              <w:ind w:right="355"/>
              <w:spacing w:after="0" w:line="202" w:lineRule="exact"/>
              <w:rPr>
                <w:sz w:val="20"/>
                <w:szCs w:val="20"/>
                <w:color w:val="auto"/>
              </w:rPr>
            </w:pPr>
            <w:r>
              <w:rPr>
                <w:rFonts w:ascii="Arial" w:cs="Arial" w:eastAsia="Arial" w:hAnsi="Arial"/>
                <w:sz w:val="18"/>
                <w:szCs w:val="18"/>
                <w:color w:val="auto"/>
              </w:rPr>
              <w:t>19,676,324</w:t>
            </w:r>
          </w:p>
        </w:tc>
        <w:tc>
          <w:tcPr>
            <w:tcW w:w="1120" w:type="dxa"/>
            <w:vAlign w:val="bottom"/>
          </w:tcPr>
          <w:p>
            <w:pPr>
              <w:jc w:val="right"/>
              <w:ind w:right="20"/>
              <w:spacing w:after="0" w:line="202" w:lineRule="exact"/>
              <w:rPr>
                <w:sz w:val="20"/>
                <w:szCs w:val="20"/>
                <w:color w:val="auto"/>
              </w:rPr>
            </w:pPr>
            <w:r>
              <w:rPr>
                <w:rFonts w:ascii="Arial" w:cs="Arial" w:eastAsia="Arial" w:hAnsi="Arial"/>
                <w:sz w:val="18"/>
                <w:szCs w:val="18"/>
                <w:color w:val="auto"/>
              </w:rPr>
              <w:t>$ 13.22</w:t>
            </w:r>
          </w:p>
        </w:tc>
      </w:tr>
      <w:tr>
        <w:trPr>
          <w:trHeight w:val="203"/>
        </w:trPr>
        <w:tc>
          <w:tcPr>
            <w:tcW w:w="5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Granted</w:t>
            </w:r>
          </w:p>
        </w:tc>
        <w:tc>
          <w:tcPr>
            <w:tcW w:w="3460" w:type="dxa"/>
            <w:vAlign w:val="bottom"/>
            <w:shd w:val="clear" w:color="auto" w:fill="CCEEFF"/>
          </w:tcPr>
          <w:p>
            <w:pPr>
              <w:jc w:val="right"/>
              <w:ind w:right="355"/>
              <w:spacing w:after="0" w:line="202" w:lineRule="exact"/>
              <w:rPr>
                <w:sz w:val="20"/>
                <w:szCs w:val="20"/>
                <w:color w:val="auto"/>
              </w:rPr>
            </w:pPr>
            <w:r>
              <w:rPr>
                <w:rFonts w:ascii="Arial" w:cs="Arial" w:eastAsia="Arial" w:hAnsi="Arial"/>
                <w:sz w:val="18"/>
                <w:szCs w:val="18"/>
                <w:color w:val="auto"/>
              </w:rPr>
              <w:t>2,312,600</w:t>
            </w:r>
          </w:p>
        </w:tc>
        <w:tc>
          <w:tcPr>
            <w:tcW w:w="1120" w:type="dxa"/>
            <w:vAlign w:val="bottom"/>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12.30</w:t>
            </w:r>
          </w:p>
        </w:tc>
      </w:tr>
      <w:tr>
        <w:trPr>
          <w:trHeight w:val="203"/>
        </w:trPr>
        <w:tc>
          <w:tcPr>
            <w:tcW w:w="5000" w:type="dxa"/>
            <w:vAlign w:val="bottom"/>
          </w:tcPr>
          <w:p>
            <w:pPr>
              <w:ind w:left="220"/>
              <w:spacing w:after="0" w:line="202" w:lineRule="exact"/>
              <w:rPr>
                <w:sz w:val="20"/>
                <w:szCs w:val="20"/>
                <w:color w:val="auto"/>
              </w:rPr>
            </w:pPr>
            <w:r>
              <w:rPr>
                <w:rFonts w:ascii="Arial" w:cs="Arial" w:eastAsia="Arial" w:hAnsi="Arial"/>
                <w:sz w:val="18"/>
                <w:szCs w:val="18"/>
                <w:color w:val="auto"/>
              </w:rPr>
              <w:t>Exercised</w:t>
            </w:r>
          </w:p>
        </w:tc>
        <w:tc>
          <w:tcPr>
            <w:tcW w:w="3460" w:type="dxa"/>
            <w:vAlign w:val="bottom"/>
          </w:tcPr>
          <w:p>
            <w:pPr>
              <w:jc w:val="right"/>
              <w:ind w:right="295"/>
              <w:spacing w:after="0" w:line="202" w:lineRule="exact"/>
              <w:rPr>
                <w:sz w:val="20"/>
                <w:szCs w:val="20"/>
                <w:color w:val="auto"/>
              </w:rPr>
            </w:pPr>
            <w:r>
              <w:rPr>
                <w:rFonts w:ascii="Arial" w:cs="Arial" w:eastAsia="Arial" w:hAnsi="Arial"/>
                <w:sz w:val="18"/>
                <w:szCs w:val="18"/>
                <w:color w:val="auto"/>
              </w:rPr>
              <w:t>(958,860)</w:t>
            </w:r>
          </w:p>
        </w:tc>
        <w:tc>
          <w:tcPr>
            <w:tcW w:w="1120" w:type="dxa"/>
            <w:vAlign w:val="bottom"/>
          </w:tcPr>
          <w:p>
            <w:pPr>
              <w:jc w:val="right"/>
              <w:ind w:right="20"/>
              <w:spacing w:after="0" w:line="202" w:lineRule="exact"/>
              <w:rPr>
                <w:sz w:val="20"/>
                <w:szCs w:val="20"/>
                <w:color w:val="auto"/>
              </w:rPr>
            </w:pPr>
            <w:r>
              <w:rPr>
                <w:rFonts w:ascii="Arial" w:cs="Arial" w:eastAsia="Arial" w:hAnsi="Arial"/>
                <w:sz w:val="18"/>
                <w:szCs w:val="18"/>
                <w:color w:val="auto"/>
              </w:rPr>
              <w:t>11.50</w:t>
            </w:r>
          </w:p>
        </w:tc>
      </w:tr>
      <w:tr>
        <w:trPr>
          <w:trHeight w:val="203"/>
        </w:trPr>
        <w:tc>
          <w:tcPr>
            <w:tcW w:w="500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Expired/forfeited</w:t>
            </w:r>
          </w:p>
        </w:tc>
        <w:tc>
          <w:tcPr>
            <w:tcW w:w="3460" w:type="dxa"/>
            <w:vAlign w:val="bottom"/>
            <w:tcBorders>
              <w:bottom w:val="single" w:sz="8" w:color="auto"/>
            </w:tcBorders>
            <w:shd w:val="clear" w:color="auto" w:fill="CCEEFF"/>
          </w:tcPr>
          <w:p>
            <w:pPr>
              <w:jc w:val="right"/>
              <w:ind w:right="295"/>
              <w:spacing w:after="0" w:line="202" w:lineRule="exact"/>
              <w:rPr>
                <w:sz w:val="20"/>
                <w:szCs w:val="20"/>
                <w:color w:val="auto"/>
              </w:rPr>
            </w:pPr>
            <w:r>
              <w:rPr>
                <w:rFonts w:ascii="Arial" w:cs="Arial" w:eastAsia="Arial" w:hAnsi="Arial"/>
                <w:sz w:val="18"/>
                <w:szCs w:val="18"/>
                <w:color w:val="auto"/>
              </w:rPr>
              <w:t>(884,044)</w:t>
            </w:r>
          </w:p>
        </w:tc>
        <w:tc>
          <w:tcPr>
            <w:tcW w:w="1120" w:type="dxa"/>
            <w:vAlign w:val="bottom"/>
            <w:tcBorders>
              <w:bottom w:val="single" w:sz="8" w:color="auto"/>
            </w:tcBorders>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17.10</w:t>
            </w:r>
          </w:p>
        </w:tc>
      </w:tr>
      <w:tr>
        <w:trPr>
          <w:trHeight w:val="203"/>
        </w:trPr>
        <w:tc>
          <w:tcPr>
            <w:tcW w:w="50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Outstanding at December 31, 2011</w:t>
            </w:r>
            <w:r>
              <w:rPr>
                <w:rFonts w:ascii="Arial" w:cs="Arial" w:eastAsia="Arial" w:hAnsi="Arial"/>
                <w:sz w:val="11"/>
                <w:szCs w:val="11"/>
                <w:color w:val="auto"/>
              </w:rPr>
              <w:t>(a)</w:t>
            </w:r>
          </w:p>
        </w:tc>
        <w:tc>
          <w:tcPr>
            <w:tcW w:w="3460" w:type="dxa"/>
            <w:vAlign w:val="bottom"/>
            <w:tcBorders>
              <w:bottom w:val="single" w:sz="8" w:color="auto"/>
            </w:tcBorders>
          </w:tcPr>
          <w:p>
            <w:pPr>
              <w:jc w:val="right"/>
              <w:ind w:right="355"/>
              <w:spacing w:after="0" w:line="196" w:lineRule="exact"/>
              <w:rPr>
                <w:sz w:val="20"/>
                <w:szCs w:val="20"/>
                <w:color w:val="auto"/>
              </w:rPr>
            </w:pPr>
            <w:r>
              <w:rPr>
                <w:rFonts w:ascii="Arial" w:cs="Arial" w:eastAsia="Arial" w:hAnsi="Arial"/>
                <w:sz w:val="18"/>
                <w:szCs w:val="18"/>
                <w:color w:val="auto"/>
              </w:rPr>
              <w:t>20,146,020</w:t>
            </w:r>
          </w:p>
        </w:tc>
        <w:tc>
          <w:tcPr>
            <w:tcW w:w="1120" w:type="dxa"/>
            <w:vAlign w:val="bottom"/>
            <w:tcBorders>
              <w:bottom w:val="single" w:sz="8" w:color="auto"/>
            </w:tcBorders>
          </w:tcPr>
          <w:p>
            <w:pPr>
              <w:jc w:val="right"/>
              <w:ind w:right="20"/>
              <w:spacing w:after="0" w:line="196" w:lineRule="exact"/>
              <w:rPr>
                <w:sz w:val="20"/>
                <w:szCs w:val="20"/>
                <w:color w:val="auto"/>
              </w:rPr>
            </w:pPr>
            <w:r>
              <w:rPr>
                <w:rFonts w:ascii="Arial" w:cs="Arial" w:eastAsia="Arial" w:hAnsi="Arial"/>
                <w:sz w:val="18"/>
                <w:szCs w:val="18"/>
                <w:color w:val="auto"/>
              </w:rPr>
              <w:t>$ 13.03</w:t>
            </w:r>
          </w:p>
        </w:tc>
      </w:tr>
    </w:tbl>
    <w:p>
      <w:pPr>
        <w:spacing w:after="0" w:line="1" w:lineRule="exact"/>
        <w:rPr>
          <w:sz w:val="20"/>
          <w:szCs w:val="20"/>
          <w:color w:val="auto"/>
        </w:rPr>
      </w:pPr>
    </w:p>
    <w:p>
      <w:pPr>
        <w:ind w:left="220" w:hanging="212"/>
        <w:spacing w:after="0"/>
        <w:tabs>
          <w:tab w:leader="none" w:pos="220" w:val="left"/>
        </w:tabs>
        <w:numPr>
          <w:ilvl w:val="0"/>
          <w:numId w:val="36"/>
        </w:numPr>
        <w:rPr>
          <w:rFonts w:ascii="Arial" w:cs="Arial" w:eastAsia="Arial" w:hAnsi="Arial"/>
          <w:sz w:val="21"/>
          <w:szCs w:val="21"/>
          <w:color w:val="auto"/>
          <w:vertAlign w:val="superscript"/>
        </w:rPr>
      </w:pPr>
      <w:r>
        <w:rPr>
          <w:rFonts w:ascii="Arial" w:cs="Arial" w:eastAsia="Arial" w:hAnsi="Arial"/>
          <w:sz w:val="13"/>
          <w:szCs w:val="13"/>
          <w:color w:val="auto"/>
        </w:rPr>
        <w:t>At December 31, 2011, the weighted-average remaining contractual life of options outstanding was 5.0 years and the aggregate intrinsic value of options outstanding was $83.6 million.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Options outstanding and exercisable at December 31, 2011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123825</wp:posOffset>
            </wp:positionV>
            <wp:extent cx="66636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27"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25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color w:val="auto"/>
              </w:rPr>
              <w:t>Options Outstanding</w:t>
            </w:r>
          </w:p>
        </w:tc>
        <w:tc>
          <w:tcPr>
            <w:tcW w:w="4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292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color w:val="auto"/>
              </w:rPr>
              <w:t>Options Exercisable</w:t>
            </w:r>
            <w:r>
              <w:rPr>
                <w:rFonts w:ascii="Arial" w:cs="Arial" w:eastAsia="Arial" w:hAnsi="Arial"/>
                <w:sz w:val="22"/>
                <w:szCs w:val="22"/>
                <w:color w:val="auto"/>
                <w:vertAlign w:val="superscript"/>
              </w:rPr>
              <w:t>(a)</w:t>
            </w:r>
          </w:p>
        </w:tc>
        <w:tc>
          <w:tcPr>
            <w:tcW w:w="0" w:type="dxa"/>
            <w:vAlign w:val="bottom"/>
          </w:tcPr>
          <w:p>
            <w:pPr>
              <w:spacing w:after="0"/>
              <w:rPr>
                <w:sz w:val="1"/>
                <w:szCs w:val="1"/>
                <w:color w:val="auto"/>
              </w:rPr>
            </w:pPr>
          </w:p>
        </w:tc>
      </w:tr>
      <w:tr>
        <w:trPr>
          <w:trHeight w:val="195"/>
        </w:trPr>
        <w:tc>
          <w:tcPr>
            <w:tcW w:w="2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700" w:type="dxa"/>
            <w:vAlign w:val="bottom"/>
          </w:tcPr>
          <w:p>
            <w:pPr>
              <w:jc w:val="right"/>
              <w:ind w:right="344"/>
              <w:spacing w:after="0"/>
              <w:rPr>
                <w:sz w:val="20"/>
                <w:szCs w:val="20"/>
                <w:color w:val="auto"/>
              </w:rPr>
            </w:pPr>
            <w:r>
              <w:rPr>
                <w:rFonts w:ascii="Arial" w:cs="Arial" w:eastAsia="Arial" w:hAnsi="Arial"/>
                <w:sz w:val="14"/>
                <w:szCs w:val="14"/>
                <w:color w:val="auto"/>
              </w:rPr>
              <w:t>Weighted-</w:t>
            </w: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700" w:type="dxa"/>
            <w:vAlign w:val="bottom"/>
          </w:tcPr>
          <w:p>
            <w:pPr>
              <w:jc w:val="right"/>
              <w:ind w:right="344"/>
              <w:spacing w:after="0" w:line="149" w:lineRule="exact"/>
              <w:rPr>
                <w:sz w:val="20"/>
                <w:szCs w:val="20"/>
                <w:color w:val="auto"/>
              </w:rPr>
            </w:pPr>
            <w:r>
              <w:rPr>
                <w:rFonts w:ascii="Arial" w:cs="Arial" w:eastAsia="Arial" w:hAnsi="Arial"/>
                <w:sz w:val="14"/>
                <w:szCs w:val="14"/>
                <w:color w:val="auto"/>
              </w:rPr>
              <w:t>Average</w:t>
            </w:r>
          </w:p>
        </w:tc>
        <w:tc>
          <w:tcPr>
            <w:tcW w:w="144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Weighted-</w:t>
            </w:r>
          </w:p>
        </w:tc>
        <w:tc>
          <w:tcPr>
            <w:tcW w:w="1820" w:type="dxa"/>
            <w:vAlign w:val="bottom"/>
          </w:tcPr>
          <w:p>
            <w:pPr>
              <w:spacing w:after="0"/>
              <w:rPr>
                <w:sz w:val="12"/>
                <w:szCs w:val="12"/>
                <w:color w:val="auto"/>
              </w:rPr>
            </w:pPr>
          </w:p>
        </w:tc>
        <w:tc>
          <w:tcPr>
            <w:tcW w:w="1100" w:type="dxa"/>
            <w:vAlign w:val="bottom"/>
            <w:gridSpan w:val="2"/>
          </w:tcPr>
          <w:p>
            <w:pPr>
              <w:jc w:val="right"/>
              <w:ind w:right="21"/>
              <w:spacing w:after="0" w:line="149" w:lineRule="exact"/>
              <w:rPr>
                <w:sz w:val="20"/>
                <w:szCs w:val="20"/>
                <w:color w:val="auto"/>
              </w:rPr>
            </w:pPr>
            <w:r>
              <w:rPr>
                <w:rFonts w:ascii="Arial" w:cs="Arial" w:eastAsia="Arial" w:hAnsi="Arial"/>
                <w:sz w:val="14"/>
                <w:szCs w:val="14"/>
                <w:color w:val="auto"/>
              </w:rPr>
              <w:t>Weighted-</w:t>
            </w:r>
          </w:p>
        </w:tc>
        <w:tc>
          <w:tcPr>
            <w:tcW w:w="0" w:type="dxa"/>
            <w:vAlign w:val="bottom"/>
          </w:tcPr>
          <w:p>
            <w:pPr>
              <w:spacing w:after="0"/>
              <w:rPr>
                <w:sz w:val="1"/>
                <w:szCs w:val="1"/>
                <w:color w:val="auto"/>
              </w:rPr>
            </w:pPr>
          </w:p>
        </w:tc>
      </w:tr>
      <w:tr>
        <w:trPr>
          <w:trHeight w:val="149"/>
        </w:trPr>
        <w:tc>
          <w:tcPr>
            <w:tcW w:w="2960" w:type="dxa"/>
            <w:vAlign w:val="bottom"/>
            <w:gridSpan w:val="2"/>
            <w:vMerge w:val="restart"/>
          </w:tcPr>
          <w:p>
            <w:pPr>
              <w:jc w:val="right"/>
              <w:ind w:right="460"/>
              <w:spacing w:after="0"/>
              <w:rPr>
                <w:sz w:val="20"/>
                <w:szCs w:val="20"/>
                <w:color w:val="auto"/>
              </w:rPr>
            </w:pPr>
            <w:r>
              <w:rPr>
                <w:rFonts w:ascii="Arial" w:cs="Arial" w:eastAsia="Arial" w:hAnsi="Arial"/>
                <w:sz w:val="14"/>
                <w:szCs w:val="14"/>
                <w:color w:val="auto"/>
              </w:rPr>
              <w:t>Range Of</w:t>
            </w:r>
          </w:p>
        </w:tc>
        <w:tc>
          <w:tcPr>
            <w:tcW w:w="1480" w:type="dxa"/>
            <w:vAlign w:val="bottom"/>
          </w:tcPr>
          <w:p>
            <w:pPr>
              <w:spacing w:after="0"/>
              <w:rPr>
                <w:sz w:val="12"/>
                <w:szCs w:val="12"/>
                <w:color w:val="auto"/>
              </w:rPr>
            </w:pPr>
          </w:p>
        </w:tc>
        <w:tc>
          <w:tcPr>
            <w:tcW w:w="1700" w:type="dxa"/>
            <w:vAlign w:val="bottom"/>
          </w:tcPr>
          <w:p>
            <w:pPr>
              <w:jc w:val="right"/>
              <w:ind w:right="344"/>
              <w:spacing w:after="0" w:line="149" w:lineRule="exact"/>
              <w:rPr>
                <w:sz w:val="20"/>
                <w:szCs w:val="20"/>
                <w:color w:val="auto"/>
              </w:rPr>
            </w:pPr>
            <w:r>
              <w:rPr>
                <w:rFonts w:ascii="Arial" w:cs="Arial" w:eastAsia="Arial" w:hAnsi="Arial"/>
                <w:sz w:val="14"/>
                <w:szCs w:val="14"/>
                <w:color w:val="auto"/>
              </w:rPr>
              <w:t>Remaining</w:t>
            </w:r>
          </w:p>
        </w:tc>
        <w:tc>
          <w:tcPr>
            <w:tcW w:w="400" w:type="dxa"/>
            <w:vAlign w:val="bottom"/>
          </w:tcPr>
          <w:p>
            <w:pPr>
              <w:spacing w:after="0"/>
              <w:rPr>
                <w:sz w:val="12"/>
                <w:szCs w:val="12"/>
                <w:color w:val="auto"/>
              </w:rPr>
            </w:pPr>
          </w:p>
        </w:tc>
        <w:tc>
          <w:tcPr>
            <w:tcW w:w="10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w w:val="99"/>
              </w:rPr>
              <w:t>Average</w:t>
            </w:r>
          </w:p>
        </w:tc>
        <w:tc>
          <w:tcPr>
            <w:tcW w:w="1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jc w:val="right"/>
              <w:ind w:right="21"/>
              <w:spacing w:after="0" w:line="149" w:lineRule="exact"/>
              <w:rPr>
                <w:sz w:val="20"/>
                <w:szCs w:val="20"/>
                <w:color w:val="auto"/>
              </w:rPr>
            </w:pPr>
            <w:r>
              <w:rPr>
                <w:rFonts w:ascii="Arial" w:cs="Arial" w:eastAsia="Arial" w:hAnsi="Arial"/>
                <w:sz w:val="14"/>
                <w:szCs w:val="14"/>
                <w:color w:val="auto"/>
                <w:w w:val="95"/>
              </w:rPr>
              <w:t>Average</w:t>
            </w:r>
          </w:p>
        </w:tc>
        <w:tc>
          <w:tcPr>
            <w:tcW w:w="0" w:type="dxa"/>
            <w:vAlign w:val="bottom"/>
          </w:tcPr>
          <w:p>
            <w:pPr>
              <w:spacing w:after="0"/>
              <w:rPr>
                <w:sz w:val="1"/>
                <w:szCs w:val="1"/>
                <w:color w:val="auto"/>
              </w:rPr>
            </w:pPr>
          </w:p>
        </w:tc>
      </w:tr>
      <w:tr>
        <w:trPr>
          <w:trHeight w:val="135"/>
        </w:trPr>
        <w:tc>
          <w:tcPr>
            <w:tcW w:w="2960" w:type="dxa"/>
            <w:vAlign w:val="bottom"/>
            <w:gridSpan w:val="2"/>
            <w:vMerge w:val="continue"/>
          </w:tcPr>
          <w:p>
            <w:pPr>
              <w:spacing w:after="0"/>
              <w:rPr>
                <w:sz w:val="11"/>
                <w:szCs w:val="11"/>
                <w:color w:val="auto"/>
              </w:rPr>
            </w:pPr>
          </w:p>
        </w:tc>
        <w:tc>
          <w:tcPr>
            <w:tcW w:w="1480" w:type="dxa"/>
            <w:vAlign w:val="bottom"/>
          </w:tcPr>
          <w:p>
            <w:pPr>
              <w:jc w:val="right"/>
              <w:ind w:right="79"/>
              <w:spacing w:after="0" w:line="135" w:lineRule="exact"/>
              <w:rPr>
                <w:sz w:val="20"/>
                <w:szCs w:val="20"/>
                <w:color w:val="auto"/>
              </w:rPr>
            </w:pPr>
            <w:r>
              <w:rPr>
                <w:rFonts w:ascii="Arial" w:cs="Arial" w:eastAsia="Arial" w:hAnsi="Arial"/>
                <w:sz w:val="14"/>
                <w:szCs w:val="14"/>
                <w:color w:val="auto"/>
              </w:rPr>
              <w:t>Options</w:t>
            </w:r>
          </w:p>
        </w:tc>
        <w:tc>
          <w:tcPr>
            <w:tcW w:w="1700" w:type="dxa"/>
            <w:vAlign w:val="bottom"/>
          </w:tcPr>
          <w:p>
            <w:pPr>
              <w:jc w:val="right"/>
              <w:ind w:right="344"/>
              <w:spacing w:after="0" w:line="135" w:lineRule="exact"/>
              <w:rPr>
                <w:sz w:val="20"/>
                <w:szCs w:val="20"/>
                <w:color w:val="auto"/>
              </w:rPr>
            </w:pPr>
            <w:r>
              <w:rPr>
                <w:rFonts w:ascii="Arial" w:cs="Arial" w:eastAsia="Arial" w:hAnsi="Arial"/>
                <w:sz w:val="14"/>
                <w:szCs w:val="14"/>
                <w:color w:val="auto"/>
              </w:rPr>
              <w:t>Contractual</w:t>
            </w:r>
          </w:p>
        </w:tc>
        <w:tc>
          <w:tcPr>
            <w:tcW w:w="400" w:type="dxa"/>
            <w:vAlign w:val="bottom"/>
          </w:tcPr>
          <w:p>
            <w:pPr>
              <w:spacing w:after="0"/>
              <w:rPr>
                <w:sz w:val="11"/>
                <w:szCs w:val="11"/>
                <w:color w:val="auto"/>
              </w:rPr>
            </w:pPr>
          </w:p>
        </w:tc>
        <w:tc>
          <w:tcPr>
            <w:tcW w:w="1040" w:type="dxa"/>
            <w:vAlign w:val="bottom"/>
            <w:gridSpan w:val="2"/>
          </w:tcPr>
          <w:p>
            <w:pPr>
              <w:jc w:val="right"/>
              <w:ind w:right="500"/>
              <w:spacing w:after="0" w:line="135" w:lineRule="exact"/>
              <w:rPr>
                <w:sz w:val="20"/>
                <w:szCs w:val="20"/>
                <w:color w:val="auto"/>
              </w:rPr>
            </w:pPr>
            <w:r>
              <w:rPr>
                <w:rFonts w:ascii="Arial" w:cs="Arial" w:eastAsia="Arial" w:hAnsi="Arial"/>
                <w:sz w:val="14"/>
                <w:szCs w:val="14"/>
                <w:color w:val="auto"/>
                <w:w w:val="96"/>
              </w:rPr>
              <w:t>Exercise</w:t>
            </w:r>
          </w:p>
        </w:tc>
        <w:tc>
          <w:tcPr>
            <w:tcW w:w="1820" w:type="dxa"/>
            <w:vAlign w:val="bottom"/>
          </w:tcPr>
          <w:p>
            <w:pPr>
              <w:jc w:val="right"/>
              <w:ind w:right="281"/>
              <w:spacing w:after="0" w:line="135" w:lineRule="exact"/>
              <w:rPr>
                <w:sz w:val="20"/>
                <w:szCs w:val="20"/>
                <w:color w:val="auto"/>
              </w:rPr>
            </w:pPr>
            <w:r>
              <w:rPr>
                <w:rFonts w:ascii="Arial" w:cs="Arial" w:eastAsia="Arial" w:hAnsi="Arial"/>
                <w:sz w:val="14"/>
                <w:szCs w:val="14"/>
                <w:color w:val="auto"/>
              </w:rPr>
              <w:t>Options</w:t>
            </w:r>
          </w:p>
        </w:tc>
        <w:tc>
          <w:tcPr>
            <w:tcW w:w="480" w:type="dxa"/>
            <w:vAlign w:val="bottom"/>
          </w:tcPr>
          <w:p>
            <w:pPr>
              <w:spacing w:after="0"/>
              <w:rPr>
                <w:sz w:val="11"/>
                <w:szCs w:val="11"/>
                <w:color w:val="auto"/>
              </w:rPr>
            </w:pPr>
          </w:p>
        </w:tc>
        <w:tc>
          <w:tcPr>
            <w:tcW w:w="620" w:type="dxa"/>
            <w:vAlign w:val="bottom"/>
          </w:tcPr>
          <w:p>
            <w:pPr>
              <w:jc w:val="right"/>
              <w:ind w:right="21"/>
              <w:spacing w:after="0" w:line="135" w:lineRule="exact"/>
              <w:rPr>
                <w:sz w:val="20"/>
                <w:szCs w:val="20"/>
                <w:color w:val="auto"/>
              </w:rPr>
            </w:pPr>
            <w:r>
              <w:rPr>
                <w:rFonts w:ascii="Arial" w:cs="Arial" w:eastAsia="Arial" w:hAnsi="Arial"/>
                <w:sz w:val="14"/>
                <w:szCs w:val="14"/>
                <w:color w:val="auto"/>
                <w:w w:val="93"/>
              </w:rPr>
              <w:t>Exercise</w:t>
            </w:r>
          </w:p>
        </w:tc>
        <w:tc>
          <w:tcPr>
            <w:tcW w:w="0" w:type="dxa"/>
            <w:vAlign w:val="bottom"/>
          </w:tcPr>
          <w:p>
            <w:pPr>
              <w:spacing w:after="0"/>
              <w:rPr>
                <w:sz w:val="1"/>
                <w:szCs w:val="1"/>
                <w:color w:val="auto"/>
              </w:rPr>
            </w:pPr>
          </w:p>
        </w:tc>
      </w:tr>
      <w:tr>
        <w:trPr>
          <w:trHeight w:val="163"/>
        </w:trPr>
        <w:tc>
          <w:tcPr>
            <w:tcW w:w="29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color w:val="auto"/>
              </w:rPr>
              <w:t>Exercise Prices</w:t>
            </w: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rPr>
              <w:t>Outstanding</w:t>
            </w:r>
          </w:p>
        </w:tc>
        <w:tc>
          <w:tcPr>
            <w:tcW w:w="170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color w:val="auto"/>
              </w:rPr>
              <w:t>Life</w:t>
            </w:r>
          </w:p>
        </w:tc>
        <w:tc>
          <w:tcPr>
            <w:tcW w:w="4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color w:val="auto"/>
              </w:rPr>
              <w:t>Price</w:t>
            </w:r>
          </w:p>
        </w:tc>
        <w:tc>
          <w:tcPr>
            <w:tcW w:w="18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color w:val="auto"/>
              </w:rPr>
              <w:t>Exercisable</w:t>
            </w:r>
          </w:p>
        </w:tc>
        <w:tc>
          <w:tcPr>
            <w:tcW w:w="4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Price</w:t>
            </w:r>
          </w:p>
        </w:tc>
        <w:tc>
          <w:tcPr>
            <w:tcW w:w="0" w:type="dxa"/>
            <w:vAlign w:val="bottom"/>
          </w:tcPr>
          <w:p>
            <w:pPr>
              <w:spacing w:after="0"/>
              <w:rPr>
                <w:sz w:val="1"/>
                <w:szCs w:val="1"/>
                <w:color w:val="auto"/>
              </w:rPr>
            </w:pPr>
          </w:p>
        </w:tc>
      </w:tr>
      <w:tr>
        <w:trPr>
          <w:trHeight w:val="196"/>
        </w:trPr>
        <w:tc>
          <w:tcPr>
            <w:tcW w:w="2960" w:type="dxa"/>
            <w:vAlign w:val="bottom"/>
            <w:gridSpan w:val="2"/>
            <w:shd w:val="clear" w:color="auto" w:fill="CCEEFF"/>
          </w:tcPr>
          <w:p>
            <w:pPr>
              <w:jc w:val="right"/>
              <w:ind w:right="460"/>
              <w:spacing w:after="0" w:line="196" w:lineRule="exact"/>
              <w:rPr>
                <w:sz w:val="20"/>
                <w:szCs w:val="20"/>
                <w:color w:val="auto"/>
              </w:rPr>
            </w:pPr>
            <w:r>
              <w:rPr>
                <w:rFonts w:ascii="Arial" w:cs="Arial" w:eastAsia="Arial" w:hAnsi="Arial"/>
                <w:sz w:val="18"/>
                <w:szCs w:val="18"/>
                <w:color w:val="auto"/>
              </w:rPr>
              <w:t>$9.00 to $11.99</w:t>
            </w:r>
          </w:p>
        </w:tc>
        <w:tc>
          <w:tcPr>
            <w:tcW w:w="1480" w:type="dxa"/>
            <w:vAlign w:val="bottom"/>
            <w:shd w:val="clear" w:color="auto" w:fill="CCEEFF"/>
          </w:tcPr>
          <w:p>
            <w:pPr>
              <w:jc w:val="right"/>
              <w:ind w:right="79"/>
              <w:spacing w:after="0" w:line="196" w:lineRule="exact"/>
              <w:rPr>
                <w:sz w:val="20"/>
                <w:szCs w:val="20"/>
                <w:color w:val="auto"/>
              </w:rPr>
            </w:pPr>
            <w:r>
              <w:rPr>
                <w:rFonts w:ascii="Arial" w:cs="Arial" w:eastAsia="Arial" w:hAnsi="Arial"/>
                <w:sz w:val="18"/>
                <w:szCs w:val="18"/>
                <w:color w:val="auto"/>
              </w:rPr>
              <w:t>6,412,512</w:t>
            </w:r>
          </w:p>
        </w:tc>
        <w:tc>
          <w:tcPr>
            <w:tcW w:w="1700" w:type="dxa"/>
            <w:vAlign w:val="bottom"/>
            <w:shd w:val="clear" w:color="auto" w:fill="CCEEFF"/>
          </w:tcPr>
          <w:p>
            <w:pPr>
              <w:jc w:val="right"/>
              <w:ind w:right="344"/>
              <w:spacing w:after="0" w:line="196" w:lineRule="exact"/>
              <w:rPr>
                <w:sz w:val="20"/>
                <w:szCs w:val="20"/>
                <w:color w:val="auto"/>
              </w:rPr>
            </w:pPr>
            <w:r>
              <w:rPr>
                <w:rFonts w:ascii="Arial" w:cs="Arial" w:eastAsia="Arial" w:hAnsi="Arial"/>
                <w:sz w:val="18"/>
                <w:szCs w:val="18"/>
                <w:color w:val="auto"/>
              </w:rPr>
              <w:t>4.6</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21"/>
              <w:spacing w:after="0" w:line="196" w:lineRule="exact"/>
              <w:rPr>
                <w:sz w:val="20"/>
                <w:szCs w:val="20"/>
                <w:color w:val="auto"/>
              </w:rPr>
            </w:pPr>
            <w:r>
              <w:rPr>
                <w:rFonts w:ascii="Arial" w:cs="Arial" w:eastAsia="Arial" w:hAnsi="Arial"/>
                <w:sz w:val="18"/>
                <w:szCs w:val="18"/>
                <w:color w:val="auto"/>
              </w:rPr>
              <w:t>9.77</w:t>
            </w:r>
          </w:p>
        </w:tc>
        <w:tc>
          <w:tcPr>
            <w:tcW w:w="400" w:type="dxa"/>
            <w:vAlign w:val="bottom"/>
            <w:shd w:val="clear" w:color="auto" w:fill="CCEEFF"/>
          </w:tcPr>
          <w:p>
            <w:pPr>
              <w:spacing w:after="0"/>
              <w:rPr>
                <w:sz w:val="17"/>
                <w:szCs w:val="17"/>
                <w:color w:val="auto"/>
              </w:rPr>
            </w:pPr>
          </w:p>
        </w:tc>
        <w:tc>
          <w:tcPr>
            <w:tcW w:w="1820" w:type="dxa"/>
            <w:vAlign w:val="bottom"/>
            <w:shd w:val="clear" w:color="auto" w:fill="CCEEFF"/>
          </w:tcPr>
          <w:p>
            <w:pPr>
              <w:jc w:val="right"/>
              <w:ind w:right="281"/>
              <w:spacing w:after="0" w:line="196" w:lineRule="exact"/>
              <w:rPr>
                <w:sz w:val="20"/>
                <w:szCs w:val="20"/>
                <w:color w:val="auto"/>
              </w:rPr>
            </w:pPr>
            <w:r>
              <w:rPr>
                <w:rFonts w:ascii="Arial" w:cs="Arial" w:eastAsia="Arial" w:hAnsi="Arial"/>
                <w:sz w:val="18"/>
                <w:szCs w:val="18"/>
                <w:color w:val="auto"/>
              </w:rPr>
              <w:t>1,957,109</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21"/>
              <w:spacing w:after="0" w:line="196" w:lineRule="exact"/>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03"/>
        </w:trPr>
        <w:tc>
          <w:tcPr>
            <w:tcW w:w="29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12.00 to 14.00</w:t>
            </w:r>
          </w:p>
        </w:tc>
        <w:tc>
          <w:tcPr>
            <w:tcW w:w="1480" w:type="dxa"/>
            <w:vAlign w:val="bottom"/>
          </w:tcPr>
          <w:p>
            <w:pPr>
              <w:jc w:val="right"/>
              <w:ind w:right="79"/>
              <w:spacing w:after="0" w:line="202" w:lineRule="exact"/>
              <w:rPr>
                <w:sz w:val="20"/>
                <w:szCs w:val="20"/>
                <w:color w:val="auto"/>
              </w:rPr>
            </w:pPr>
            <w:r>
              <w:rPr>
                <w:rFonts w:ascii="Arial" w:cs="Arial" w:eastAsia="Arial" w:hAnsi="Arial"/>
                <w:sz w:val="18"/>
                <w:szCs w:val="18"/>
                <w:color w:val="auto"/>
              </w:rPr>
              <w:t>8,287,274</w:t>
            </w:r>
          </w:p>
        </w:tc>
        <w:tc>
          <w:tcPr>
            <w:tcW w:w="1700" w:type="dxa"/>
            <w:vAlign w:val="bottom"/>
          </w:tcPr>
          <w:p>
            <w:pPr>
              <w:jc w:val="right"/>
              <w:ind w:right="344"/>
              <w:spacing w:after="0" w:line="202" w:lineRule="exact"/>
              <w:rPr>
                <w:sz w:val="20"/>
                <w:szCs w:val="20"/>
                <w:color w:val="auto"/>
              </w:rPr>
            </w:pPr>
            <w:r>
              <w:rPr>
                <w:rFonts w:ascii="Arial" w:cs="Arial" w:eastAsia="Arial" w:hAnsi="Arial"/>
                <w:sz w:val="18"/>
                <w:szCs w:val="18"/>
                <w:color w:val="auto"/>
              </w:rPr>
              <w:t>7.3</w:t>
            </w:r>
          </w:p>
        </w:tc>
        <w:tc>
          <w:tcPr>
            <w:tcW w:w="400" w:type="dxa"/>
            <w:vAlign w:val="bottom"/>
          </w:tcPr>
          <w:p>
            <w:pPr>
              <w:spacing w:after="0"/>
              <w:rPr>
                <w:sz w:val="17"/>
                <w:szCs w:val="17"/>
                <w:color w:val="auto"/>
              </w:rPr>
            </w:pPr>
          </w:p>
        </w:tc>
        <w:tc>
          <w:tcPr>
            <w:tcW w:w="640" w:type="dxa"/>
            <w:vAlign w:val="bottom"/>
          </w:tcPr>
          <w:p>
            <w:pPr>
              <w:jc w:val="right"/>
              <w:ind w:right="21"/>
              <w:spacing w:after="0" w:line="202" w:lineRule="exact"/>
              <w:rPr>
                <w:sz w:val="20"/>
                <w:szCs w:val="20"/>
                <w:color w:val="auto"/>
              </w:rPr>
            </w:pPr>
            <w:r>
              <w:rPr>
                <w:rFonts w:ascii="Arial" w:cs="Arial" w:eastAsia="Arial" w:hAnsi="Arial"/>
                <w:sz w:val="18"/>
                <w:szCs w:val="18"/>
                <w:color w:val="auto"/>
              </w:rPr>
              <w:t>12.96</w:t>
            </w:r>
          </w:p>
        </w:tc>
        <w:tc>
          <w:tcPr>
            <w:tcW w:w="400" w:type="dxa"/>
            <w:vAlign w:val="bottom"/>
          </w:tcPr>
          <w:p>
            <w:pPr>
              <w:spacing w:after="0"/>
              <w:rPr>
                <w:sz w:val="17"/>
                <w:szCs w:val="17"/>
                <w:color w:val="auto"/>
              </w:rPr>
            </w:pPr>
          </w:p>
        </w:tc>
        <w:tc>
          <w:tcPr>
            <w:tcW w:w="1820" w:type="dxa"/>
            <w:vAlign w:val="bottom"/>
          </w:tcPr>
          <w:p>
            <w:pPr>
              <w:jc w:val="right"/>
              <w:ind w:right="281"/>
              <w:spacing w:after="0" w:line="202" w:lineRule="exact"/>
              <w:rPr>
                <w:sz w:val="20"/>
                <w:szCs w:val="20"/>
                <w:color w:val="auto"/>
              </w:rPr>
            </w:pPr>
            <w:r>
              <w:rPr>
                <w:rFonts w:ascii="Arial" w:cs="Arial" w:eastAsia="Arial" w:hAnsi="Arial"/>
                <w:sz w:val="18"/>
                <w:szCs w:val="18"/>
                <w:color w:val="auto"/>
              </w:rPr>
              <w:t>2,688,137</w:t>
            </w:r>
          </w:p>
        </w:tc>
        <w:tc>
          <w:tcPr>
            <w:tcW w:w="480" w:type="dxa"/>
            <w:vAlign w:val="bottom"/>
          </w:tcPr>
          <w:p>
            <w:pPr>
              <w:spacing w:after="0"/>
              <w:rPr>
                <w:sz w:val="17"/>
                <w:szCs w:val="17"/>
                <w:color w:val="auto"/>
              </w:rPr>
            </w:pPr>
          </w:p>
        </w:tc>
        <w:tc>
          <w:tcPr>
            <w:tcW w:w="620" w:type="dxa"/>
            <w:vAlign w:val="bottom"/>
          </w:tcPr>
          <w:p>
            <w:pPr>
              <w:jc w:val="right"/>
              <w:ind w:right="21"/>
              <w:spacing w:after="0" w:line="202" w:lineRule="exact"/>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03"/>
        </w:trPr>
        <w:tc>
          <w:tcPr>
            <w:tcW w:w="2960" w:type="dxa"/>
            <w:vAlign w:val="bottom"/>
            <w:tcBorders>
              <w:bottom w:val="single" w:sz="8" w:color="auto"/>
            </w:tcBorders>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14.01 to 18.36</w:t>
            </w:r>
          </w:p>
        </w:tc>
        <w:tc>
          <w:tcPr>
            <w:tcW w:w="1480" w:type="dxa"/>
            <w:vAlign w:val="bottom"/>
            <w:tcBorders>
              <w:bottom w:val="single" w:sz="8" w:color="auto"/>
            </w:tcBorders>
            <w:shd w:val="clear" w:color="auto" w:fill="CCEEFF"/>
          </w:tcPr>
          <w:p>
            <w:pPr>
              <w:jc w:val="right"/>
              <w:ind w:right="79"/>
              <w:spacing w:after="0" w:line="202" w:lineRule="exact"/>
              <w:rPr>
                <w:sz w:val="20"/>
                <w:szCs w:val="20"/>
                <w:color w:val="auto"/>
              </w:rPr>
            </w:pPr>
            <w:r>
              <w:rPr>
                <w:rFonts w:ascii="Arial" w:cs="Arial" w:eastAsia="Arial" w:hAnsi="Arial"/>
                <w:sz w:val="18"/>
                <w:szCs w:val="18"/>
                <w:color w:val="auto"/>
              </w:rPr>
              <w:t>5,446,234</w:t>
            </w:r>
          </w:p>
        </w:tc>
        <w:tc>
          <w:tcPr>
            <w:tcW w:w="1700" w:type="dxa"/>
            <w:vAlign w:val="bottom"/>
            <w:tcBorders>
              <w:bottom w:val="single" w:sz="8" w:color="auto"/>
            </w:tcBorders>
            <w:shd w:val="clear" w:color="auto" w:fill="CCEEFF"/>
          </w:tcPr>
          <w:p>
            <w:pPr>
              <w:jc w:val="right"/>
              <w:ind w:right="344"/>
              <w:spacing w:after="0" w:line="202" w:lineRule="exact"/>
              <w:rPr>
                <w:sz w:val="20"/>
                <w:szCs w:val="20"/>
                <w:color w:val="auto"/>
              </w:rPr>
            </w:pPr>
            <w:r>
              <w:rPr>
                <w:rFonts w:ascii="Arial" w:cs="Arial" w:eastAsia="Arial" w:hAnsi="Arial"/>
                <w:sz w:val="18"/>
                <w:szCs w:val="18"/>
                <w:color w:val="auto"/>
              </w:rPr>
              <w:t>2.0</w:t>
            </w:r>
          </w:p>
        </w:tc>
        <w:tc>
          <w:tcPr>
            <w:tcW w:w="4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21"/>
              <w:spacing w:after="0" w:line="202" w:lineRule="exact"/>
              <w:rPr>
                <w:sz w:val="20"/>
                <w:szCs w:val="20"/>
                <w:color w:val="auto"/>
              </w:rPr>
            </w:pPr>
            <w:r>
              <w:rPr>
                <w:rFonts w:ascii="Arial" w:cs="Arial" w:eastAsia="Arial" w:hAnsi="Arial"/>
                <w:sz w:val="18"/>
                <w:szCs w:val="18"/>
                <w:color w:val="auto"/>
              </w:rPr>
              <w:t>16.97</w:t>
            </w:r>
          </w:p>
        </w:tc>
        <w:tc>
          <w:tcPr>
            <w:tcW w:w="40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ind w:right="281"/>
              <w:spacing w:after="0" w:line="202" w:lineRule="exact"/>
              <w:rPr>
                <w:sz w:val="20"/>
                <w:szCs w:val="20"/>
                <w:color w:val="auto"/>
              </w:rPr>
            </w:pPr>
            <w:r>
              <w:rPr>
                <w:rFonts w:ascii="Arial" w:cs="Arial" w:eastAsia="Arial" w:hAnsi="Arial"/>
                <w:sz w:val="18"/>
                <w:szCs w:val="18"/>
                <w:color w:val="auto"/>
              </w:rPr>
              <w:t>5,319,679</w:t>
            </w:r>
          </w:p>
        </w:tc>
        <w:tc>
          <w:tcPr>
            <w:tcW w:w="4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21"/>
              <w:spacing w:after="0" w:line="202" w:lineRule="exact"/>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03"/>
        </w:trPr>
        <w:tc>
          <w:tcPr>
            <w:tcW w:w="25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9"/>
              <w:spacing w:after="0" w:line="196" w:lineRule="exact"/>
              <w:rPr>
                <w:sz w:val="20"/>
                <w:szCs w:val="20"/>
                <w:color w:val="auto"/>
              </w:rPr>
            </w:pPr>
            <w:r>
              <w:rPr>
                <w:rFonts w:ascii="Arial" w:cs="Arial" w:eastAsia="Arial" w:hAnsi="Arial"/>
                <w:sz w:val="18"/>
                <w:szCs w:val="18"/>
                <w:color w:val="auto"/>
              </w:rPr>
              <w:t>20,146,020</w:t>
            </w:r>
          </w:p>
        </w:tc>
        <w:tc>
          <w:tcPr>
            <w:tcW w:w="1700" w:type="dxa"/>
            <w:vAlign w:val="bottom"/>
            <w:tcBorders>
              <w:bottom w:val="single" w:sz="8" w:color="auto"/>
            </w:tcBorders>
          </w:tcPr>
          <w:p>
            <w:pPr>
              <w:jc w:val="right"/>
              <w:ind w:right="344"/>
              <w:spacing w:after="0" w:line="196" w:lineRule="exact"/>
              <w:rPr>
                <w:sz w:val="20"/>
                <w:szCs w:val="20"/>
                <w:color w:val="auto"/>
              </w:rPr>
            </w:pPr>
            <w:r>
              <w:rPr>
                <w:rFonts w:ascii="Arial" w:cs="Arial" w:eastAsia="Arial" w:hAnsi="Arial"/>
                <w:sz w:val="18"/>
                <w:szCs w:val="18"/>
                <w:color w:val="auto"/>
              </w:rPr>
              <w:t>5.0</w:t>
            </w:r>
          </w:p>
        </w:tc>
        <w:tc>
          <w:tcPr>
            <w:tcW w:w="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21"/>
              <w:spacing w:after="0" w:line="196" w:lineRule="exact"/>
              <w:rPr>
                <w:sz w:val="20"/>
                <w:szCs w:val="20"/>
                <w:color w:val="auto"/>
              </w:rPr>
            </w:pPr>
            <w:r>
              <w:rPr>
                <w:rFonts w:ascii="Arial" w:cs="Arial" w:eastAsia="Arial" w:hAnsi="Arial"/>
                <w:sz w:val="18"/>
                <w:szCs w:val="18"/>
                <w:color w:val="auto"/>
              </w:rPr>
              <w:t>13.03</w:t>
            </w:r>
          </w:p>
        </w:tc>
        <w:tc>
          <w:tcPr>
            <w:tcW w:w="4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281"/>
              <w:spacing w:after="0" w:line="196" w:lineRule="exact"/>
              <w:rPr>
                <w:sz w:val="20"/>
                <w:szCs w:val="20"/>
                <w:color w:val="auto"/>
              </w:rPr>
            </w:pPr>
            <w:r>
              <w:rPr>
                <w:rFonts w:ascii="Arial" w:cs="Arial" w:eastAsia="Arial" w:hAnsi="Arial"/>
                <w:sz w:val="18"/>
                <w:szCs w:val="18"/>
                <w:color w:val="auto"/>
              </w:rPr>
              <w:t>9,964,925</w:t>
            </w: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21"/>
              <w:spacing w:after="0" w:line="196" w:lineRule="exact"/>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20" w:hanging="212"/>
        <w:spacing w:after="0"/>
        <w:tabs>
          <w:tab w:leader="none" w:pos="220" w:val="left"/>
        </w:tabs>
        <w:numPr>
          <w:ilvl w:val="0"/>
          <w:numId w:val="37"/>
        </w:numPr>
        <w:rPr>
          <w:rFonts w:ascii="Arial" w:cs="Arial" w:eastAsia="Arial" w:hAnsi="Arial"/>
          <w:sz w:val="21"/>
          <w:szCs w:val="21"/>
          <w:color w:val="auto"/>
          <w:vertAlign w:val="superscript"/>
        </w:rPr>
      </w:pPr>
      <w:r>
        <w:rPr>
          <w:rFonts w:ascii="Arial" w:cs="Arial" w:eastAsia="Arial" w:hAnsi="Arial"/>
          <w:sz w:val="13"/>
          <w:szCs w:val="13"/>
          <w:color w:val="auto"/>
        </w:rPr>
        <w:t>At December 31, 2011, the weighted-average remaining contractual life of options exercisable was 2.6 years and the aggregate intrinsic value of options exercisable was $29.1 million.</w:t>
      </w:r>
    </w:p>
    <w:p>
      <w:pPr>
        <w:spacing w:after="0" w:line="15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remaining unrecognized compensation cost related to unvested awards at December 31, 2011 was approximately $21.4 million, and the weighted-average period of time over which this cost will be recognized is 2.5 years. The fair value of options that vested during the years ended December 31, 2011, 2010 and 2009 was $10.0 million, $9.0 million and $8.6 million, respectively. The intrinsic value of Home &amp; Security stock options exercised in the years ended December 31, 2011, 2010 and 2009 was $10.0 million, $3.7 million and $0.3 million, respectively.</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A summary of activity with respect to restricted stock units outstanding under the Plan related to Home &amp; Security and our Former Parent employees for the year ended December 31, 2011 is as follows. All awards granted prior to October 4, 2011 have been adjusted to reflect the conversion as of the date of the Separation as all restricted stock units outstanding prior to the Separation were in our Former Parent’s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102235</wp:posOffset>
            </wp:positionV>
            <wp:extent cx="60801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38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60" w:type="dxa"/>
            <w:vAlign w:val="bottom"/>
          </w:tcPr>
          <w:p>
            <w:pPr>
              <w:jc w:val="right"/>
              <w:ind w:right="22"/>
              <w:spacing w:after="0"/>
              <w:rPr>
                <w:sz w:val="20"/>
                <w:szCs w:val="20"/>
                <w:color w:val="auto"/>
              </w:rPr>
            </w:pPr>
            <w:r>
              <w:rPr>
                <w:rFonts w:ascii="Arial" w:cs="Arial" w:eastAsia="Arial" w:hAnsi="Arial"/>
                <w:sz w:val="14"/>
                <w:szCs w:val="14"/>
                <w:color w:val="auto"/>
              </w:rPr>
              <w:t>Weighted-</w:t>
            </w:r>
          </w:p>
        </w:tc>
      </w:tr>
      <w:tr>
        <w:trPr>
          <w:trHeight w:val="149"/>
        </w:trPr>
        <w:tc>
          <w:tcPr>
            <w:tcW w:w="50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260" w:type="dxa"/>
            <w:vAlign w:val="bottom"/>
          </w:tcPr>
          <w:p>
            <w:pPr>
              <w:jc w:val="right"/>
              <w:ind w:right="22"/>
              <w:spacing w:after="0" w:line="149" w:lineRule="exact"/>
              <w:rPr>
                <w:sz w:val="20"/>
                <w:szCs w:val="20"/>
                <w:color w:val="auto"/>
              </w:rPr>
            </w:pPr>
            <w:r>
              <w:rPr>
                <w:rFonts w:ascii="Arial" w:cs="Arial" w:eastAsia="Arial" w:hAnsi="Arial"/>
                <w:sz w:val="14"/>
                <w:szCs w:val="14"/>
                <w:color w:val="auto"/>
              </w:rPr>
              <w:t>Average</w:t>
            </w:r>
          </w:p>
        </w:tc>
      </w:tr>
      <w:tr>
        <w:trPr>
          <w:trHeight w:val="149"/>
        </w:trPr>
        <w:tc>
          <w:tcPr>
            <w:tcW w:w="50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260" w:type="dxa"/>
            <w:vAlign w:val="bottom"/>
          </w:tcPr>
          <w:p>
            <w:pPr>
              <w:jc w:val="right"/>
              <w:ind w:right="22"/>
              <w:spacing w:after="0" w:line="149" w:lineRule="exact"/>
              <w:rPr>
                <w:sz w:val="20"/>
                <w:szCs w:val="20"/>
                <w:color w:val="auto"/>
              </w:rPr>
            </w:pPr>
            <w:r>
              <w:rPr>
                <w:rFonts w:ascii="Arial" w:cs="Arial" w:eastAsia="Arial" w:hAnsi="Arial"/>
                <w:sz w:val="14"/>
                <w:szCs w:val="14"/>
                <w:color w:val="auto"/>
              </w:rPr>
              <w:t>Grant-</w:t>
            </w:r>
          </w:p>
        </w:tc>
      </w:tr>
      <w:tr>
        <w:trPr>
          <w:trHeight w:val="149"/>
        </w:trPr>
        <w:tc>
          <w:tcPr>
            <w:tcW w:w="5080" w:type="dxa"/>
            <w:vAlign w:val="bottom"/>
          </w:tcPr>
          <w:p>
            <w:pPr>
              <w:spacing w:after="0"/>
              <w:rPr>
                <w:sz w:val="12"/>
                <w:szCs w:val="12"/>
                <w:color w:val="auto"/>
              </w:rPr>
            </w:pPr>
          </w:p>
        </w:tc>
        <w:tc>
          <w:tcPr>
            <w:tcW w:w="3240" w:type="dxa"/>
            <w:vAlign w:val="bottom"/>
          </w:tcPr>
          <w:p>
            <w:pPr>
              <w:jc w:val="right"/>
              <w:ind w:right="458"/>
              <w:spacing w:after="0" w:line="149" w:lineRule="exact"/>
              <w:rPr>
                <w:sz w:val="20"/>
                <w:szCs w:val="20"/>
                <w:color w:val="auto"/>
              </w:rPr>
            </w:pPr>
            <w:r>
              <w:rPr>
                <w:rFonts w:ascii="Arial" w:cs="Arial" w:eastAsia="Arial" w:hAnsi="Arial"/>
                <w:sz w:val="14"/>
                <w:szCs w:val="14"/>
                <w:color w:val="auto"/>
              </w:rPr>
              <w:t>Number of Restricted</w:t>
            </w:r>
          </w:p>
        </w:tc>
        <w:tc>
          <w:tcPr>
            <w:tcW w:w="1260" w:type="dxa"/>
            <w:vAlign w:val="bottom"/>
          </w:tcPr>
          <w:p>
            <w:pPr>
              <w:jc w:val="right"/>
              <w:ind w:right="22"/>
              <w:spacing w:after="0" w:line="149" w:lineRule="exact"/>
              <w:rPr>
                <w:sz w:val="20"/>
                <w:szCs w:val="20"/>
                <w:color w:val="auto"/>
              </w:rPr>
            </w:pPr>
            <w:r>
              <w:rPr>
                <w:rFonts w:ascii="Arial" w:cs="Arial" w:eastAsia="Arial" w:hAnsi="Arial"/>
                <w:sz w:val="14"/>
                <w:szCs w:val="14"/>
                <w:color w:val="auto"/>
              </w:rPr>
              <w:t>Date</w:t>
            </w:r>
          </w:p>
        </w:tc>
      </w:tr>
      <w:tr>
        <w:trPr>
          <w:trHeight w:val="163"/>
        </w:trPr>
        <w:tc>
          <w:tcPr>
            <w:tcW w:w="508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color w:val="auto"/>
              </w:rPr>
              <w:t>Stock Units</w:t>
            </w: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Fair Value</w:t>
            </w:r>
          </w:p>
        </w:tc>
      </w:tr>
      <w:tr>
        <w:trPr>
          <w:trHeight w:val="196"/>
        </w:trPr>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Non-vested at December 31, 2010</w:t>
            </w:r>
          </w:p>
        </w:tc>
        <w:tc>
          <w:tcPr>
            <w:tcW w:w="3240" w:type="dxa"/>
            <w:vAlign w:val="bottom"/>
            <w:shd w:val="clear" w:color="auto" w:fill="CCEEFF"/>
          </w:tcPr>
          <w:p>
            <w:pPr>
              <w:jc w:val="right"/>
              <w:ind w:right="458"/>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2"/>
              <w:spacing w:after="0" w:line="196" w:lineRule="exact"/>
              <w:rPr>
                <w:sz w:val="20"/>
                <w:szCs w:val="20"/>
                <w:color w:val="auto"/>
              </w:rPr>
            </w:pPr>
            <w:r>
              <w:rPr>
                <w:rFonts w:ascii="Arial" w:cs="Arial" w:eastAsia="Arial" w:hAnsi="Arial"/>
                <w:sz w:val="18"/>
                <w:szCs w:val="18"/>
                <w:color w:val="auto"/>
              </w:rPr>
              <w:t>—</w:t>
            </w: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Converted Former Parent restricted stock units</w:t>
            </w:r>
          </w:p>
        </w:tc>
        <w:tc>
          <w:tcPr>
            <w:tcW w:w="3240" w:type="dxa"/>
            <w:vAlign w:val="bottom"/>
          </w:tcPr>
          <w:p>
            <w:pPr>
              <w:jc w:val="right"/>
              <w:ind w:right="458"/>
              <w:spacing w:after="0" w:line="202" w:lineRule="exact"/>
              <w:rPr>
                <w:sz w:val="20"/>
                <w:szCs w:val="20"/>
                <w:color w:val="auto"/>
              </w:rPr>
            </w:pPr>
            <w:r>
              <w:rPr>
                <w:rFonts w:ascii="Arial" w:cs="Arial" w:eastAsia="Arial" w:hAnsi="Arial"/>
                <w:sz w:val="18"/>
                <w:szCs w:val="18"/>
                <w:color w:val="auto"/>
              </w:rPr>
              <w:t>841,862</w:t>
            </w:r>
          </w:p>
        </w:tc>
        <w:tc>
          <w:tcPr>
            <w:tcW w:w="1260" w:type="dxa"/>
            <w:vAlign w:val="bottom"/>
          </w:tcPr>
          <w:p>
            <w:pPr>
              <w:jc w:val="right"/>
              <w:ind w:right="22"/>
              <w:spacing w:after="0" w:line="202" w:lineRule="exact"/>
              <w:rPr>
                <w:sz w:val="20"/>
                <w:szCs w:val="20"/>
                <w:color w:val="auto"/>
              </w:rPr>
            </w:pPr>
            <w:r>
              <w:rPr>
                <w:rFonts w:ascii="Arial" w:cs="Arial" w:eastAsia="Arial" w:hAnsi="Arial"/>
                <w:sz w:val="18"/>
                <w:szCs w:val="18"/>
                <w:color w:val="auto"/>
              </w:rPr>
              <w:t>$ 10.89</w:t>
            </w:r>
          </w:p>
        </w:tc>
      </w:tr>
      <w:tr>
        <w:trPr>
          <w:trHeight w:val="203"/>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Converted Former Parent performance awards</w:t>
            </w:r>
          </w:p>
        </w:tc>
        <w:tc>
          <w:tcPr>
            <w:tcW w:w="3240" w:type="dxa"/>
            <w:vAlign w:val="bottom"/>
            <w:shd w:val="clear" w:color="auto" w:fill="CCEEFF"/>
          </w:tcPr>
          <w:p>
            <w:pPr>
              <w:jc w:val="right"/>
              <w:ind w:right="458"/>
              <w:spacing w:after="0" w:line="202" w:lineRule="exact"/>
              <w:rPr>
                <w:sz w:val="20"/>
                <w:szCs w:val="20"/>
                <w:color w:val="auto"/>
              </w:rPr>
            </w:pPr>
            <w:r>
              <w:rPr>
                <w:rFonts w:ascii="Arial" w:cs="Arial" w:eastAsia="Arial" w:hAnsi="Arial"/>
                <w:sz w:val="18"/>
                <w:szCs w:val="18"/>
                <w:color w:val="auto"/>
              </w:rPr>
              <w:t>538,539</w:t>
            </w:r>
          </w:p>
        </w:tc>
        <w:tc>
          <w:tcPr>
            <w:tcW w:w="1260" w:type="dxa"/>
            <w:vAlign w:val="bottom"/>
            <w:shd w:val="clear" w:color="auto" w:fill="CCEEFF"/>
          </w:tcPr>
          <w:p>
            <w:pPr>
              <w:jc w:val="right"/>
              <w:ind w:right="22"/>
              <w:spacing w:after="0" w:line="202" w:lineRule="exact"/>
              <w:rPr>
                <w:sz w:val="20"/>
                <w:szCs w:val="20"/>
                <w:color w:val="auto"/>
              </w:rPr>
            </w:pPr>
            <w:r>
              <w:rPr>
                <w:rFonts w:ascii="Arial" w:cs="Arial" w:eastAsia="Arial" w:hAnsi="Arial"/>
                <w:sz w:val="18"/>
                <w:szCs w:val="18"/>
                <w:color w:val="auto"/>
              </w:rPr>
              <w:t>7.63</w:t>
            </w:r>
          </w:p>
        </w:tc>
      </w:tr>
      <w:tr>
        <w:trPr>
          <w:trHeight w:val="203"/>
        </w:trPr>
        <w:tc>
          <w:tcPr>
            <w:tcW w:w="50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Granted</w:t>
            </w:r>
          </w:p>
        </w:tc>
        <w:tc>
          <w:tcPr>
            <w:tcW w:w="3240" w:type="dxa"/>
            <w:vAlign w:val="bottom"/>
            <w:tcBorders>
              <w:bottom w:val="single" w:sz="8" w:color="auto"/>
            </w:tcBorders>
          </w:tcPr>
          <w:p>
            <w:pPr>
              <w:jc w:val="right"/>
              <w:ind w:right="458"/>
              <w:spacing w:after="0" w:line="202" w:lineRule="exact"/>
              <w:rPr>
                <w:sz w:val="20"/>
                <w:szCs w:val="20"/>
                <w:color w:val="auto"/>
              </w:rPr>
            </w:pPr>
            <w:r>
              <w:rPr>
                <w:rFonts w:ascii="Arial" w:cs="Arial" w:eastAsia="Arial" w:hAnsi="Arial"/>
                <w:sz w:val="18"/>
                <w:szCs w:val="18"/>
                <w:color w:val="auto"/>
              </w:rPr>
              <w:t>799,500</w:t>
            </w:r>
          </w:p>
        </w:tc>
        <w:tc>
          <w:tcPr>
            <w:tcW w:w="1260" w:type="dxa"/>
            <w:vAlign w:val="bottom"/>
            <w:tcBorders>
              <w:bottom w:val="single" w:sz="8" w:color="auto"/>
            </w:tcBorders>
          </w:tcPr>
          <w:p>
            <w:pPr>
              <w:jc w:val="right"/>
              <w:ind w:right="22"/>
              <w:spacing w:after="0" w:line="202" w:lineRule="exact"/>
              <w:rPr>
                <w:sz w:val="20"/>
                <w:szCs w:val="20"/>
                <w:color w:val="auto"/>
              </w:rPr>
            </w:pPr>
            <w:r>
              <w:rPr>
                <w:rFonts w:ascii="Arial" w:cs="Arial" w:eastAsia="Arial" w:hAnsi="Arial"/>
                <w:sz w:val="18"/>
                <w:szCs w:val="18"/>
                <w:color w:val="auto"/>
              </w:rPr>
              <w:t>12.15</w:t>
            </w:r>
          </w:p>
        </w:tc>
      </w:tr>
      <w:tr>
        <w:trPr>
          <w:trHeight w:val="203"/>
        </w:trPr>
        <w:tc>
          <w:tcPr>
            <w:tcW w:w="50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Non-vested at December 31, 2011</w:t>
            </w:r>
          </w:p>
        </w:tc>
        <w:tc>
          <w:tcPr>
            <w:tcW w:w="3240" w:type="dxa"/>
            <w:vAlign w:val="bottom"/>
            <w:tcBorders>
              <w:bottom w:val="single" w:sz="8" w:color="auto"/>
            </w:tcBorders>
            <w:shd w:val="clear" w:color="auto" w:fill="CCEEFF"/>
          </w:tcPr>
          <w:p>
            <w:pPr>
              <w:jc w:val="right"/>
              <w:ind w:right="458"/>
              <w:spacing w:after="0" w:line="196" w:lineRule="exact"/>
              <w:rPr>
                <w:sz w:val="20"/>
                <w:szCs w:val="20"/>
                <w:color w:val="auto"/>
              </w:rPr>
            </w:pPr>
            <w:r>
              <w:rPr>
                <w:rFonts w:ascii="Arial" w:cs="Arial" w:eastAsia="Arial" w:hAnsi="Arial"/>
                <w:sz w:val="18"/>
                <w:szCs w:val="18"/>
                <w:color w:val="auto"/>
              </w:rPr>
              <w:t>2,179,901</w:t>
            </w:r>
          </w:p>
        </w:tc>
        <w:tc>
          <w:tcPr>
            <w:tcW w:w="1260" w:type="dxa"/>
            <w:vAlign w:val="bottom"/>
            <w:tcBorders>
              <w:bottom w:val="single" w:sz="8" w:color="auto"/>
            </w:tcBorders>
            <w:shd w:val="clear" w:color="auto" w:fill="CCEEFF"/>
          </w:tcPr>
          <w:p>
            <w:pPr>
              <w:jc w:val="right"/>
              <w:ind w:right="22"/>
              <w:spacing w:after="0" w:line="196" w:lineRule="exact"/>
              <w:rPr>
                <w:sz w:val="20"/>
                <w:szCs w:val="20"/>
                <w:color w:val="auto"/>
              </w:rPr>
            </w:pPr>
            <w:r>
              <w:rPr>
                <w:rFonts w:ascii="Arial" w:cs="Arial" w:eastAsia="Arial" w:hAnsi="Arial"/>
                <w:sz w:val="18"/>
                <w:szCs w:val="18"/>
                <w:color w:val="auto"/>
              </w:rPr>
              <w:t>$ 10.55</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pre-tax compensation cost for restricted stock units recorded in 2011, 2010 and 2009 was $1.6 million ($1.0 million after tax), $1.2 million</w:t>
      </w:r>
    </w:p>
    <w:p>
      <w:pPr>
        <w:spacing w:after="0" w:line="238" w:lineRule="auto"/>
        <w:rPr>
          <w:sz w:val="20"/>
          <w:szCs w:val="20"/>
          <w:color w:val="auto"/>
        </w:rPr>
      </w:pPr>
      <w:r>
        <w:rPr>
          <w:rFonts w:ascii="Arial" w:cs="Arial" w:eastAsia="Arial" w:hAnsi="Arial"/>
          <w:sz w:val="18"/>
          <w:szCs w:val="18"/>
          <w:color w:val="auto"/>
        </w:rPr>
        <w:t>($0.7 million after tax) and $1.6 million ($1.0 million after tax), respectively. At December 31, 2011, 18,000 restricted stock units were vested. The remaining unrecognized pre-tax compensation cost related to restricted stock units at December 31, 2011 was approximately $13.3 million, and the weighted-average period of time over which this cost will be recognized is 3.0 years.</w:t>
      </w:r>
    </w:p>
    <w:p>
      <w:pPr>
        <w:spacing w:after="0" w:line="132" w:lineRule="exact"/>
        <w:rPr>
          <w:sz w:val="20"/>
          <w:szCs w:val="20"/>
          <w:color w:val="auto"/>
        </w:rPr>
      </w:pPr>
    </w:p>
    <w:p>
      <w:pPr>
        <w:ind w:left="440" w:hanging="432"/>
        <w:spacing w:after="0"/>
        <w:tabs>
          <w:tab w:leader="none" w:pos="4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Defined Benefit Plans</w:t>
      </w:r>
    </w:p>
    <w:p>
      <w:pPr>
        <w:spacing w:after="0" w:line="180"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have a number of pension plans in the United States, covering many of the Company’s employees. The plans provide for payment of retirement benefits, mainly commencing between the ages of 55 and 65, and also for payment of certain disability and severance benefits. After meeting certain qualifications, an employee acquires a vested right to future benefits. The benefits payable under the plans are generally determined on the basis of an employee’s length of service and/or earnings. Employer contributions to the plans are made, as necessary, to ensure legal funding requirements are satisfied. In addition, from time to time, we may make contributions in excess of the legal funding requirements.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60"/>
          </w:cols>
          <w:pgMar w:left="240" w:top="459" w:right="3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700"/>
        <w:spacing w:after="0" w:line="239" w:lineRule="auto"/>
        <w:rPr>
          <w:sz w:val="20"/>
          <w:szCs w:val="20"/>
          <w:color w:val="auto"/>
        </w:rPr>
      </w:pPr>
      <w:r>
        <w:rPr>
          <w:rFonts w:ascii="Arial" w:cs="Arial" w:eastAsia="Arial" w:hAnsi="Arial"/>
          <w:sz w:val="18"/>
          <w:szCs w:val="18"/>
          <w:color w:val="auto"/>
        </w:rPr>
        <w:t>The Company provides postretirement health care and life insurance benefits to certain retirees. Many employees and retirees outside the United States are covered by government health care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gridSpan w:val="2"/>
          </w:tcPr>
          <w:p>
            <w:pPr>
              <w:spacing w:after="0"/>
              <w:rPr>
                <w:sz w:val="20"/>
                <w:szCs w:val="20"/>
                <w:color w:val="auto"/>
              </w:rPr>
            </w:pPr>
            <w:r>
              <w:rPr>
                <w:rFonts w:ascii="Arial" w:cs="Arial" w:eastAsia="Arial" w:hAnsi="Arial"/>
                <w:sz w:val="14"/>
                <w:szCs w:val="14"/>
                <w:color w:val="auto"/>
              </w:rPr>
              <w:t>Obligations and Funded Status at December 31</w:t>
            </w:r>
          </w:p>
        </w:tc>
        <w:tc>
          <w:tcPr>
            <w:tcW w:w="2940" w:type="dxa"/>
            <w:vAlign w:val="bottom"/>
            <w:gridSpan w:val="2"/>
          </w:tcPr>
          <w:p>
            <w:pPr>
              <w:jc w:val="right"/>
              <w:ind w:right="913"/>
              <w:spacing w:after="0"/>
              <w:rPr>
                <w:sz w:val="20"/>
                <w:szCs w:val="20"/>
                <w:color w:val="auto"/>
              </w:rPr>
            </w:pPr>
            <w:r>
              <w:rPr>
                <w:rFonts w:ascii="Arial" w:cs="Arial" w:eastAsia="Arial" w:hAnsi="Arial"/>
                <w:sz w:val="14"/>
                <w:szCs w:val="14"/>
                <w:color w:val="auto"/>
              </w:rPr>
              <w:t>Pension Benefits</w:t>
            </w:r>
          </w:p>
        </w:tc>
        <w:tc>
          <w:tcPr>
            <w:tcW w:w="560" w:type="dxa"/>
            <w:vAlign w:val="bottom"/>
          </w:tcPr>
          <w:p>
            <w:pPr>
              <w:spacing w:after="0"/>
              <w:rPr>
                <w:sz w:val="14"/>
                <w:szCs w:val="14"/>
                <w:color w:val="auto"/>
              </w:rPr>
            </w:pPr>
          </w:p>
        </w:tc>
        <w:tc>
          <w:tcPr>
            <w:tcW w:w="2200" w:type="dxa"/>
            <w:vAlign w:val="bottom"/>
            <w:gridSpan w:val="3"/>
          </w:tcPr>
          <w:p>
            <w:pPr>
              <w:jc w:val="right"/>
              <w:ind w:right="473"/>
              <w:spacing w:after="0"/>
              <w:rPr>
                <w:sz w:val="20"/>
                <w:szCs w:val="20"/>
                <w:color w:val="auto"/>
              </w:rPr>
            </w:pPr>
            <w:r>
              <w:rPr>
                <w:rFonts w:ascii="Arial" w:cs="Arial" w:eastAsia="Arial" w:hAnsi="Arial"/>
                <w:sz w:val="14"/>
                <w:szCs w:val="14"/>
                <w:color w:val="auto"/>
              </w:rPr>
              <w:t>Postretirement Benefits</w:t>
            </w:r>
          </w:p>
        </w:tc>
      </w:tr>
      <w:tr>
        <w:trPr>
          <w:trHeight w:val="142"/>
        </w:trPr>
        <w:tc>
          <w:tcPr>
            <w:tcW w:w="20" w:type="dxa"/>
            <w:vAlign w:val="bottom"/>
          </w:tcPr>
          <w:p>
            <w:pPr>
              <w:spacing w:after="0"/>
              <w:rPr>
                <w:sz w:val="12"/>
                <w:szCs w:val="12"/>
                <w:color w:val="auto"/>
              </w:rPr>
            </w:pPr>
          </w:p>
        </w:tc>
        <w:tc>
          <w:tcPr>
            <w:tcW w:w="5700" w:type="dxa"/>
            <w:vAlign w:val="bottom"/>
            <w:tcBorders>
              <w:top w:val="single" w:sz="8" w:color="auto"/>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1500" w:type="dxa"/>
            <w:vAlign w:val="bottom"/>
            <w:tcBorders>
              <w:top w:val="single" w:sz="8" w:color="auto"/>
              <w:bottom w:val="single" w:sz="8" w:color="auto"/>
              <w:right w:val="single" w:sz="8" w:color="auto"/>
            </w:tcBorders>
          </w:tcPr>
          <w:p>
            <w:pPr>
              <w:jc w:val="right"/>
              <w:ind w:right="394"/>
              <w:spacing w:after="0" w:line="142" w:lineRule="exact"/>
              <w:rPr>
                <w:sz w:val="20"/>
                <w:szCs w:val="20"/>
                <w:color w:val="auto"/>
              </w:rPr>
            </w:pPr>
            <w:r>
              <w:rPr>
                <w:rFonts w:ascii="Arial" w:cs="Arial" w:eastAsia="Arial" w:hAnsi="Arial"/>
                <w:sz w:val="14"/>
                <w:szCs w:val="14"/>
                <w:i w:val="1"/>
                <w:iCs w:val="1"/>
                <w:color w:val="auto"/>
              </w:rPr>
              <w:t>2011</w:t>
            </w:r>
          </w:p>
        </w:tc>
        <w:tc>
          <w:tcPr>
            <w:tcW w:w="1440" w:type="dxa"/>
            <w:vAlign w:val="bottom"/>
            <w:tcBorders>
              <w:top w:val="single" w:sz="8" w:color="auto"/>
              <w:bottom w:val="single" w:sz="8" w:color="auto"/>
              <w:right w:val="single" w:sz="8" w:color="auto"/>
            </w:tcBorders>
          </w:tcPr>
          <w:p>
            <w:pPr>
              <w:jc w:val="right"/>
              <w:ind w:right="393"/>
              <w:spacing w:after="0" w:line="142" w:lineRule="exact"/>
              <w:rPr>
                <w:sz w:val="20"/>
                <w:szCs w:val="20"/>
                <w:color w:val="auto"/>
              </w:rPr>
            </w:pPr>
            <w:r>
              <w:rPr>
                <w:rFonts w:ascii="Arial" w:cs="Arial" w:eastAsia="Arial" w:hAnsi="Arial"/>
                <w:sz w:val="14"/>
                <w:szCs w:val="14"/>
                <w:color w:val="auto"/>
              </w:rPr>
              <w:t>2010</w:t>
            </w:r>
          </w:p>
        </w:tc>
        <w:tc>
          <w:tcPr>
            <w:tcW w:w="5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right w:val="single" w:sz="8" w:color="auto"/>
            </w:tcBorders>
          </w:tcPr>
          <w:p>
            <w:pPr>
              <w:jc w:val="right"/>
              <w:ind w:right="394"/>
              <w:spacing w:after="0" w:line="142" w:lineRule="exact"/>
              <w:rPr>
                <w:sz w:val="20"/>
                <w:szCs w:val="20"/>
                <w:color w:val="auto"/>
              </w:rPr>
            </w:pPr>
            <w:r>
              <w:rPr>
                <w:rFonts w:ascii="Arial" w:cs="Arial" w:eastAsia="Arial" w:hAnsi="Arial"/>
                <w:sz w:val="14"/>
                <w:szCs w:val="14"/>
                <w:i w:val="1"/>
                <w:iCs w:val="1"/>
                <w:color w:val="auto"/>
              </w:rPr>
              <w:t>2011</w:t>
            </w:r>
          </w:p>
        </w:tc>
        <w:tc>
          <w:tcPr>
            <w:tcW w:w="5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2010</w:t>
            </w:r>
          </w:p>
        </w:tc>
      </w:tr>
      <w:tr>
        <w:trPr>
          <w:trHeight w:val="196"/>
        </w:trPr>
        <w:tc>
          <w:tcPr>
            <w:tcW w:w="20" w:type="dxa"/>
            <w:vAlign w:val="bottom"/>
          </w:tcPr>
          <w:p>
            <w:pPr>
              <w:spacing w:after="0"/>
              <w:rPr>
                <w:sz w:val="17"/>
                <w:szCs w:val="17"/>
                <w:color w:val="auto"/>
              </w:rPr>
            </w:pPr>
          </w:p>
        </w:tc>
        <w:tc>
          <w:tcPr>
            <w:tcW w:w="5700" w:type="dxa"/>
            <w:vAlign w:val="bottom"/>
            <w:tcBorders>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Change in the Projected Benefit Obligation (PBO):</w:t>
            </w:r>
          </w:p>
        </w:tc>
        <w:tc>
          <w:tcPr>
            <w:tcW w:w="1500" w:type="dxa"/>
            <w:vAlign w:val="bottom"/>
            <w:tcBorders>
              <w:right w:val="single" w:sz="8" w:color="auto"/>
            </w:tcBorders>
            <w:shd w:val="clear" w:color="auto" w:fill="CCEEFF"/>
          </w:tcPr>
          <w:p>
            <w:pPr>
              <w:spacing w:after="0"/>
              <w:rPr>
                <w:sz w:val="17"/>
                <w:szCs w:val="17"/>
                <w:color w:val="auto"/>
              </w:rPr>
            </w:pPr>
          </w:p>
        </w:tc>
        <w:tc>
          <w:tcPr>
            <w:tcW w:w="1440" w:type="dxa"/>
            <w:vAlign w:val="bottom"/>
            <w:tcBorders>
              <w:right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tcBorders>
              <w:right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572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Projected benefit obligation at beginning of year</w:t>
            </w:r>
          </w:p>
        </w:tc>
        <w:tc>
          <w:tcPr>
            <w:tcW w:w="1500" w:type="dxa"/>
            <w:vAlign w:val="bottom"/>
            <w:tcBorders>
              <w:right w:val="single" w:sz="8" w:color="auto"/>
            </w:tcBorders>
          </w:tcPr>
          <w:p>
            <w:pPr>
              <w:jc w:val="right"/>
              <w:ind w:right="394"/>
              <w:spacing w:after="0" w:line="202" w:lineRule="exact"/>
              <w:rPr>
                <w:sz w:val="20"/>
                <w:szCs w:val="20"/>
                <w:color w:val="auto"/>
              </w:rPr>
            </w:pPr>
            <w:r>
              <w:rPr>
                <w:rFonts w:ascii="Arial" w:cs="Arial" w:eastAsia="Arial" w:hAnsi="Arial"/>
                <w:sz w:val="18"/>
                <w:szCs w:val="18"/>
                <w:color w:val="auto"/>
              </w:rPr>
              <w:t>$ 557.3</w:t>
            </w:r>
          </w:p>
        </w:tc>
        <w:tc>
          <w:tcPr>
            <w:tcW w:w="1440" w:type="dxa"/>
            <w:vAlign w:val="bottom"/>
            <w:tcBorders>
              <w:right w:val="single" w:sz="8" w:color="auto"/>
            </w:tcBorders>
          </w:tcPr>
          <w:p>
            <w:pPr>
              <w:jc w:val="right"/>
              <w:ind w:right="393"/>
              <w:spacing w:after="0" w:line="202" w:lineRule="exact"/>
              <w:rPr>
                <w:sz w:val="20"/>
                <w:szCs w:val="20"/>
                <w:color w:val="auto"/>
              </w:rPr>
            </w:pPr>
            <w:r>
              <w:rPr>
                <w:rFonts w:ascii="Arial" w:cs="Arial" w:eastAsia="Arial" w:hAnsi="Arial"/>
                <w:sz w:val="18"/>
                <w:szCs w:val="18"/>
                <w:color w:val="auto"/>
              </w:rPr>
              <w:t>$527.3</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ind w:right="394"/>
              <w:spacing w:after="0" w:line="202" w:lineRule="exact"/>
              <w:rPr>
                <w:sz w:val="20"/>
                <w:szCs w:val="20"/>
                <w:color w:val="auto"/>
              </w:rPr>
            </w:pPr>
            <w:r>
              <w:rPr>
                <w:rFonts w:ascii="Arial" w:cs="Arial" w:eastAsia="Arial" w:hAnsi="Arial"/>
                <w:sz w:val="18"/>
                <w:szCs w:val="18"/>
                <w:color w:val="auto"/>
              </w:rPr>
              <w:t>90.4</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91.7</w:t>
            </w:r>
          </w:p>
        </w:tc>
      </w:tr>
      <w:tr>
        <w:trPr>
          <w:trHeight w:val="203"/>
        </w:trPr>
        <w:tc>
          <w:tcPr>
            <w:tcW w:w="20" w:type="dxa"/>
            <w:vAlign w:val="bottom"/>
          </w:tcPr>
          <w:p>
            <w:pPr>
              <w:spacing w:after="0"/>
              <w:rPr>
                <w:sz w:val="17"/>
                <w:szCs w:val="17"/>
                <w:color w:val="auto"/>
              </w:rPr>
            </w:pPr>
          </w:p>
        </w:tc>
        <w:tc>
          <w:tcPr>
            <w:tcW w:w="5700" w:type="dxa"/>
            <w:vAlign w:val="bottom"/>
            <w:tcBorders>
              <w:right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Service cost</w:t>
            </w:r>
          </w:p>
        </w:tc>
        <w:tc>
          <w:tcPr>
            <w:tcW w:w="1500" w:type="dxa"/>
            <w:vAlign w:val="bottom"/>
            <w:tcBorders>
              <w:right w:val="single" w:sz="8" w:color="auto"/>
            </w:tcBorders>
            <w:shd w:val="clear" w:color="auto" w:fill="CCEEFF"/>
          </w:tcPr>
          <w:p>
            <w:pPr>
              <w:jc w:val="right"/>
              <w:ind w:right="394"/>
              <w:spacing w:after="0" w:line="202" w:lineRule="exact"/>
              <w:rPr>
                <w:sz w:val="20"/>
                <w:szCs w:val="20"/>
                <w:color w:val="auto"/>
              </w:rPr>
            </w:pPr>
            <w:r>
              <w:rPr>
                <w:rFonts w:ascii="Arial" w:cs="Arial" w:eastAsia="Arial" w:hAnsi="Arial"/>
                <w:sz w:val="18"/>
                <w:szCs w:val="18"/>
                <w:color w:val="auto"/>
              </w:rPr>
              <w:t>12.9</w:t>
            </w:r>
          </w:p>
        </w:tc>
        <w:tc>
          <w:tcPr>
            <w:tcW w:w="1440" w:type="dxa"/>
            <w:vAlign w:val="bottom"/>
            <w:tcBorders>
              <w:right w:val="single" w:sz="8" w:color="auto"/>
            </w:tcBorders>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12.7</w:t>
            </w:r>
          </w:p>
        </w:tc>
        <w:tc>
          <w:tcPr>
            <w:tcW w:w="560" w:type="dxa"/>
            <w:vAlign w:val="bottom"/>
            <w:shd w:val="clear" w:color="auto" w:fill="CCEEFF"/>
          </w:tcPr>
          <w:p>
            <w:pPr>
              <w:spacing w:after="0"/>
              <w:rPr>
                <w:sz w:val="17"/>
                <w:szCs w:val="17"/>
                <w:color w:val="auto"/>
              </w:rPr>
            </w:pPr>
          </w:p>
        </w:tc>
        <w:tc>
          <w:tcPr>
            <w:tcW w:w="940" w:type="dxa"/>
            <w:vAlign w:val="bottom"/>
            <w:tcBorders>
              <w:right w:val="single" w:sz="8" w:color="auto"/>
            </w:tcBorders>
            <w:shd w:val="clear" w:color="auto" w:fill="CCEEFF"/>
          </w:tcPr>
          <w:p>
            <w:pPr>
              <w:jc w:val="right"/>
              <w:ind w:right="394"/>
              <w:spacing w:after="0" w:line="202" w:lineRule="exact"/>
              <w:rPr>
                <w:sz w:val="20"/>
                <w:szCs w:val="20"/>
                <w:color w:val="auto"/>
              </w:rPr>
            </w:pPr>
            <w:r>
              <w:rPr>
                <w:rFonts w:ascii="Arial" w:cs="Arial" w:eastAsia="Arial" w:hAnsi="Arial"/>
                <w:sz w:val="18"/>
                <w:szCs w:val="18"/>
                <w:color w:val="auto"/>
              </w:rPr>
              <w:t>0.4</w:t>
            </w: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0.5</w:t>
            </w:r>
          </w:p>
        </w:tc>
      </w:tr>
      <w:tr>
        <w:trPr>
          <w:trHeight w:val="203"/>
        </w:trPr>
        <w:tc>
          <w:tcPr>
            <w:tcW w:w="20" w:type="dxa"/>
            <w:vAlign w:val="bottom"/>
          </w:tcPr>
          <w:p>
            <w:pPr>
              <w:spacing w:after="0"/>
              <w:rPr>
                <w:sz w:val="17"/>
                <w:szCs w:val="17"/>
                <w:color w:val="auto"/>
              </w:rPr>
            </w:pPr>
          </w:p>
        </w:tc>
        <w:tc>
          <w:tcPr>
            <w:tcW w:w="570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Interest cost</w:t>
            </w:r>
          </w:p>
        </w:tc>
        <w:tc>
          <w:tcPr>
            <w:tcW w:w="1500" w:type="dxa"/>
            <w:vAlign w:val="bottom"/>
            <w:tcBorders>
              <w:right w:val="single" w:sz="8" w:color="auto"/>
            </w:tcBorders>
          </w:tcPr>
          <w:p>
            <w:pPr>
              <w:jc w:val="right"/>
              <w:ind w:right="394"/>
              <w:spacing w:after="0" w:line="202" w:lineRule="exact"/>
              <w:rPr>
                <w:sz w:val="20"/>
                <w:szCs w:val="20"/>
                <w:color w:val="auto"/>
              </w:rPr>
            </w:pPr>
            <w:r>
              <w:rPr>
                <w:rFonts w:ascii="Arial" w:cs="Arial" w:eastAsia="Arial" w:hAnsi="Arial"/>
                <w:sz w:val="18"/>
                <w:szCs w:val="18"/>
                <w:color w:val="auto"/>
              </w:rPr>
              <w:t>31.0</w:t>
            </w:r>
          </w:p>
        </w:tc>
        <w:tc>
          <w:tcPr>
            <w:tcW w:w="1440" w:type="dxa"/>
            <w:vAlign w:val="bottom"/>
            <w:tcBorders>
              <w:right w:val="single" w:sz="8" w:color="auto"/>
            </w:tcBorders>
          </w:tcPr>
          <w:p>
            <w:pPr>
              <w:jc w:val="right"/>
              <w:ind w:right="393"/>
              <w:spacing w:after="0" w:line="202" w:lineRule="exact"/>
              <w:rPr>
                <w:sz w:val="20"/>
                <w:szCs w:val="20"/>
                <w:color w:val="auto"/>
              </w:rPr>
            </w:pPr>
            <w:r>
              <w:rPr>
                <w:rFonts w:ascii="Arial" w:cs="Arial" w:eastAsia="Arial" w:hAnsi="Arial"/>
                <w:sz w:val="18"/>
                <w:szCs w:val="18"/>
                <w:color w:val="auto"/>
              </w:rPr>
              <w:t>30.6</w:t>
            </w:r>
          </w:p>
        </w:tc>
        <w:tc>
          <w:tcPr>
            <w:tcW w:w="560" w:type="dxa"/>
            <w:vAlign w:val="bottom"/>
          </w:tcPr>
          <w:p>
            <w:pPr>
              <w:spacing w:after="0"/>
              <w:rPr>
                <w:sz w:val="17"/>
                <w:szCs w:val="17"/>
                <w:color w:val="auto"/>
              </w:rPr>
            </w:pPr>
          </w:p>
        </w:tc>
        <w:tc>
          <w:tcPr>
            <w:tcW w:w="940" w:type="dxa"/>
            <w:vAlign w:val="bottom"/>
            <w:tcBorders>
              <w:right w:val="single" w:sz="8" w:color="auto"/>
            </w:tcBorders>
          </w:tcPr>
          <w:p>
            <w:pPr>
              <w:jc w:val="right"/>
              <w:ind w:right="394"/>
              <w:spacing w:after="0" w:line="202" w:lineRule="exact"/>
              <w:rPr>
                <w:sz w:val="20"/>
                <w:szCs w:val="20"/>
                <w:color w:val="auto"/>
              </w:rPr>
            </w:pPr>
            <w:r>
              <w:rPr>
                <w:rFonts w:ascii="Arial" w:cs="Arial" w:eastAsia="Arial" w:hAnsi="Arial"/>
                <w:sz w:val="18"/>
                <w:szCs w:val="18"/>
                <w:color w:val="auto"/>
              </w:rPr>
              <w:t>4.4</w:t>
            </w:r>
          </w:p>
        </w:tc>
        <w:tc>
          <w:tcPr>
            <w:tcW w:w="580" w:type="dxa"/>
            <w:vAlign w:val="bottom"/>
          </w:tcPr>
          <w:p>
            <w:pPr>
              <w:spacing w:after="0"/>
              <w:rPr>
                <w:sz w:val="17"/>
                <w:szCs w:val="17"/>
                <w:color w:val="auto"/>
              </w:rPr>
            </w:pPr>
          </w:p>
        </w:tc>
        <w:tc>
          <w:tcPr>
            <w:tcW w:w="6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4.7</w:t>
            </w:r>
          </w:p>
        </w:tc>
      </w:tr>
      <w:tr>
        <w:trPr>
          <w:trHeight w:val="203"/>
        </w:trPr>
        <w:tc>
          <w:tcPr>
            <w:tcW w:w="20" w:type="dxa"/>
            <w:vAlign w:val="bottom"/>
          </w:tcPr>
          <w:p>
            <w:pPr>
              <w:spacing w:after="0"/>
              <w:rPr>
                <w:sz w:val="17"/>
                <w:szCs w:val="17"/>
                <w:color w:val="auto"/>
              </w:rPr>
            </w:pPr>
          </w:p>
        </w:tc>
        <w:tc>
          <w:tcPr>
            <w:tcW w:w="5700" w:type="dxa"/>
            <w:vAlign w:val="bottom"/>
            <w:tcBorders>
              <w:right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Actuarial loss</w:t>
            </w:r>
          </w:p>
        </w:tc>
        <w:tc>
          <w:tcPr>
            <w:tcW w:w="1500" w:type="dxa"/>
            <w:vAlign w:val="bottom"/>
            <w:tcBorders>
              <w:right w:val="single" w:sz="8" w:color="auto"/>
            </w:tcBorders>
            <w:shd w:val="clear" w:color="auto" w:fill="CCEEFF"/>
          </w:tcPr>
          <w:p>
            <w:pPr>
              <w:jc w:val="right"/>
              <w:ind w:right="394"/>
              <w:spacing w:after="0" w:line="202" w:lineRule="exact"/>
              <w:rPr>
                <w:sz w:val="20"/>
                <w:szCs w:val="20"/>
                <w:color w:val="auto"/>
              </w:rPr>
            </w:pPr>
            <w:r>
              <w:rPr>
                <w:rFonts w:ascii="Arial" w:cs="Arial" w:eastAsia="Arial" w:hAnsi="Arial"/>
                <w:sz w:val="18"/>
                <w:szCs w:val="18"/>
                <w:color w:val="auto"/>
              </w:rPr>
              <w:t>72.8</w:t>
            </w:r>
          </w:p>
        </w:tc>
        <w:tc>
          <w:tcPr>
            <w:tcW w:w="1440" w:type="dxa"/>
            <w:vAlign w:val="bottom"/>
            <w:tcBorders>
              <w:right w:val="single" w:sz="8" w:color="auto"/>
            </w:tcBorders>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15.4</w:t>
            </w:r>
          </w:p>
        </w:tc>
        <w:tc>
          <w:tcPr>
            <w:tcW w:w="560" w:type="dxa"/>
            <w:vAlign w:val="bottom"/>
            <w:shd w:val="clear" w:color="auto" w:fill="CCEEFF"/>
          </w:tcPr>
          <w:p>
            <w:pPr>
              <w:spacing w:after="0"/>
              <w:rPr>
                <w:sz w:val="17"/>
                <w:szCs w:val="17"/>
                <w:color w:val="auto"/>
              </w:rPr>
            </w:pPr>
          </w:p>
        </w:tc>
        <w:tc>
          <w:tcPr>
            <w:tcW w:w="940" w:type="dxa"/>
            <w:vAlign w:val="bottom"/>
            <w:tcBorders>
              <w:right w:val="single" w:sz="8" w:color="auto"/>
            </w:tcBorders>
            <w:shd w:val="clear" w:color="auto" w:fill="CCEEFF"/>
          </w:tcPr>
          <w:p>
            <w:pPr>
              <w:jc w:val="right"/>
              <w:ind w:right="394"/>
              <w:spacing w:after="0" w:line="202" w:lineRule="exact"/>
              <w:rPr>
                <w:sz w:val="20"/>
                <w:szCs w:val="20"/>
                <w:color w:val="auto"/>
              </w:rPr>
            </w:pPr>
            <w:r>
              <w:rPr>
                <w:rFonts w:ascii="Arial" w:cs="Arial" w:eastAsia="Arial" w:hAnsi="Arial"/>
                <w:sz w:val="18"/>
                <w:szCs w:val="18"/>
                <w:color w:val="auto"/>
              </w:rPr>
              <w:t>5.2</w:t>
            </w: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70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Participants’ contributions</w:t>
            </w:r>
          </w:p>
        </w:tc>
        <w:tc>
          <w:tcPr>
            <w:tcW w:w="1500" w:type="dxa"/>
            <w:vAlign w:val="bottom"/>
            <w:tcBorders>
              <w:right w:val="single" w:sz="8" w:color="auto"/>
            </w:tcBorders>
          </w:tcPr>
          <w:p>
            <w:pPr>
              <w:jc w:val="right"/>
              <w:ind w:right="394"/>
              <w:spacing w:after="0" w:line="202" w:lineRule="exact"/>
              <w:rPr>
                <w:sz w:val="20"/>
                <w:szCs w:val="20"/>
                <w:color w:val="auto"/>
              </w:rPr>
            </w:pPr>
            <w:r>
              <w:rPr>
                <w:rFonts w:ascii="Arial" w:cs="Arial" w:eastAsia="Arial" w:hAnsi="Arial"/>
                <w:sz w:val="18"/>
                <w:szCs w:val="18"/>
                <w:color w:val="auto"/>
              </w:rPr>
              <w:t>—</w:t>
            </w:r>
          </w:p>
        </w:tc>
        <w:tc>
          <w:tcPr>
            <w:tcW w:w="1440" w:type="dxa"/>
            <w:vAlign w:val="bottom"/>
            <w:tcBorders>
              <w:right w:val="single" w:sz="8" w:color="auto"/>
            </w:tcBorders>
          </w:tcPr>
          <w:p>
            <w:pPr>
              <w:jc w:val="right"/>
              <w:ind w:right="393"/>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940" w:type="dxa"/>
            <w:vAlign w:val="bottom"/>
            <w:tcBorders>
              <w:right w:val="single" w:sz="8" w:color="auto"/>
            </w:tcBorders>
          </w:tcPr>
          <w:p>
            <w:pPr>
              <w:jc w:val="right"/>
              <w:ind w:right="394"/>
              <w:spacing w:after="0" w:line="202" w:lineRule="exact"/>
              <w:rPr>
                <w:sz w:val="20"/>
                <w:szCs w:val="20"/>
                <w:color w:val="auto"/>
              </w:rPr>
            </w:pPr>
            <w:r>
              <w:rPr>
                <w:rFonts w:ascii="Arial" w:cs="Arial" w:eastAsia="Arial" w:hAnsi="Arial"/>
                <w:sz w:val="18"/>
                <w:szCs w:val="18"/>
                <w:color w:val="auto"/>
              </w:rPr>
              <w:t>0.8</w:t>
            </w:r>
          </w:p>
        </w:tc>
        <w:tc>
          <w:tcPr>
            <w:tcW w:w="580" w:type="dxa"/>
            <w:vAlign w:val="bottom"/>
          </w:tcPr>
          <w:p>
            <w:pPr>
              <w:spacing w:after="0"/>
              <w:rPr>
                <w:sz w:val="17"/>
                <w:szCs w:val="17"/>
                <w:color w:val="auto"/>
              </w:rPr>
            </w:pPr>
          </w:p>
        </w:tc>
        <w:tc>
          <w:tcPr>
            <w:tcW w:w="6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0.6</w:t>
            </w:r>
          </w:p>
        </w:tc>
      </w:tr>
      <w:tr>
        <w:trPr>
          <w:trHeight w:val="203"/>
        </w:trPr>
        <w:tc>
          <w:tcPr>
            <w:tcW w:w="20" w:type="dxa"/>
            <w:vAlign w:val="bottom"/>
          </w:tcPr>
          <w:p>
            <w:pPr>
              <w:spacing w:after="0"/>
              <w:rPr>
                <w:sz w:val="17"/>
                <w:szCs w:val="17"/>
                <w:color w:val="auto"/>
              </w:rPr>
            </w:pPr>
          </w:p>
        </w:tc>
        <w:tc>
          <w:tcPr>
            <w:tcW w:w="5700" w:type="dxa"/>
            <w:vAlign w:val="bottom"/>
            <w:tcBorders>
              <w:right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Benefits paid</w:t>
            </w:r>
          </w:p>
        </w:tc>
        <w:tc>
          <w:tcPr>
            <w:tcW w:w="1500" w:type="dxa"/>
            <w:vAlign w:val="bottom"/>
            <w:tcBorders>
              <w:right w:val="single" w:sz="8" w:color="auto"/>
            </w:tcBorders>
            <w:shd w:val="clear" w:color="auto" w:fill="CCEEFF"/>
          </w:tcPr>
          <w:p>
            <w:pPr>
              <w:jc w:val="right"/>
              <w:ind w:right="334"/>
              <w:spacing w:after="0" w:line="202" w:lineRule="exact"/>
              <w:rPr>
                <w:sz w:val="20"/>
                <w:szCs w:val="20"/>
                <w:color w:val="auto"/>
              </w:rPr>
            </w:pPr>
            <w:r>
              <w:rPr>
                <w:rFonts w:ascii="Arial" w:cs="Arial" w:eastAsia="Arial" w:hAnsi="Arial"/>
                <w:sz w:val="18"/>
                <w:szCs w:val="18"/>
                <w:color w:val="auto"/>
              </w:rPr>
              <w:t>(26.2)</w:t>
            </w:r>
          </w:p>
        </w:tc>
        <w:tc>
          <w:tcPr>
            <w:tcW w:w="1440" w:type="dxa"/>
            <w:vAlign w:val="bottom"/>
            <w:tcBorders>
              <w:right w:val="single" w:sz="8" w:color="auto"/>
            </w:tcBorders>
            <w:shd w:val="clear" w:color="auto" w:fill="CCEEFF"/>
          </w:tcPr>
          <w:p>
            <w:pPr>
              <w:jc w:val="right"/>
              <w:ind w:right="333"/>
              <w:spacing w:after="0" w:line="202" w:lineRule="exact"/>
              <w:rPr>
                <w:sz w:val="20"/>
                <w:szCs w:val="20"/>
                <w:color w:val="auto"/>
              </w:rPr>
            </w:pPr>
            <w:r>
              <w:rPr>
                <w:rFonts w:ascii="Arial" w:cs="Arial" w:eastAsia="Arial" w:hAnsi="Arial"/>
                <w:sz w:val="18"/>
                <w:szCs w:val="18"/>
                <w:color w:val="auto"/>
              </w:rPr>
              <w:t>(28.7)</w:t>
            </w:r>
          </w:p>
        </w:tc>
        <w:tc>
          <w:tcPr>
            <w:tcW w:w="560" w:type="dxa"/>
            <w:vAlign w:val="bottom"/>
            <w:shd w:val="clear" w:color="auto" w:fill="CCEEFF"/>
          </w:tcPr>
          <w:p>
            <w:pPr>
              <w:spacing w:after="0"/>
              <w:rPr>
                <w:sz w:val="17"/>
                <w:szCs w:val="17"/>
                <w:color w:val="auto"/>
              </w:rPr>
            </w:pPr>
          </w:p>
        </w:tc>
        <w:tc>
          <w:tcPr>
            <w:tcW w:w="940" w:type="dxa"/>
            <w:vAlign w:val="bottom"/>
            <w:tcBorders>
              <w:right w:val="single" w:sz="8" w:color="auto"/>
            </w:tcBorders>
            <w:shd w:val="clear" w:color="auto" w:fill="CCEEFF"/>
          </w:tcPr>
          <w:p>
            <w:pPr>
              <w:jc w:val="right"/>
              <w:ind w:right="334"/>
              <w:spacing w:after="0" w:line="202" w:lineRule="exact"/>
              <w:rPr>
                <w:sz w:val="20"/>
                <w:szCs w:val="20"/>
                <w:color w:val="auto"/>
              </w:rPr>
            </w:pPr>
            <w:r>
              <w:rPr>
                <w:rFonts w:ascii="Arial" w:cs="Arial" w:eastAsia="Arial" w:hAnsi="Arial"/>
                <w:sz w:val="18"/>
                <w:szCs w:val="18"/>
                <w:color w:val="auto"/>
              </w:rPr>
              <w:t>(7.4)</w:t>
            </w: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(7.8)</w:t>
            </w:r>
          </w:p>
        </w:tc>
      </w:tr>
      <w:tr>
        <w:trPr>
          <w:trHeight w:val="203"/>
        </w:trPr>
        <w:tc>
          <w:tcPr>
            <w:tcW w:w="20" w:type="dxa"/>
            <w:vAlign w:val="bottom"/>
          </w:tcPr>
          <w:p>
            <w:pPr>
              <w:spacing w:after="0"/>
              <w:rPr>
                <w:sz w:val="17"/>
                <w:szCs w:val="17"/>
                <w:color w:val="auto"/>
              </w:rPr>
            </w:pPr>
          </w:p>
        </w:tc>
        <w:tc>
          <w:tcPr>
            <w:tcW w:w="570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Plan curtailment gain</w:t>
            </w:r>
          </w:p>
        </w:tc>
        <w:tc>
          <w:tcPr>
            <w:tcW w:w="1500" w:type="dxa"/>
            <w:vAlign w:val="bottom"/>
            <w:tcBorders>
              <w:right w:val="single" w:sz="8" w:color="auto"/>
            </w:tcBorders>
          </w:tcPr>
          <w:p>
            <w:pPr>
              <w:jc w:val="right"/>
              <w:ind w:right="334"/>
              <w:spacing w:after="0" w:line="202" w:lineRule="exact"/>
              <w:rPr>
                <w:sz w:val="20"/>
                <w:szCs w:val="20"/>
                <w:color w:val="auto"/>
              </w:rPr>
            </w:pPr>
            <w:r>
              <w:rPr>
                <w:rFonts w:ascii="Arial" w:cs="Arial" w:eastAsia="Arial" w:hAnsi="Arial"/>
                <w:sz w:val="18"/>
                <w:szCs w:val="18"/>
                <w:color w:val="auto"/>
              </w:rPr>
              <w:t>(17.3)</w:t>
            </w:r>
          </w:p>
        </w:tc>
        <w:tc>
          <w:tcPr>
            <w:tcW w:w="1440" w:type="dxa"/>
            <w:vAlign w:val="bottom"/>
            <w:tcBorders>
              <w:right w:val="single" w:sz="8" w:color="auto"/>
            </w:tcBorders>
          </w:tcPr>
          <w:p>
            <w:pPr>
              <w:jc w:val="right"/>
              <w:ind w:right="393"/>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940" w:type="dxa"/>
            <w:vAlign w:val="bottom"/>
            <w:tcBorders>
              <w:right w:val="single" w:sz="8" w:color="auto"/>
            </w:tcBorders>
          </w:tcPr>
          <w:p>
            <w:pPr>
              <w:jc w:val="right"/>
              <w:ind w:right="394"/>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6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700" w:type="dxa"/>
            <w:vAlign w:val="bottom"/>
            <w:tcBorders>
              <w:right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Medicare Part D reimbursement</w:t>
            </w:r>
          </w:p>
        </w:tc>
        <w:tc>
          <w:tcPr>
            <w:tcW w:w="1500" w:type="dxa"/>
            <w:vAlign w:val="bottom"/>
            <w:tcBorders>
              <w:right w:val="single" w:sz="8" w:color="auto"/>
            </w:tcBorders>
            <w:shd w:val="clear" w:color="auto" w:fill="CCEEFF"/>
          </w:tcPr>
          <w:p>
            <w:pPr>
              <w:jc w:val="right"/>
              <w:ind w:right="394"/>
              <w:spacing w:after="0" w:line="202" w:lineRule="exact"/>
              <w:rPr>
                <w:sz w:val="20"/>
                <w:szCs w:val="20"/>
                <w:color w:val="auto"/>
              </w:rPr>
            </w:pPr>
            <w:r>
              <w:rPr>
                <w:rFonts w:ascii="Arial" w:cs="Arial" w:eastAsia="Arial" w:hAnsi="Arial"/>
                <w:sz w:val="18"/>
                <w:szCs w:val="18"/>
                <w:color w:val="auto"/>
              </w:rPr>
              <w:t>—</w:t>
            </w:r>
          </w:p>
        </w:tc>
        <w:tc>
          <w:tcPr>
            <w:tcW w:w="1440" w:type="dxa"/>
            <w:vAlign w:val="bottom"/>
            <w:tcBorders>
              <w:right w:val="single" w:sz="8" w:color="auto"/>
            </w:tcBorders>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940" w:type="dxa"/>
            <w:vAlign w:val="bottom"/>
            <w:tcBorders>
              <w:right w:val="single" w:sz="8" w:color="auto"/>
            </w:tcBorders>
            <w:shd w:val="clear" w:color="auto" w:fill="CCEEFF"/>
          </w:tcPr>
          <w:p>
            <w:pPr>
              <w:jc w:val="right"/>
              <w:ind w:right="394"/>
              <w:spacing w:after="0" w:line="202" w:lineRule="exact"/>
              <w:rPr>
                <w:sz w:val="20"/>
                <w:szCs w:val="20"/>
                <w:color w:val="auto"/>
              </w:rPr>
            </w:pPr>
            <w:r>
              <w:rPr>
                <w:rFonts w:ascii="Arial" w:cs="Arial" w:eastAsia="Arial" w:hAnsi="Arial"/>
                <w:sz w:val="18"/>
                <w:szCs w:val="18"/>
                <w:color w:val="auto"/>
              </w:rPr>
              <w:t>0.1</w:t>
            </w: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0.7</w:t>
            </w:r>
          </w:p>
        </w:tc>
      </w:tr>
      <w:tr>
        <w:trPr>
          <w:trHeight w:val="203"/>
        </w:trPr>
        <w:tc>
          <w:tcPr>
            <w:tcW w:w="20" w:type="dxa"/>
            <w:vAlign w:val="bottom"/>
          </w:tcPr>
          <w:p>
            <w:pPr>
              <w:spacing w:after="0"/>
              <w:rPr>
                <w:sz w:val="17"/>
                <w:szCs w:val="17"/>
                <w:color w:val="auto"/>
              </w:rPr>
            </w:pPr>
          </w:p>
        </w:tc>
        <w:tc>
          <w:tcPr>
            <w:tcW w:w="5700" w:type="dxa"/>
            <w:vAlign w:val="bottom"/>
            <w:tcBorders>
              <w:bottom w:val="single" w:sz="8" w:color="auto"/>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Transfer of Corporate plan from Former Parent</w:t>
            </w:r>
          </w:p>
        </w:tc>
        <w:tc>
          <w:tcPr>
            <w:tcW w:w="1500" w:type="dxa"/>
            <w:vAlign w:val="bottom"/>
            <w:tcBorders>
              <w:bottom w:val="single" w:sz="8" w:color="auto"/>
              <w:right w:val="single" w:sz="8" w:color="auto"/>
            </w:tcBorders>
          </w:tcPr>
          <w:p>
            <w:pPr>
              <w:jc w:val="right"/>
              <w:ind w:right="394"/>
              <w:spacing w:after="0" w:line="202" w:lineRule="exact"/>
              <w:rPr>
                <w:sz w:val="20"/>
                <w:szCs w:val="20"/>
                <w:color w:val="auto"/>
              </w:rPr>
            </w:pPr>
            <w:r>
              <w:rPr>
                <w:rFonts w:ascii="Arial" w:cs="Arial" w:eastAsia="Arial" w:hAnsi="Arial"/>
                <w:sz w:val="18"/>
                <w:szCs w:val="18"/>
                <w:color w:val="auto"/>
              </w:rPr>
              <w:t>9.0</w:t>
            </w:r>
          </w:p>
        </w:tc>
        <w:tc>
          <w:tcPr>
            <w:tcW w:w="1440" w:type="dxa"/>
            <w:vAlign w:val="bottom"/>
            <w:tcBorders>
              <w:bottom w:val="single" w:sz="8" w:color="auto"/>
              <w:right w:val="single" w:sz="8" w:color="auto"/>
            </w:tcBorders>
          </w:tcPr>
          <w:p>
            <w:pPr>
              <w:jc w:val="right"/>
              <w:ind w:right="393"/>
              <w:spacing w:after="0" w:line="202"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jc w:val="right"/>
              <w:ind w:right="394"/>
              <w:spacing w:after="0" w:line="202"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13"/>
              <w:spacing w:after="0" w:line="202"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5700" w:type="dxa"/>
            <w:vAlign w:val="bottom"/>
            <w:tcBorders>
              <w:bottom w:val="single" w:sz="8" w:color="auto"/>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Projected benefit obligation at end of year</w:t>
            </w:r>
          </w:p>
        </w:tc>
        <w:tc>
          <w:tcPr>
            <w:tcW w:w="1500" w:type="dxa"/>
            <w:vAlign w:val="bottom"/>
            <w:tcBorders>
              <w:bottom w:val="single" w:sz="8" w:color="auto"/>
              <w:right w:val="single" w:sz="8" w:color="auto"/>
            </w:tcBorders>
            <w:shd w:val="clear" w:color="auto" w:fill="CCEEFF"/>
          </w:tcPr>
          <w:p>
            <w:pPr>
              <w:jc w:val="right"/>
              <w:ind w:right="394"/>
              <w:spacing w:after="0" w:line="196" w:lineRule="exact"/>
              <w:rPr>
                <w:sz w:val="20"/>
                <w:szCs w:val="20"/>
                <w:color w:val="auto"/>
              </w:rPr>
            </w:pPr>
            <w:r>
              <w:rPr>
                <w:rFonts w:ascii="Arial" w:cs="Arial" w:eastAsia="Arial" w:hAnsi="Arial"/>
                <w:sz w:val="18"/>
                <w:szCs w:val="18"/>
                <w:color w:val="auto"/>
              </w:rPr>
              <w:t>$ 639.5</w:t>
            </w:r>
          </w:p>
        </w:tc>
        <w:tc>
          <w:tcPr>
            <w:tcW w:w="1440" w:type="dxa"/>
            <w:vAlign w:val="bottom"/>
            <w:tcBorders>
              <w:bottom w:val="single" w:sz="8" w:color="auto"/>
              <w:right w:val="single" w:sz="8" w:color="auto"/>
            </w:tcBorders>
            <w:shd w:val="clear" w:color="auto" w:fill="CCEEFF"/>
          </w:tcPr>
          <w:p>
            <w:pPr>
              <w:jc w:val="right"/>
              <w:ind w:right="393"/>
              <w:spacing w:after="0" w:line="196" w:lineRule="exact"/>
              <w:rPr>
                <w:sz w:val="20"/>
                <w:szCs w:val="20"/>
                <w:color w:val="auto"/>
              </w:rPr>
            </w:pPr>
            <w:r>
              <w:rPr>
                <w:rFonts w:ascii="Arial" w:cs="Arial" w:eastAsia="Arial" w:hAnsi="Arial"/>
                <w:sz w:val="18"/>
                <w:szCs w:val="18"/>
                <w:color w:val="auto"/>
              </w:rPr>
              <w:t>$557.3</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CEEFF"/>
          </w:tcPr>
          <w:p>
            <w:pPr>
              <w:jc w:val="right"/>
              <w:ind w:right="394"/>
              <w:spacing w:after="0" w:line="196" w:lineRule="exact"/>
              <w:rPr>
                <w:sz w:val="20"/>
                <w:szCs w:val="20"/>
                <w:color w:val="auto"/>
              </w:rPr>
            </w:pPr>
            <w:r>
              <w:rPr>
                <w:rFonts w:ascii="Arial" w:cs="Arial" w:eastAsia="Arial" w:hAnsi="Arial"/>
                <w:sz w:val="18"/>
                <w:szCs w:val="18"/>
                <w:color w:val="auto"/>
              </w:rPr>
              <w:t>93.9</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13"/>
              <w:spacing w:after="0" w:line="196" w:lineRule="exact"/>
              <w:rPr>
                <w:sz w:val="20"/>
                <w:szCs w:val="20"/>
                <w:color w:val="auto"/>
              </w:rPr>
            </w:pPr>
            <w:r>
              <w:rPr>
                <w:rFonts w:ascii="Arial" w:cs="Arial" w:eastAsia="Arial" w:hAnsi="Arial"/>
                <w:sz w:val="18"/>
                <w:szCs w:val="18"/>
                <w:color w:val="auto"/>
              </w:rPr>
              <w:t>90.4</w:t>
            </w:r>
          </w:p>
        </w:tc>
      </w:tr>
      <w:tr>
        <w:trPr>
          <w:trHeight w:val="199"/>
        </w:trPr>
        <w:tc>
          <w:tcPr>
            <w:tcW w:w="5720" w:type="dxa"/>
            <w:vAlign w:val="bottom"/>
            <w:tcBorders>
              <w:right w:val="single" w:sz="8" w:color="auto"/>
            </w:tcBorders>
            <w:gridSpan w:val="2"/>
          </w:tcPr>
          <w:p>
            <w:pPr>
              <w:spacing w:after="0" w:line="200" w:lineRule="exact"/>
              <w:rPr>
                <w:sz w:val="20"/>
                <w:szCs w:val="20"/>
                <w:color w:val="auto"/>
              </w:rPr>
            </w:pPr>
            <w:r>
              <w:rPr>
                <w:rFonts w:ascii="Arial" w:cs="Arial" w:eastAsia="Arial" w:hAnsi="Arial"/>
                <w:sz w:val="18"/>
                <w:szCs w:val="18"/>
                <w:color w:val="auto"/>
              </w:rPr>
              <w:t>Accumulated benefit obligation at end of year (excludes the impact of</w:t>
            </w:r>
          </w:p>
        </w:tc>
        <w:tc>
          <w:tcPr>
            <w:tcW w:w="150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700" w:type="dxa"/>
            <w:vAlign w:val="bottom"/>
            <w:tcBorders>
              <w:bottom w:val="single" w:sz="8" w:color="auto"/>
              <w:right w:val="single" w:sz="8" w:color="auto"/>
            </w:tcBorders>
          </w:tcPr>
          <w:p>
            <w:pPr>
              <w:ind w:left="200"/>
              <w:spacing w:after="0" w:line="200" w:lineRule="exact"/>
              <w:rPr>
                <w:sz w:val="20"/>
                <w:szCs w:val="20"/>
                <w:color w:val="auto"/>
              </w:rPr>
            </w:pPr>
            <w:r>
              <w:rPr>
                <w:rFonts w:ascii="Arial" w:cs="Arial" w:eastAsia="Arial" w:hAnsi="Arial"/>
                <w:sz w:val="18"/>
                <w:szCs w:val="18"/>
                <w:color w:val="auto"/>
              </w:rPr>
              <w:t>future compensation increases)</w:t>
            </w:r>
          </w:p>
        </w:tc>
        <w:tc>
          <w:tcPr>
            <w:tcW w:w="1500" w:type="dxa"/>
            <w:vAlign w:val="bottom"/>
            <w:tcBorders>
              <w:bottom w:val="single" w:sz="8" w:color="auto"/>
              <w:right w:val="single" w:sz="8" w:color="auto"/>
            </w:tcBorders>
          </w:tcPr>
          <w:p>
            <w:pPr>
              <w:jc w:val="right"/>
              <w:ind w:right="394"/>
              <w:spacing w:after="0" w:line="200" w:lineRule="exact"/>
              <w:rPr>
                <w:sz w:val="20"/>
                <w:szCs w:val="20"/>
                <w:color w:val="auto"/>
              </w:rPr>
            </w:pPr>
            <w:r>
              <w:rPr>
                <w:rFonts w:ascii="Arial" w:cs="Arial" w:eastAsia="Arial" w:hAnsi="Arial"/>
                <w:sz w:val="18"/>
                <w:szCs w:val="18"/>
                <w:color w:val="auto"/>
              </w:rPr>
              <w:t>$ 621.5</w:t>
            </w:r>
          </w:p>
        </w:tc>
        <w:tc>
          <w:tcPr>
            <w:tcW w:w="1440" w:type="dxa"/>
            <w:vAlign w:val="bottom"/>
            <w:tcBorders>
              <w:bottom w:val="single" w:sz="8" w:color="auto"/>
              <w:right w:val="single" w:sz="8" w:color="auto"/>
            </w:tcBorders>
          </w:tcPr>
          <w:p>
            <w:pPr>
              <w:jc w:val="right"/>
              <w:ind w:right="393"/>
              <w:spacing w:after="0" w:line="200" w:lineRule="exact"/>
              <w:rPr>
                <w:sz w:val="20"/>
                <w:szCs w:val="20"/>
                <w:color w:val="auto"/>
              </w:rPr>
            </w:pPr>
            <w:r>
              <w:rPr>
                <w:rFonts w:ascii="Arial" w:cs="Arial" w:eastAsia="Arial" w:hAnsi="Arial"/>
                <w:sz w:val="18"/>
                <w:szCs w:val="18"/>
                <w:color w:val="auto"/>
              </w:rPr>
              <w:t>$523.0</w:t>
            </w:r>
          </w:p>
        </w:tc>
        <w:tc>
          <w:tcPr>
            <w:tcW w:w="56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700" w:type="dxa"/>
            <w:vAlign w:val="bottom"/>
            <w:tcBorders>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Change in Plan Assets:</w:t>
            </w:r>
          </w:p>
        </w:tc>
        <w:tc>
          <w:tcPr>
            <w:tcW w:w="1500" w:type="dxa"/>
            <w:vAlign w:val="bottom"/>
            <w:tcBorders>
              <w:right w:val="single" w:sz="8" w:color="auto"/>
            </w:tcBorders>
            <w:shd w:val="clear" w:color="auto" w:fill="CCEEFF"/>
          </w:tcPr>
          <w:p>
            <w:pPr>
              <w:spacing w:after="0"/>
              <w:rPr>
                <w:sz w:val="17"/>
                <w:szCs w:val="17"/>
                <w:color w:val="auto"/>
              </w:rPr>
            </w:pPr>
          </w:p>
        </w:tc>
        <w:tc>
          <w:tcPr>
            <w:tcW w:w="1440" w:type="dxa"/>
            <w:vAlign w:val="bottom"/>
            <w:tcBorders>
              <w:right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tcBorders>
              <w:right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572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Fair value of plan assets at beginning of year</w:t>
            </w:r>
          </w:p>
        </w:tc>
        <w:tc>
          <w:tcPr>
            <w:tcW w:w="1500" w:type="dxa"/>
            <w:vAlign w:val="bottom"/>
            <w:tcBorders>
              <w:right w:val="single" w:sz="8" w:color="auto"/>
            </w:tcBorders>
          </w:tcPr>
          <w:p>
            <w:pPr>
              <w:jc w:val="right"/>
              <w:ind w:right="394"/>
              <w:spacing w:after="0" w:line="202" w:lineRule="exact"/>
              <w:rPr>
                <w:sz w:val="20"/>
                <w:szCs w:val="20"/>
                <w:color w:val="auto"/>
              </w:rPr>
            </w:pPr>
            <w:r>
              <w:rPr>
                <w:rFonts w:ascii="Arial" w:cs="Arial" w:eastAsia="Arial" w:hAnsi="Arial"/>
                <w:sz w:val="18"/>
                <w:szCs w:val="18"/>
                <w:color w:val="auto"/>
              </w:rPr>
              <w:t>$ 503.9</w:t>
            </w:r>
          </w:p>
        </w:tc>
        <w:tc>
          <w:tcPr>
            <w:tcW w:w="1440" w:type="dxa"/>
            <w:vAlign w:val="bottom"/>
            <w:tcBorders>
              <w:right w:val="single" w:sz="8" w:color="auto"/>
            </w:tcBorders>
          </w:tcPr>
          <w:p>
            <w:pPr>
              <w:jc w:val="right"/>
              <w:ind w:right="393"/>
              <w:spacing w:after="0" w:line="202" w:lineRule="exact"/>
              <w:rPr>
                <w:sz w:val="20"/>
                <w:szCs w:val="20"/>
                <w:color w:val="auto"/>
              </w:rPr>
            </w:pPr>
            <w:r>
              <w:rPr>
                <w:rFonts w:ascii="Arial" w:cs="Arial" w:eastAsia="Arial" w:hAnsi="Arial"/>
                <w:sz w:val="18"/>
                <w:szCs w:val="18"/>
                <w:color w:val="auto"/>
              </w:rPr>
              <w:t>$411.3</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ind w:right="394"/>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700" w:type="dxa"/>
            <w:vAlign w:val="bottom"/>
            <w:tcBorders>
              <w:right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Actual return on plan assets</w:t>
            </w:r>
          </w:p>
        </w:tc>
        <w:tc>
          <w:tcPr>
            <w:tcW w:w="1500" w:type="dxa"/>
            <w:vAlign w:val="bottom"/>
            <w:tcBorders>
              <w:right w:val="single" w:sz="8" w:color="auto"/>
            </w:tcBorders>
            <w:shd w:val="clear" w:color="auto" w:fill="CCEEFF"/>
          </w:tcPr>
          <w:p>
            <w:pPr>
              <w:jc w:val="right"/>
              <w:ind w:right="334"/>
              <w:spacing w:after="0" w:line="202" w:lineRule="exact"/>
              <w:rPr>
                <w:sz w:val="20"/>
                <w:szCs w:val="20"/>
                <w:color w:val="auto"/>
              </w:rPr>
            </w:pPr>
            <w:r>
              <w:rPr>
                <w:rFonts w:ascii="Arial" w:cs="Arial" w:eastAsia="Arial" w:hAnsi="Arial"/>
                <w:sz w:val="18"/>
                <w:szCs w:val="18"/>
                <w:color w:val="auto"/>
              </w:rPr>
              <w:t>(2.7)</w:t>
            </w:r>
          </w:p>
        </w:tc>
        <w:tc>
          <w:tcPr>
            <w:tcW w:w="1440" w:type="dxa"/>
            <w:vAlign w:val="bottom"/>
            <w:tcBorders>
              <w:right w:val="single" w:sz="8" w:color="auto"/>
            </w:tcBorders>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60.1</w:t>
            </w:r>
          </w:p>
        </w:tc>
        <w:tc>
          <w:tcPr>
            <w:tcW w:w="560" w:type="dxa"/>
            <w:vAlign w:val="bottom"/>
            <w:shd w:val="clear" w:color="auto" w:fill="CCEEFF"/>
          </w:tcPr>
          <w:p>
            <w:pPr>
              <w:spacing w:after="0"/>
              <w:rPr>
                <w:sz w:val="17"/>
                <w:szCs w:val="17"/>
                <w:color w:val="auto"/>
              </w:rPr>
            </w:pPr>
          </w:p>
        </w:tc>
        <w:tc>
          <w:tcPr>
            <w:tcW w:w="940" w:type="dxa"/>
            <w:vAlign w:val="bottom"/>
            <w:tcBorders>
              <w:right w:val="single" w:sz="8" w:color="auto"/>
            </w:tcBorders>
            <w:shd w:val="clear" w:color="auto" w:fill="CCEEFF"/>
          </w:tcPr>
          <w:p>
            <w:pPr>
              <w:jc w:val="right"/>
              <w:ind w:right="394"/>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70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Employer contributions</w:t>
            </w:r>
          </w:p>
        </w:tc>
        <w:tc>
          <w:tcPr>
            <w:tcW w:w="1500" w:type="dxa"/>
            <w:vAlign w:val="bottom"/>
            <w:tcBorders>
              <w:right w:val="single" w:sz="8" w:color="auto"/>
            </w:tcBorders>
          </w:tcPr>
          <w:p>
            <w:pPr>
              <w:jc w:val="right"/>
              <w:ind w:right="394"/>
              <w:spacing w:after="0" w:line="202" w:lineRule="exact"/>
              <w:rPr>
                <w:sz w:val="20"/>
                <w:szCs w:val="20"/>
                <w:color w:val="auto"/>
              </w:rPr>
            </w:pPr>
            <w:r>
              <w:rPr>
                <w:rFonts w:ascii="Arial" w:cs="Arial" w:eastAsia="Arial" w:hAnsi="Arial"/>
                <w:sz w:val="18"/>
                <w:szCs w:val="18"/>
                <w:color w:val="auto"/>
              </w:rPr>
              <w:t>1.1</w:t>
            </w:r>
          </w:p>
        </w:tc>
        <w:tc>
          <w:tcPr>
            <w:tcW w:w="1440" w:type="dxa"/>
            <w:vAlign w:val="bottom"/>
            <w:tcBorders>
              <w:right w:val="single" w:sz="8" w:color="auto"/>
            </w:tcBorders>
          </w:tcPr>
          <w:p>
            <w:pPr>
              <w:jc w:val="right"/>
              <w:ind w:right="393"/>
              <w:spacing w:after="0" w:line="202" w:lineRule="exact"/>
              <w:rPr>
                <w:sz w:val="20"/>
                <w:szCs w:val="20"/>
                <w:color w:val="auto"/>
              </w:rPr>
            </w:pPr>
            <w:r>
              <w:rPr>
                <w:rFonts w:ascii="Arial" w:cs="Arial" w:eastAsia="Arial" w:hAnsi="Arial"/>
                <w:sz w:val="18"/>
                <w:szCs w:val="18"/>
                <w:color w:val="auto"/>
              </w:rPr>
              <w:t>61.2</w:t>
            </w:r>
          </w:p>
        </w:tc>
        <w:tc>
          <w:tcPr>
            <w:tcW w:w="560" w:type="dxa"/>
            <w:vAlign w:val="bottom"/>
          </w:tcPr>
          <w:p>
            <w:pPr>
              <w:spacing w:after="0"/>
              <w:rPr>
                <w:sz w:val="17"/>
                <w:szCs w:val="17"/>
                <w:color w:val="auto"/>
              </w:rPr>
            </w:pPr>
          </w:p>
        </w:tc>
        <w:tc>
          <w:tcPr>
            <w:tcW w:w="940" w:type="dxa"/>
            <w:vAlign w:val="bottom"/>
            <w:tcBorders>
              <w:right w:val="single" w:sz="8" w:color="auto"/>
            </w:tcBorders>
          </w:tcPr>
          <w:p>
            <w:pPr>
              <w:jc w:val="right"/>
              <w:ind w:right="394"/>
              <w:spacing w:after="0" w:line="202" w:lineRule="exact"/>
              <w:rPr>
                <w:sz w:val="20"/>
                <w:szCs w:val="20"/>
                <w:color w:val="auto"/>
              </w:rPr>
            </w:pPr>
            <w:r>
              <w:rPr>
                <w:rFonts w:ascii="Arial" w:cs="Arial" w:eastAsia="Arial" w:hAnsi="Arial"/>
                <w:sz w:val="18"/>
                <w:szCs w:val="18"/>
                <w:color w:val="auto"/>
              </w:rPr>
              <w:t>6.5</w:t>
            </w:r>
          </w:p>
        </w:tc>
        <w:tc>
          <w:tcPr>
            <w:tcW w:w="580" w:type="dxa"/>
            <w:vAlign w:val="bottom"/>
          </w:tcPr>
          <w:p>
            <w:pPr>
              <w:spacing w:after="0"/>
              <w:rPr>
                <w:sz w:val="17"/>
                <w:szCs w:val="17"/>
                <w:color w:val="auto"/>
              </w:rPr>
            </w:pPr>
          </w:p>
        </w:tc>
        <w:tc>
          <w:tcPr>
            <w:tcW w:w="6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6.5</w:t>
            </w:r>
          </w:p>
        </w:tc>
      </w:tr>
      <w:tr>
        <w:trPr>
          <w:trHeight w:val="203"/>
        </w:trPr>
        <w:tc>
          <w:tcPr>
            <w:tcW w:w="20" w:type="dxa"/>
            <w:vAlign w:val="bottom"/>
          </w:tcPr>
          <w:p>
            <w:pPr>
              <w:spacing w:after="0"/>
              <w:rPr>
                <w:sz w:val="17"/>
                <w:szCs w:val="17"/>
                <w:color w:val="auto"/>
              </w:rPr>
            </w:pPr>
          </w:p>
        </w:tc>
        <w:tc>
          <w:tcPr>
            <w:tcW w:w="5700" w:type="dxa"/>
            <w:vAlign w:val="bottom"/>
            <w:tcBorders>
              <w:right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Participants’ contributions</w:t>
            </w:r>
          </w:p>
        </w:tc>
        <w:tc>
          <w:tcPr>
            <w:tcW w:w="1500" w:type="dxa"/>
            <w:vAlign w:val="bottom"/>
            <w:tcBorders>
              <w:right w:val="single" w:sz="8" w:color="auto"/>
            </w:tcBorders>
            <w:shd w:val="clear" w:color="auto" w:fill="CCEEFF"/>
          </w:tcPr>
          <w:p>
            <w:pPr>
              <w:jc w:val="right"/>
              <w:ind w:right="394"/>
              <w:spacing w:after="0" w:line="202" w:lineRule="exact"/>
              <w:rPr>
                <w:sz w:val="20"/>
                <w:szCs w:val="20"/>
                <w:color w:val="auto"/>
              </w:rPr>
            </w:pPr>
            <w:r>
              <w:rPr>
                <w:rFonts w:ascii="Arial" w:cs="Arial" w:eastAsia="Arial" w:hAnsi="Arial"/>
                <w:sz w:val="18"/>
                <w:szCs w:val="18"/>
                <w:color w:val="auto"/>
              </w:rPr>
              <w:t>—</w:t>
            </w:r>
          </w:p>
        </w:tc>
        <w:tc>
          <w:tcPr>
            <w:tcW w:w="1440" w:type="dxa"/>
            <w:vAlign w:val="bottom"/>
            <w:tcBorders>
              <w:right w:val="single" w:sz="8" w:color="auto"/>
            </w:tcBorders>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940" w:type="dxa"/>
            <w:vAlign w:val="bottom"/>
            <w:tcBorders>
              <w:right w:val="single" w:sz="8" w:color="auto"/>
            </w:tcBorders>
            <w:shd w:val="clear" w:color="auto" w:fill="CCEEFF"/>
          </w:tcPr>
          <w:p>
            <w:pPr>
              <w:jc w:val="right"/>
              <w:ind w:right="394"/>
              <w:spacing w:after="0" w:line="202" w:lineRule="exact"/>
              <w:rPr>
                <w:sz w:val="20"/>
                <w:szCs w:val="20"/>
                <w:color w:val="auto"/>
              </w:rPr>
            </w:pPr>
            <w:r>
              <w:rPr>
                <w:rFonts w:ascii="Arial" w:cs="Arial" w:eastAsia="Arial" w:hAnsi="Arial"/>
                <w:sz w:val="18"/>
                <w:szCs w:val="18"/>
                <w:color w:val="auto"/>
              </w:rPr>
              <w:t>0.8</w:t>
            </w: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0.6</w:t>
            </w:r>
          </w:p>
        </w:tc>
      </w:tr>
      <w:tr>
        <w:trPr>
          <w:trHeight w:val="203"/>
        </w:trPr>
        <w:tc>
          <w:tcPr>
            <w:tcW w:w="20" w:type="dxa"/>
            <w:vAlign w:val="bottom"/>
          </w:tcPr>
          <w:p>
            <w:pPr>
              <w:spacing w:after="0"/>
              <w:rPr>
                <w:sz w:val="17"/>
                <w:szCs w:val="17"/>
                <w:color w:val="auto"/>
              </w:rPr>
            </w:pPr>
          </w:p>
        </w:tc>
        <w:tc>
          <w:tcPr>
            <w:tcW w:w="570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Medicare Part D reimbursement</w:t>
            </w:r>
          </w:p>
        </w:tc>
        <w:tc>
          <w:tcPr>
            <w:tcW w:w="1500" w:type="dxa"/>
            <w:vAlign w:val="bottom"/>
            <w:tcBorders>
              <w:right w:val="single" w:sz="8" w:color="auto"/>
            </w:tcBorders>
          </w:tcPr>
          <w:p>
            <w:pPr>
              <w:jc w:val="right"/>
              <w:ind w:right="394"/>
              <w:spacing w:after="0" w:line="202" w:lineRule="exact"/>
              <w:rPr>
                <w:sz w:val="20"/>
                <w:szCs w:val="20"/>
                <w:color w:val="auto"/>
              </w:rPr>
            </w:pPr>
            <w:r>
              <w:rPr>
                <w:rFonts w:ascii="Arial" w:cs="Arial" w:eastAsia="Arial" w:hAnsi="Arial"/>
                <w:sz w:val="18"/>
                <w:szCs w:val="18"/>
                <w:color w:val="auto"/>
              </w:rPr>
              <w:t>—</w:t>
            </w:r>
          </w:p>
        </w:tc>
        <w:tc>
          <w:tcPr>
            <w:tcW w:w="1440" w:type="dxa"/>
            <w:vAlign w:val="bottom"/>
            <w:tcBorders>
              <w:right w:val="single" w:sz="8" w:color="auto"/>
            </w:tcBorders>
          </w:tcPr>
          <w:p>
            <w:pPr>
              <w:jc w:val="right"/>
              <w:ind w:right="393"/>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940" w:type="dxa"/>
            <w:vAlign w:val="bottom"/>
            <w:tcBorders>
              <w:right w:val="single" w:sz="8" w:color="auto"/>
            </w:tcBorders>
          </w:tcPr>
          <w:p>
            <w:pPr>
              <w:jc w:val="right"/>
              <w:ind w:right="394"/>
              <w:spacing w:after="0" w:line="202" w:lineRule="exact"/>
              <w:rPr>
                <w:sz w:val="20"/>
                <w:szCs w:val="20"/>
                <w:color w:val="auto"/>
              </w:rPr>
            </w:pPr>
            <w:r>
              <w:rPr>
                <w:rFonts w:ascii="Arial" w:cs="Arial" w:eastAsia="Arial" w:hAnsi="Arial"/>
                <w:sz w:val="18"/>
                <w:szCs w:val="18"/>
                <w:color w:val="auto"/>
              </w:rPr>
              <w:t>0.1</w:t>
            </w:r>
          </w:p>
        </w:tc>
        <w:tc>
          <w:tcPr>
            <w:tcW w:w="580" w:type="dxa"/>
            <w:vAlign w:val="bottom"/>
          </w:tcPr>
          <w:p>
            <w:pPr>
              <w:spacing w:after="0"/>
              <w:rPr>
                <w:sz w:val="17"/>
                <w:szCs w:val="17"/>
                <w:color w:val="auto"/>
              </w:rPr>
            </w:pPr>
          </w:p>
        </w:tc>
        <w:tc>
          <w:tcPr>
            <w:tcW w:w="6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0.7</w:t>
            </w:r>
          </w:p>
        </w:tc>
      </w:tr>
      <w:tr>
        <w:trPr>
          <w:trHeight w:val="203"/>
        </w:trPr>
        <w:tc>
          <w:tcPr>
            <w:tcW w:w="20" w:type="dxa"/>
            <w:vAlign w:val="bottom"/>
          </w:tcPr>
          <w:p>
            <w:pPr>
              <w:spacing w:after="0"/>
              <w:rPr>
                <w:sz w:val="17"/>
                <w:szCs w:val="17"/>
                <w:color w:val="auto"/>
              </w:rPr>
            </w:pPr>
          </w:p>
        </w:tc>
        <w:tc>
          <w:tcPr>
            <w:tcW w:w="5700" w:type="dxa"/>
            <w:vAlign w:val="bottom"/>
            <w:tcBorders>
              <w:right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Benefits paid</w:t>
            </w:r>
          </w:p>
        </w:tc>
        <w:tc>
          <w:tcPr>
            <w:tcW w:w="1500" w:type="dxa"/>
            <w:vAlign w:val="bottom"/>
            <w:tcBorders>
              <w:right w:val="single" w:sz="8" w:color="auto"/>
            </w:tcBorders>
            <w:shd w:val="clear" w:color="auto" w:fill="CCEEFF"/>
          </w:tcPr>
          <w:p>
            <w:pPr>
              <w:jc w:val="right"/>
              <w:ind w:right="334"/>
              <w:spacing w:after="0" w:line="202" w:lineRule="exact"/>
              <w:rPr>
                <w:sz w:val="20"/>
                <w:szCs w:val="20"/>
                <w:color w:val="auto"/>
              </w:rPr>
            </w:pPr>
            <w:r>
              <w:rPr>
                <w:rFonts w:ascii="Arial" w:cs="Arial" w:eastAsia="Arial" w:hAnsi="Arial"/>
                <w:sz w:val="18"/>
                <w:szCs w:val="18"/>
                <w:color w:val="auto"/>
              </w:rPr>
              <w:t>(26.2)</w:t>
            </w:r>
          </w:p>
        </w:tc>
        <w:tc>
          <w:tcPr>
            <w:tcW w:w="1440" w:type="dxa"/>
            <w:vAlign w:val="bottom"/>
            <w:tcBorders>
              <w:right w:val="single" w:sz="8" w:color="auto"/>
            </w:tcBorders>
            <w:shd w:val="clear" w:color="auto" w:fill="CCEEFF"/>
          </w:tcPr>
          <w:p>
            <w:pPr>
              <w:jc w:val="right"/>
              <w:ind w:right="333"/>
              <w:spacing w:after="0" w:line="202" w:lineRule="exact"/>
              <w:rPr>
                <w:sz w:val="20"/>
                <w:szCs w:val="20"/>
                <w:color w:val="auto"/>
              </w:rPr>
            </w:pPr>
            <w:r>
              <w:rPr>
                <w:rFonts w:ascii="Arial" w:cs="Arial" w:eastAsia="Arial" w:hAnsi="Arial"/>
                <w:sz w:val="18"/>
                <w:szCs w:val="18"/>
                <w:color w:val="auto"/>
              </w:rPr>
              <w:t>(28.7)</w:t>
            </w:r>
          </w:p>
        </w:tc>
        <w:tc>
          <w:tcPr>
            <w:tcW w:w="560" w:type="dxa"/>
            <w:vAlign w:val="bottom"/>
            <w:shd w:val="clear" w:color="auto" w:fill="CCEEFF"/>
          </w:tcPr>
          <w:p>
            <w:pPr>
              <w:spacing w:after="0"/>
              <w:rPr>
                <w:sz w:val="17"/>
                <w:szCs w:val="17"/>
                <w:color w:val="auto"/>
              </w:rPr>
            </w:pPr>
          </w:p>
        </w:tc>
        <w:tc>
          <w:tcPr>
            <w:tcW w:w="940" w:type="dxa"/>
            <w:vAlign w:val="bottom"/>
            <w:tcBorders>
              <w:right w:val="single" w:sz="8" w:color="auto"/>
            </w:tcBorders>
            <w:shd w:val="clear" w:color="auto" w:fill="CCEEFF"/>
          </w:tcPr>
          <w:p>
            <w:pPr>
              <w:jc w:val="right"/>
              <w:ind w:right="334"/>
              <w:spacing w:after="0" w:line="202" w:lineRule="exact"/>
              <w:rPr>
                <w:sz w:val="20"/>
                <w:szCs w:val="20"/>
                <w:color w:val="auto"/>
              </w:rPr>
            </w:pPr>
            <w:r>
              <w:rPr>
                <w:rFonts w:ascii="Arial" w:cs="Arial" w:eastAsia="Arial" w:hAnsi="Arial"/>
                <w:sz w:val="18"/>
                <w:szCs w:val="18"/>
                <w:color w:val="auto"/>
              </w:rPr>
              <w:t>(7.4)</w:t>
            </w: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(7.8)</w:t>
            </w:r>
          </w:p>
        </w:tc>
      </w:tr>
      <w:tr>
        <w:trPr>
          <w:trHeight w:val="203"/>
        </w:trPr>
        <w:tc>
          <w:tcPr>
            <w:tcW w:w="20" w:type="dxa"/>
            <w:vAlign w:val="bottom"/>
          </w:tcPr>
          <w:p>
            <w:pPr>
              <w:spacing w:after="0"/>
              <w:rPr>
                <w:sz w:val="17"/>
                <w:szCs w:val="17"/>
                <w:color w:val="auto"/>
              </w:rPr>
            </w:pPr>
          </w:p>
        </w:tc>
        <w:tc>
          <w:tcPr>
            <w:tcW w:w="5700" w:type="dxa"/>
            <w:vAlign w:val="bottom"/>
            <w:tcBorders>
              <w:bottom w:val="single" w:sz="8" w:color="auto"/>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Transfer of Corporate plan from Former Parent</w:t>
            </w:r>
          </w:p>
        </w:tc>
        <w:tc>
          <w:tcPr>
            <w:tcW w:w="1500" w:type="dxa"/>
            <w:vAlign w:val="bottom"/>
            <w:tcBorders>
              <w:bottom w:val="single" w:sz="8" w:color="auto"/>
              <w:right w:val="single" w:sz="8" w:color="auto"/>
            </w:tcBorders>
          </w:tcPr>
          <w:p>
            <w:pPr>
              <w:jc w:val="right"/>
              <w:ind w:right="394"/>
              <w:spacing w:after="0" w:line="202" w:lineRule="exact"/>
              <w:rPr>
                <w:sz w:val="20"/>
                <w:szCs w:val="20"/>
                <w:color w:val="auto"/>
              </w:rPr>
            </w:pPr>
            <w:r>
              <w:rPr>
                <w:rFonts w:ascii="Arial" w:cs="Arial" w:eastAsia="Arial" w:hAnsi="Arial"/>
                <w:sz w:val="18"/>
                <w:szCs w:val="18"/>
                <w:color w:val="auto"/>
              </w:rPr>
              <w:t>1.8</w:t>
            </w:r>
          </w:p>
        </w:tc>
        <w:tc>
          <w:tcPr>
            <w:tcW w:w="1440" w:type="dxa"/>
            <w:vAlign w:val="bottom"/>
            <w:tcBorders>
              <w:bottom w:val="single" w:sz="8" w:color="auto"/>
              <w:right w:val="single" w:sz="8" w:color="auto"/>
            </w:tcBorders>
          </w:tcPr>
          <w:p>
            <w:pPr>
              <w:jc w:val="right"/>
              <w:ind w:right="393"/>
              <w:spacing w:after="0" w:line="202"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jc w:val="right"/>
              <w:ind w:right="394"/>
              <w:spacing w:after="0" w:line="202"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13"/>
              <w:spacing w:after="0" w:line="202"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5700" w:type="dxa"/>
            <w:vAlign w:val="bottom"/>
            <w:tcBorders>
              <w:bottom w:val="single" w:sz="8" w:color="auto"/>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Fair value of plan assets at end of year</w:t>
            </w:r>
          </w:p>
        </w:tc>
        <w:tc>
          <w:tcPr>
            <w:tcW w:w="1500" w:type="dxa"/>
            <w:vAlign w:val="bottom"/>
            <w:tcBorders>
              <w:bottom w:val="single" w:sz="8" w:color="auto"/>
              <w:right w:val="single" w:sz="8" w:color="auto"/>
            </w:tcBorders>
            <w:shd w:val="clear" w:color="auto" w:fill="CCEEFF"/>
          </w:tcPr>
          <w:p>
            <w:pPr>
              <w:jc w:val="right"/>
              <w:ind w:right="394"/>
              <w:spacing w:after="0" w:line="196" w:lineRule="exact"/>
              <w:rPr>
                <w:sz w:val="20"/>
                <w:szCs w:val="20"/>
                <w:color w:val="auto"/>
              </w:rPr>
            </w:pPr>
            <w:r>
              <w:rPr>
                <w:rFonts w:ascii="Arial" w:cs="Arial" w:eastAsia="Arial" w:hAnsi="Arial"/>
                <w:sz w:val="18"/>
                <w:szCs w:val="18"/>
                <w:color w:val="auto"/>
              </w:rPr>
              <w:t>$ 477.9</w:t>
            </w:r>
          </w:p>
        </w:tc>
        <w:tc>
          <w:tcPr>
            <w:tcW w:w="1440" w:type="dxa"/>
            <w:vAlign w:val="bottom"/>
            <w:tcBorders>
              <w:bottom w:val="single" w:sz="8" w:color="auto"/>
              <w:right w:val="single" w:sz="8" w:color="auto"/>
            </w:tcBorders>
            <w:shd w:val="clear" w:color="auto" w:fill="CCEEFF"/>
          </w:tcPr>
          <w:p>
            <w:pPr>
              <w:jc w:val="right"/>
              <w:ind w:right="393"/>
              <w:spacing w:after="0" w:line="196" w:lineRule="exact"/>
              <w:rPr>
                <w:sz w:val="20"/>
                <w:szCs w:val="20"/>
                <w:color w:val="auto"/>
              </w:rPr>
            </w:pPr>
            <w:r>
              <w:rPr>
                <w:rFonts w:ascii="Arial" w:cs="Arial" w:eastAsia="Arial" w:hAnsi="Arial"/>
                <w:sz w:val="18"/>
                <w:szCs w:val="18"/>
                <w:color w:val="auto"/>
              </w:rPr>
              <w:t>$503.9</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CEEFF"/>
          </w:tcPr>
          <w:p>
            <w:pPr>
              <w:jc w:val="right"/>
              <w:ind w:right="394"/>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13"/>
              <w:spacing w:after="0" w:line="196"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700" w:type="dxa"/>
            <w:vAlign w:val="bottom"/>
            <w:tcBorders>
              <w:bottom w:val="single" w:sz="8" w:color="auto"/>
              <w:right w:val="single" w:sz="8" w:color="auto"/>
            </w:tcBorders>
          </w:tcPr>
          <w:p>
            <w:pPr>
              <w:ind w:left="420"/>
              <w:spacing w:after="0" w:line="196" w:lineRule="exact"/>
              <w:rPr>
                <w:sz w:val="20"/>
                <w:szCs w:val="20"/>
                <w:color w:val="auto"/>
              </w:rPr>
            </w:pPr>
            <w:r>
              <w:rPr>
                <w:rFonts w:ascii="Arial" w:cs="Arial" w:eastAsia="Arial" w:hAnsi="Arial"/>
                <w:sz w:val="18"/>
                <w:szCs w:val="18"/>
                <w:color w:val="auto"/>
              </w:rPr>
              <w:t>Funded Status (Fair value of plan assets less PBO)</w:t>
            </w:r>
          </w:p>
        </w:tc>
        <w:tc>
          <w:tcPr>
            <w:tcW w:w="1500" w:type="dxa"/>
            <w:vAlign w:val="bottom"/>
            <w:tcBorders>
              <w:bottom w:val="single" w:sz="8" w:color="auto"/>
              <w:right w:val="single" w:sz="8" w:color="auto"/>
            </w:tcBorders>
          </w:tcPr>
          <w:p>
            <w:pPr>
              <w:jc w:val="right"/>
              <w:ind w:right="334"/>
              <w:spacing w:after="0" w:line="196" w:lineRule="exact"/>
              <w:rPr>
                <w:sz w:val="20"/>
                <w:szCs w:val="20"/>
                <w:color w:val="auto"/>
              </w:rPr>
            </w:pPr>
            <w:r>
              <w:rPr>
                <w:rFonts w:ascii="Arial" w:cs="Arial" w:eastAsia="Arial" w:hAnsi="Arial"/>
                <w:sz w:val="18"/>
                <w:szCs w:val="18"/>
                <w:color w:val="auto"/>
              </w:rPr>
              <w:t>$(161.6)</w:t>
            </w:r>
          </w:p>
        </w:tc>
        <w:tc>
          <w:tcPr>
            <w:tcW w:w="1440" w:type="dxa"/>
            <w:vAlign w:val="bottom"/>
            <w:tcBorders>
              <w:bottom w:val="single" w:sz="8" w:color="auto"/>
              <w:right w:val="single" w:sz="8" w:color="auto"/>
            </w:tcBorders>
          </w:tcPr>
          <w:p>
            <w:pPr>
              <w:jc w:val="right"/>
              <w:ind w:right="333"/>
              <w:spacing w:after="0" w:line="196" w:lineRule="exact"/>
              <w:rPr>
                <w:sz w:val="20"/>
                <w:szCs w:val="20"/>
                <w:color w:val="auto"/>
              </w:rPr>
            </w:pPr>
            <w:r>
              <w:rPr>
                <w:rFonts w:ascii="Arial" w:cs="Arial" w:eastAsia="Arial" w:hAnsi="Arial"/>
                <w:sz w:val="18"/>
                <w:szCs w:val="18"/>
                <w:color w:val="auto"/>
              </w:rPr>
              <w:t>$ (53.4)</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334"/>
              <w:spacing w:after="0" w:line="196" w:lineRule="exact"/>
              <w:rPr>
                <w:sz w:val="20"/>
                <w:szCs w:val="20"/>
                <w:color w:val="auto"/>
              </w:rPr>
            </w:pPr>
            <w:r>
              <w:rPr>
                <w:rFonts w:ascii="Arial" w:cs="Arial" w:eastAsia="Arial" w:hAnsi="Arial"/>
                <w:sz w:val="18"/>
                <w:szCs w:val="18"/>
                <w:color w:val="auto"/>
              </w:rPr>
              <w:t>(93.9)</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(90.4)</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benefit obligation exceeds the fair value of assets for all pension plans.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the consolidated balance sheets consist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color w:val="auto"/>
              </w:rPr>
              <w:t>Pension Benefits</w:t>
            </w: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477"/>
              <w:spacing w:after="0"/>
              <w:rPr>
                <w:sz w:val="20"/>
                <w:szCs w:val="20"/>
                <w:color w:val="auto"/>
              </w:rPr>
            </w:pPr>
            <w:r>
              <w:rPr>
                <w:rFonts w:ascii="Arial" w:cs="Arial" w:eastAsia="Arial" w:hAnsi="Arial"/>
                <w:sz w:val="14"/>
                <w:szCs w:val="14"/>
                <w:color w:val="auto"/>
              </w:rPr>
              <w:t>Postretirement Benefits</w:t>
            </w:r>
          </w:p>
        </w:tc>
      </w:tr>
      <w:tr>
        <w:trPr>
          <w:trHeight w:val="142"/>
        </w:trPr>
        <w:tc>
          <w:tcPr>
            <w:tcW w:w="20" w:type="dxa"/>
            <w:vAlign w:val="bottom"/>
          </w:tcPr>
          <w:p>
            <w:pPr>
              <w:spacing w:after="0"/>
              <w:rPr>
                <w:sz w:val="12"/>
                <w:szCs w:val="12"/>
                <w:color w:val="auto"/>
              </w:rPr>
            </w:pPr>
          </w:p>
        </w:tc>
        <w:tc>
          <w:tcPr>
            <w:tcW w:w="570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54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jc w:val="right"/>
              <w:ind w:right="400"/>
              <w:spacing w:after="0" w:line="142" w:lineRule="exact"/>
              <w:rPr>
                <w:sz w:val="20"/>
                <w:szCs w:val="20"/>
                <w:color w:val="auto"/>
              </w:rPr>
            </w:pPr>
            <w:r>
              <w:rPr>
                <w:rFonts w:ascii="Arial" w:cs="Arial" w:eastAsia="Arial" w:hAnsi="Arial"/>
                <w:sz w:val="14"/>
                <w:szCs w:val="14"/>
                <w:i w:val="1"/>
                <w:iCs w:val="1"/>
                <w:color w:val="auto"/>
              </w:rPr>
              <w:t>2011</w:t>
            </w:r>
          </w:p>
        </w:tc>
        <w:tc>
          <w:tcPr>
            <w:tcW w:w="540" w:type="dxa"/>
            <w:vAlign w:val="bottom"/>
            <w:tcBorders>
              <w:bottom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jc w:val="right"/>
              <w:ind w:right="397"/>
              <w:spacing w:after="0" w:line="142" w:lineRule="exact"/>
              <w:rPr>
                <w:sz w:val="20"/>
                <w:szCs w:val="20"/>
                <w:color w:val="auto"/>
              </w:rPr>
            </w:pPr>
            <w:r>
              <w:rPr>
                <w:rFonts w:ascii="Arial" w:cs="Arial" w:eastAsia="Arial" w:hAnsi="Arial"/>
                <w:sz w:val="14"/>
                <w:szCs w:val="14"/>
                <w:color w:val="auto"/>
              </w:rPr>
              <w:t>2010</w:t>
            </w:r>
          </w:p>
        </w:tc>
        <w:tc>
          <w:tcPr>
            <w:tcW w:w="56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jc w:val="right"/>
              <w:ind w:right="400"/>
              <w:spacing w:after="0" w:line="142" w:lineRule="exact"/>
              <w:rPr>
                <w:sz w:val="20"/>
                <w:szCs w:val="20"/>
                <w:color w:val="auto"/>
              </w:rPr>
            </w:pPr>
            <w:r>
              <w:rPr>
                <w:rFonts w:ascii="Arial" w:cs="Arial" w:eastAsia="Arial" w:hAnsi="Arial"/>
                <w:sz w:val="14"/>
                <w:szCs w:val="14"/>
                <w:i w:val="1"/>
                <w:iCs w:val="1"/>
                <w:color w:val="auto"/>
              </w:rPr>
              <w:t>2011</w:t>
            </w:r>
          </w:p>
        </w:tc>
        <w:tc>
          <w:tcPr>
            <w:tcW w:w="5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color w:val="auto"/>
              </w:rPr>
              <w:t>2010</w:t>
            </w:r>
          </w:p>
        </w:tc>
      </w:tr>
      <w:tr>
        <w:trPr>
          <w:trHeight w:val="196"/>
        </w:trPr>
        <w:tc>
          <w:tcPr>
            <w:tcW w:w="20" w:type="dxa"/>
            <w:vAlign w:val="bottom"/>
          </w:tcPr>
          <w:p>
            <w:pPr>
              <w:spacing w:after="0"/>
              <w:rPr>
                <w:sz w:val="17"/>
                <w:szCs w:val="17"/>
                <w:color w:val="auto"/>
              </w:rPr>
            </w:pPr>
          </w:p>
        </w:tc>
        <w:tc>
          <w:tcPr>
            <w:tcW w:w="5700" w:type="dxa"/>
            <w:vAlign w:val="bottom"/>
            <w:tcBorders>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Current benefit payment liability</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(0.7)</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CEEFF"/>
          </w:tcPr>
          <w:p>
            <w:pPr>
              <w:jc w:val="right"/>
              <w:ind w:right="337"/>
              <w:spacing w:after="0" w:line="196" w:lineRule="exact"/>
              <w:rPr>
                <w:sz w:val="20"/>
                <w:szCs w:val="20"/>
                <w:color w:val="auto"/>
              </w:rPr>
            </w:pPr>
            <w:r>
              <w:rPr>
                <w:rFonts w:ascii="Arial" w:cs="Arial" w:eastAsia="Arial" w:hAnsi="Arial"/>
                <w:sz w:val="18"/>
                <w:szCs w:val="18"/>
                <w:color w:val="auto"/>
              </w:rPr>
              <w:t>(0.7)</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(6.6)</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57"/>
              <w:spacing w:after="0" w:line="196" w:lineRule="exact"/>
              <w:rPr>
                <w:sz w:val="20"/>
                <w:szCs w:val="20"/>
                <w:color w:val="auto"/>
              </w:rPr>
            </w:pPr>
            <w:r>
              <w:rPr>
                <w:rFonts w:ascii="Arial" w:cs="Arial" w:eastAsia="Arial" w:hAnsi="Arial"/>
                <w:sz w:val="18"/>
                <w:szCs w:val="18"/>
                <w:color w:val="auto"/>
              </w:rPr>
              <w:t>(7.1)</w:t>
            </w:r>
          </w:p>
        </w:tc>
      </w:tr>
      <w:tr>
        <w:trPr>
          <w:trHeight w:val="203"/>
        </w:trPr>
        <w:tc>
          <w:tcPr>
            <w:tcW w:w="572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Accrued benefit liability</w:t>
            </w:r>
          </w:p>
        </w:tc>
        <w:tc>
          <w:tcPr>
            <w:tcW w:w="540" w:type="dxa"/>
            <w:vAlign w:val="bottom"/>
          </w:tcPr>
          <w:p>
            <w:pPr>
              <w:spacing w:after="0"/>
              <w:rPr>
                <w:sz w:val="17"/>
                <w:szCs w:val="17"/>
                <w:color w:val="auto"/>
              </w:rPr>
            </w:pPr>
          </w:p>
        </w:tc>
        <w:tc>
          <w:tcPr>
            <w:tcW w:w="980" w:type="dxa"/>
            <w:vAlign w:val="bottom"/>
            <w:tcBorders>
              <w:right w:val="single" w:sz="8" w:color="auto"/>
            </w:tcBorders>
          </w:tcPr>
          <w:p>
            <w:pPr>
              <w:jc w:val="right"/>
              <w:ind w:right="340"/>
              <w:spacing w:after="0" w:line="202" w:lineRule="exact"/>
              <w:rPr>
                <w:sz w:val="20"/>
                <w:szCs w:val="20"/>
                <w:color w:val="auto"/>
              </w:rPr>
            </w:pPr>
            <w:r>
              <w:rPr>
                <w:rFonts w:ascii="Arial" w:cs="Arial" w:eastAsia="Arial" w:hAnsi="Arial"/>
                <w:sz w:val="18"/>
                <w:szCs w:val="18"/>
                <w:color w:val="auto"/>
                <w:w w:val="94"/>
              </w:rPr>
              <w:t>(160.9)</w:t>
            </w:r>
          </w:p>
        </w:tc>
        <w:tc>
          <w:tcPr>
            <w:tcW w:w="540" w:type="dxa"/>
            <w:vAlign w:val="bottom"/>
          </w:tcPr>
          <w:p>
            <w:pPr>
              <w:spacing w:after="0"/>
              <w:rPr>
                <w:sz w:val="17"/>
                <w:szCs w:val="17"/>
                <w:color w:val="auto"/>
              </w:rPr>
            </w:pPr>
          </w:p>
        </w:tc>
        <w:tc>
          <w:tcPr>
            <w:tcW w:w="880" w:type="dxa"/>
            <w:vAlign w:val="bottom"/>
            <w:tcBorders>
              <w:right w:val="single" w:sz="8" w:color="auto"/>
            </w:tcBorders>
          </w:tcPr>
          <w:p>
            <w:pPr>
              <w:jc w:val="right"/>
              <w:ind w:right="337"/>
              <w:spacing w:after="0" w:line="202" w:lineRule="exact"/>
              <w:rPr>
                <w:sz w:val="20"/>
                <w:szCs w:val="20"/>
                <w:color w:val="auto"/>
              </w:rPr>
            </w:pPr>
            <w:r>
              <w:rPr>
                <w:rFonts w:ascii="Arial" w:cs="Arial" w:eastAsia="Arial" w:hAnsi="Arial"/>
                <w:sz w:val="18"/>
                <w:szCs w:val="18"/>
                <w:color w:val="auto"/>
                <w:w w:val="93"/>
              </w:rPr>
              <w:t>(52.7)</w:t>
            </w:r>
          </w:p>
        </w:tc>
        <w:tc>
          <w:tcPr>
            <w:tcW w:w="560" w:type="dxa"/>
            <w:vAlign w:val="bottom"/>
          </w:tcPr>
          <w:p>
            <w:pPr>
              <w:spacing w:after="0"/>
              <w:rPr>
                <w:sz w:val="17"/>
                <w:szCs w:val="17"/>
                <w:color w:val="auto"/>
              </w:rPr>
            </w:pPr>
          </w:p>
        </w:tc>
        <w:tc>
          <w:tcPr>
            <w:tcW w:w="940" w:type="dxa"/>
            <w:vAlign w:val="bottom"/>
            <w:tcBorders>
              <w:right w:val="single" w:sz="8" w:color="auto"/>
            </w:tcBorders>
          </w:tcPr>
          <w:p>
            <w:pPr>
              <w:jc w:val="right"/>
              <w:ind w:right="340"/>
              <w:spacing w:after="0" w:line="202" w:lineRule="exact"/>
              <w:rPr>
                <w:sz w:val="20"/>
                <w:szCs w:val="20"/>
                <w:color w:val="auto"/>
              </w:rPr>
            </w:pPr>
            <w:r>
              <w:rPr>
                <w:rFonts w:ascii="Arial" w:cs="Arial" w:eastAsia="Arial" w:hAnsi="Arial"/>
                <w:sz w:val="18"/>
                <w:szCs w:val="18"/>
                <w:color w:val="auto"/>
              </w:rPr>
              <w:t>(87.3)</w:t>
            </w:r>
          </w:p>
        </w:tc>
        <w:tc>
          <w:tcPr>
            <w:tcW w:w="580" w:type="dxa"/>
            <w:vAlign w:val="bottom"/>
          </w:tcPr>
          <w:p>
            <w:pPr>
              <w:spacing w:after="0"/>
              <w:rPr>
                <w:sz w:val="17"/>
                <w:szCs w:val="17"/>
                <w:color w:val="auto"/>
              </w:rPr>
            </w:pPr>
          </w:p>
        </w:tc>
        <w:tc>
          <w:tcPr>
            <w:tcW w:w="680" w:type="dxa"/>
            <w:vAlign w:val="bottom"/>
          </w:tcPr>
          <w:p>
            <w:pPr>
              <w:jc w:val="right"/>
              <w:ind w:right="57"/>
              <w:spacing w:after="0" w:line="202" w:lineRule="exact"/>
              <w:rPr>
                <w:sz w:val="20"/>
                <w:szCs w:val="20"/>
                <w:color w:val="auto"/>
              </w:rPr>
            </w:pPr>
            <w:r>
              <w:rPr>
                <w:rFonts w:ascii="Arial" w:cs="Arial" w:eastAsia="Arial" w:hAnsi="Arial"/>
                <w:sz w:val="18"/>
                <w:szCs w:val="18"/>
                <w:color w:val="auto"/>
              </w:rPr>
              <w:t>(83.3)</w:t>
            </w:r>
          </w:p>
        </w:tc>
      </w:tr>
      <w:tr>
        <w:trPr>
          <w:trHeight w:val="203"/>
        </w:trPr>
        <w:tc>
          <w:tcPr>
            <w:tcW w:w="20" w:type="dxa"/>
            <w:vAlign w:val="bottom"/>
          </w:tcPr>
          <w:p>
            <w:pPr>
              <w:spacing w:after="0"/>
              <w:rPr>
                <w:sz w:val="17"/>
                <w:szCs w:val="17"/>
                <w:color w:val="auto"/>
              </w:rPr>
            </w:pPr>
          </w:p>
        </w:tc>
        <w:tc>
          <w:tcPr>
            <w:tcW w:w="5700" w:type="dxa"/>
            <w:vAlign w:val="bottom"/>
            <w:tcBorders>
              <w:top w:val="single" w:sz="8" w:color="auto"/>
              <w:bottom w:val="single" w:sz="8" w:color="auto"/>
              <w:right w:val="single" w:sz="8" w:color="auto"/>
            </w:tcBorders>
            <w:shd w:val="clear" w:color="auto" w:fill="CCEEFF"/>
          </w:tcPr>
          <w:p>
            <w:pPr>
              <w:ind w:left="420"/>
              <w:spacing w:after="0" w:line="196" w:lineRule="exact"/>
              <w:rPr>
                <w:sz w:val="20"/>
                <w:szCs w:val="20"/>
                <w:color w:val="auto"/>
              </w:rPr>
            </w:pPr>
            <w:r>
              <w:rPr>
                <w:rFonts w:ascii="Arial" w:cs="Arial" w:eastAsia="Arial" w:hAnsi="Arial"/>
                <w:sz w:val="18"/>
                <w:szCs w:val="18"/>
                <w:color w:val="auto"/>
              </w:rPr>
              <w:t>Net amount recognized (pre-tax)</w:t>
            </w: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right w:val="single" w:sz="8" w:color="auto"/>
            </w:tcBorders>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w w:val="94"/>
              </w:rPr>
              <w:t>(161.6)</w:t>
            </w: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right w:val="single" w:sz="8" w:color="auto"/>
            </w:tcBorders>
            <w:shd w:val="clear" w:color="auto" w:fill="CCEEFF"/>
          </w:tcPr>
          <w:p>
            <w:pPr>
              <w:jc w:val="right"/>
              <w:ind w:right="337"/>
              <w:spacing w:after="0" w:line="196" w:lineRule="exact"/>
              <w:rPr>
                <w:sz w:val="20"/>
                <w:szCs w:val="20"/>
                <w:color w:val="auto"/>
              </w:rPr>
            </w:pPr>
            <w:r>
              <w:rPr>
                <w:rFonts w:ascii="Arial" w:cs="Arial" w:eastAsia="Arial" w:hAnsi="Arial"/>
                <w:sz w:val="18"/>
                <w:szCs w:val="18"/>
                <w:color w:val="auto"/>
                <w:w w:val="93"/>
              </w:rPr>
              <w:t>(53.4)</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auto"/>
            </w:tcBorders>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(93.9)</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ind w:right="57"/>
              <w:spacing w:after="0" w:line="196" w:lineRule="exact"/>
              <w:rPr>
                <w:sz w:val="20"/>
                <w:szCs w:val="20"/>
                <w:color w:val="auto"/>
              </w:rPr>
            </w:pPr>
            <w:r>
              <w:rPr>
                <w:rFonts w:ascii="Arial" w:cs="Arial" w:eastAsia="Arial" w:hAnsi="Arial"/>
                <w:sz w:val="18"/>
                <w:szCs w:val="18"/>
                <w:color w:val="auto"/>
              </w:rPr>
              <w:t>(90.4)</w:t>
            </w:r>
          </w:p>
        </w:tc>
      </w:tr>
    </w:tbl>
    <w:p>
      <w:pPr>
        <w:spacing w:after="0" w:line="16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the third and fourth quarters of 2011, we communicated to employees our decision to freeze all of our pension plans by December 31, 2016. As a result, we remeasured our pension liabilities, updating our pension measurement assumptions, and recorded pension curtailment charges totaling $1.8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 2012, we expect to make pension contributions of approximately $20 million, the minimum funding requirement.</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amounts in accumulated other comprehensive income on the consolidated balance sheets that have not yet been recognized as components of net periodic benefit cost were as follows: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405"/>
        </w:trPr>
        <w:tc>
          <w:tcPr>
            <w:tcW w:w="5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i w:val="1"/>
                <w:iCs w:val="1"/>
                <w:color w:val="auto"/>
              </w:rPr>
              <w:t>(In millions)</w:t>
            </w:r>
          </w:p>
        </w:tc>
        <w:tc>
          <w:tcPr>
            <w:tcW w:w="2480" w:type="dxa"/>
            <w:vAlign w:val="bottom"/>
            <w:tcBorders>
              <w:top w:val="single" w:sz="8" w:color="auto"/>
              <w:bottom w:val="single" w:sz="8" w:color="auto"/>
              <w:right w:val="single" w:sz="8" w:color="auto"/>
            </w:tcBorders>
            <w:gridSpan w:val="2"/>
          </w:tcPr>
          <w:p>
            <w:pPr>
              <w:ind w:left="1260"/>
              <w:spacing w:after="0"/>
              <w:rPr>
                <w:sz w:val="20"/>
                <w:szCs w:val="20"/>
                <w:color w:val="auto"/>
              </w:rPr>
            </w:pPr>
            <w:r>
              <w:rPr>
                <w:rFonts w:ascii="Arial" w:cs="Arial" w:eastAsia="Arial" w:hAnsi="Arial"/>
                <w:sz w:val="14"/>
                <w:szCs w:val="14"/>
                <w:color w:val="auto"/>
              </w:rPr>
              <w:t>Pension Benefits</w:t>
            </w:r>
          </w:p>
        </w:tc>
        <w:tc>
          <w:tcPr>
            <w:tcW w:w="2660" w:type="dxa"/>
            <w:vAlign w:val="bottom"/>
            <w:tcBorders>
              <w:top w:val="single" w:sz="8" w:color="auto"/>
              <w:bottom w:val="single" w:sz="8" w:color="auto"/>
            </w:tcBorders>
            <w:gridSpan w:val="2"/>
          </w:tcPr>
          <w:p>
            <w:pPr>
              <w:ind w:left="1140"/>
              <w:spacing w:after="0"/>
              <w:rPr>
                <w:sz w:val="20"/>
                <w:szCs w:val="20"/>
                <w:color w:val="auto"/>
              </w:rPr>
            </w:pPr>
            <w:r>
              <w:rPr>
                <w:rFonts w:ascii="Arial" w:cs="Arial" w:eastAsia="Arial" w:hAnsi="Arial"/>
                <w:sz w:val="14"/>
                <w:szCs w:val="14"/>
                <w:color w:val="auto"/>
              </w:rPr>
              <w:t>Postretirement Benefits</w:t>
            </w:r>
          </w:p>
        </w:tc>
      </w:tr>
      <w:tr>
        <w:trPr>
          <w:trHeight w:val="196"/>
        </w:trPr>
        <w:tc>
          <w:tcPr>
            <w:tcW w:w="5360" w:type="dxa"/>
            <w:vAlign w:val="bottom"/>
            <w:tcBorders>
              <w:right w:val="single" w:sz="8" w:color="auto"/>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Net actuarial loss (gain) at December 31, 2009</w:t>
            </w:r>
          </w:p>
        </w:tc>
        <w:tc>
          <w:tcPr>
            <w:tcW w:w="1640" w:type="dxa"/>
            <w:vAlign w:val="bottom"/>
            <w:shd w:val="clear" w:color="auto" w:fill="CCEEFF"/>
          </w:tcPr>
          <w:p>
            <w:pPr>
              <w:ind w:left="126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47.9</w:t>
            </w:r>
          </w:p>
        </w:tc>
        <w:tc>
          <w:tcPr>
            <w:tcW w:w="1740" w:type="dxa"/>
            <w:vAlign w:val="bottom"/>
            <w:shd w:val="clear" w:color="auto" w:fill="CCEEFF"/>
          </w:tcPr>
          <w:p>
            <w:pPr>
              <w:ind w:left="114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3"/>
        </w:trPr>
        <w:tc>
          <w:tcPr>
            <w:tcW w:w="536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Recognition of actuarial (losses) gains</w:t>
            </w:r>
          </w:p>
        </w:tc>
        <w:tc>
          <w:tcPr>
            <w:tcW w:w="1640" w:type="dxa"/>
            <w:vAlign w:val="bottom"/>
          </w:tcPr>
          <w:p>
            <w:pPr>
              <w:spacing w:after="0"/>
              <w:rPr>
                <w:sz w:val="17"/>
                <w:szCs w:val="17"/>
                <w:color w:val="auto"/>
              </w:rPr>
            </w:pPr>
          </w:p>
        </w:tc>
        <w:tc>
          <w:tcPr>
            <w:tcW w:w="84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(0.6)</w:t>
            </w:r>
          </w:p>
        </w:tc>
        <w:tc>
          <w:tcPr>
            <w:tcW w:w="1740" w:type="dxa"/>
            <w:vAlign w:val="bottom"/>
          </w:tcPr>
          <w:p>
            <w:pPr>
              <w:spacing w:after="0"/>
              <w:rPr>
                <w:sz w:val="17"/>
                <w:szCs w:val="17"/>
                <w:color w:val="auto"/>
              </w:rPr>
            </w:pP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4.1</w:t>
            </w:r>
          </w:p>
        </w:tc>
      </w:tr>
      <w:tr>
        <w:trPr>
          <w:trHeight w:val="203"/>
        </w:trPr>
        <w:tc>
          <w:tcPr>
            <w:tcW w:w="5360" w:type="dxa"/>
            <w:vAlign w:val="bottom"/>
            <w:tcBorders>
              <w:right w:val="single" w:sz="8" w:color="auto"/>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Current year actuarial gain</w:t>
            </w:r>
          </w:p>
        </w:tc>
        <w:tc>
          <w:tcPr>
            <w:tcW w:w="164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w:t>
            </w:r>
          </w:p>
        </w:tc>
        <w:tc>
          <w:tcPr>
            <w:tcW w:w="17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5360" w:type="dxa"/>
            <w:vAlign w:val="bottom"/>
            <w:tcBorders>
              <w:bottom w:val="single" w:sz="8" w:color="CCEEFF"/>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Net actuarial gain due to settlements</w:t>
            </w:r>
          </w:p>
        </w:tc>
        <w:tc>
          <w:tcPr>
            <w:tcW w:w="164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(0.9)</w:t>
            </w:r>
          </w:p>
        </w:tc>
        <w:tc>
          <w:tcPr>
            <w:tcW w:w="17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196"/>
        </w:trPr>
        <w:tc>
          <w:tcPr>
            <w:tcW w:w="5360" w:type="dxa"/>
            <w:vAlign w:val="bottom"/>
            <w:tcBorders>
              <w:bottom w:val="single" w:sz="8" w:color="auto"/>
              <w:right w:val="single" w:sz="8" w:color="auto"/>
            </w:tcBorders>
            <w:shd w:val="clear" w:color="auto" w:fill="CCEEFF"/>
          </w:tcPr>
          <w:p>
            <w:pPr>
              <w:ind w:left="220"/>
              <w:spacing w:after="0" w:line="195" w:lineRule="exact"/>
              <w:rPr>
                <w:sz w:val="20"/>
                <w:szCs w:val="20"/>
                <w:color w:val="auto"/>
              </w:rPr>
            </w:pPr>
            <w:r>
              <w:rPr>
                <w:rFonts w:ascii="Arial" w:cs="Arial" w:eastAsia="Arial" w:hAnsi="Arial"/>
                <w:sz w:val="18"/>
                <w:szCs w:val="18"/>
                <w:color w:val="auto"/>
              </w:rPr>
              <w:t>Net actuarial loss at December 31, 2010</w:t>
            </w:r>
          </w:p>
        </w:tc>
        <w:tc>
          <w:tcPr>
            <w:tcW w:w="16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right w:val="single" w:sz="8" w:color="auto"/>
            </w:tcBorders>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38.8</w:t>
            </w:r>
          </w:p>
        </w:tc>
        <w:tc>
          <w:tcPr>
            <w:tcW w:w="17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0.8</w:t>
            </w:r>
          </w:p>
        </w:tc>
      </w:tr>
      <w:tr>
        <w:trPr>
          <w:trHeight w:val="196"/>
        </w:trPr>
        <w:tc>
          <w:tcPr>
            <w:tcW w:w="5360" w:type="dxa"/>
            <w:vAlign w:val="bottom"/>
            <w:tcBorders>
              <w:right w:val="single" w:sz="8" w:color="auto"/>
            </w:tcBorders>
          </w:tcPr>
          <w:p>
            <w:pPr>
              <w:ind w:left="440"/>
              <w:spacing w:after="0" w:line="196" w:lineRule="exact"/>
              <w:rPr>
                <w:sz w:val="20"/>
                <w:szCs w:val="20"/>
                <w:color w:val="auto"/>
              </w:rPr>
            </w:pPr>
            <w:r>
              <w:rPr>
                <w:rFonts w:ascii="Arial" w:cs="Arial" w:eastAsia="Arial" w:hAnsi="Arial"/>
                <w:sz w:val="18"/>
                <w:szCs w:val="18"/>
                <w:color w:val="auto"/>
              </w:rPr>
              <w:t>Recognition of actuarial losses</w:t>
            </w:r>
          </w:p>
        </w:tc>
        <w:tc>
          <w:tcPr>
            <w:tcW w:w="1640" w:type="dxa"/>
            <w:vAlign w:val="bottom"/>
          </w:tcPr>
          <w:p>
            <w:pPr>
              <w:spacing w:after="0"/>
              <w:rPr>
                <w:sz w:val="17"/>
                <w:szCs w:val="17"/>
                <w:color w:val="auto"/>
              </w:rPr>
            </w:pPr>
          </w:p>
        </w:tc>
        <w:tc>
          <w:tcPr>
            <w:tcW w:w="8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(80.0)</w:t>
            </w:r>
          </w:p>
        </w:tc>
        <w:tc>
          <w:tcPr>
            <w:tcW w:w="1740" w:type="dxa"/>
            <w:vAlign w:val="bottom"/>
          </w:tcPr>
          <w:p>
            <w:pPr>
              <w:spacing w:after="0"/>
              <w:rPr>
                <w:sz w:val="17"/>
                <w:szCs w:val="17"/>
                <w:color w:val="auto"/>
              </w:rPr>
            </w:pPr>
          </w:p>
        </w:tc>
        <w:tc>
          <w:tcPr>
            <w:tcW w:w="920" w:type="dxa"/>
            <w:vAlign w:val="bottom"/>
          </w:tcPr>
          <w:p>
            <w:pPr>
              <w:jc w:val="right"/>
              <w:ind w:right="12"/>
              <w:spacing w:after="0" w:line="196" w:lineRule="exact"/>
              <w:rPr>
                <w:sz w:val="20"/>
                <w:szCs w:val="20"/>
                <w:color w:val="auto"/>
              </w:rPr>
            </w:pPr>
            <w:r>
              <w:rPr>
                <w:rFonts w:ascii="Arial" w:cs="Arial" w:eastAsia="Arial" w:hAnsi="Arial"/>
                <w:sz w:val="18"/>
                <w:szCs w:val="18"/>
                <w:color w:val="auto"/>
              </w:rPr>
              <w:t>—</w:t>
            </w:r>
          </w:p>
        </w:tc>
      </w:tr>
      <w:tr>
        <w:trPr>
          <w:trHeight w:val="203"/>
        </w:trPr>
        <w:tc>
          <w:tcPr>
            <w:tcW w:w="5360" w:type="dxa"/>
            <w:vAlign w:val="bottom"/>
            <w:tcBorders>
              <w:right w:val="single" w:sz="8" w:color="auto"/>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Current year actuarial loss</w:t>
            </w:r>
          </w:p>
        </w:tc>
        <w:tc>
          <w:tcPr>
            <w:tcW w:w="164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38.7</w:t>
            </w:r>
          </w:p>
        </w:tc>
        <w:tc>
          <w:tcPr>
            <w:tcW w:w="17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5.2</w:t>
            </w:r>
          </w:p>
        </w:tc>
      </w:tr>
      <w:tr>
        <w:trPr>
          <w:trHeight w:val="203"/>
        </w:trPr>
        <w:tc>
          <w:tcPr>
            <w:tcW w:w="536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Transfer of Corporate plan from Former Parent</w:t>
            </w:r>
          </w:p>
        </w:tc>
        <w:tc>
          <w:tcPr>
            <w:tcW w:w="1640" w:type="dxa"/>
            <w:vAlign w:val="bottom"/>
          </w:tcPr>
          <w:p>
            <w:pPr>
              <w:spacing w:after="0"/>
              <w:rPr>
                <w:sz w:val="17"/>
                <w:szCs w:val="17"/>
                <w:color w:val="auto"/>
              </w:rPr>
            </w:pPr>
          </w:p>
        </w:tc>
        <w:tc>
          <w:tcPr>
            <w:tcW w:w="840" w:type="dxa"/>
            <w:vAlign w:val="bottom"/>
            <w:tcBorders>
              <w:right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5.3</w:t>
            </w:r>
          </w:p>
        </w:tc>
        <w:tc>
          <w:tcPr>
            <w:tcW w:w="1740" w:type="dxa"/>
            <w:vAlign w:val="bottom"/>
          </w:tcPr>
          <w:p>
            <w:pPr>
              <w:spacing w:after="0"/>
              <w:rPr>
                <w:sz w:val="17"/>
                <w:szCs w:val="17"/>
                <w:color w:val="auto"/>
              </w:rPr>
            </w:pP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5360" w:type="dxa"/>
            <w:vAlign w:val="bottom"/>
            <w:tcBorders>
              <w:right w:val="single" w:sz="8" w:color="auto"/>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Net actuarial gain due to curtailments and settlements</w:t>
            </w:r>
          </w:p>
        </w:tc>
        <w:tc>
          <w:tcPr>
            <w:tcW w:w="16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right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60.7</w:t>
            </w:r>
          </w:p>
        </w:tc>
        <w:tc>
          <w:tcPr>
            <w:tcW w:w="17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5360" w:type="dxa"/>
            <w:vAlign w:val="bottom"/>
            <w:tcBorders>
              <w:bottom w:val="single" w:sz="8" w:color="auto"/>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Net actuarial loss at December 31, 2011</w:t>
            </w:r>
          </w:p>
        </w:tc>
        <w:tc>
          <w:tcPr>
            <w:tcW w:w="1640" w:type="dxa"/>
            <w:vAlign w:val="bottom"/>
            <w:tcBorders>
              <w:bottom w:val="single" w:sz="8" w:color="auto"/>
            </w:tcBorders>
          </w:tcPr>
          <w:p>
            <w:pPr>
              <w:ind w:left="126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63.5</w:t>
            </w:r>
          </w:p>
        </w:tc>
        <w:tc>
          <w:tcPr>
            <w:tcW w:w="1740" w:type="dxa"/>
            <w:vAlign w:val="bottom"/>
            <w:tcBorders>
              <w:bottom w:val="single" w:sz="8" w:color="auto"/>
            </w:tcBorders>
          </w:tcPr>
          <w:p>
            <w:pPr>
              <w:ind w:left="114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6.0</w:t>
            </w:r>
          </w:p>
        </w:tc>
      </w:tr>
      <w:tr>
        <w:trPr>
          <w:trHeight w:val="203"/>
        </w:trPr>
        <w:tc>
          <w:tcPr>
            <w:tcW w:w="5360" w:type="dxa"/>
            <w:vAlign w:val="bottom"/>
            <w:tcBorders>
              <w:right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Net prior service cost at December 31, 2009</w:t>
            </w:r>
          </w:p>
        </w:tc>
        <w:tc>
          <w:tcPr>
            <w:tcW w:w="1640" w:type="dxa"/>
            <w:vAlign w:val="bottom"/>
            <w:shd w:val="clear" w:color="auto" w:fill="CCEEFF"/>
          </w:tcPr>
          <w:p>
            <w:pPr>
              <w:ind w:left="1260"/>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3.0</w:t>
            </w:r>
          </w:p>
        </w:tc>
        <w:tc>
          <w:tcPr>
            <w:tcW w:w="174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1.7</w:t>
            </w:r>
          </w:p>
        </w:tc>
      </w:tr>
      <w:tr>
        <w:trPr>
          <w:trHeight w:val="203"/>
        </w:trPr>
        <w:tc>
          <w:tcPr>
            <w:tcW w:w="5360" w:type="dxa"/>
            <w:vAlign w:val="bottom"/>
            <w:tcBorders>
              <w:bottom w:val="single" w:sz="8" w:color="CCEEFF"/>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Amortization</w:t>
            </w:r>
          </w:p>
        </w:tc>
        <w:tc>
          <w:tcPr>
            <w:tcW w:w="164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(0.5)</w:t>
            </w:r>
          </w:p>
        </w:tc>
        <w:tc>
          <w:tcPr>
            <w:tcW w:w="17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(0.3)</w:t>
            </w:r>
          </w:p>
        </w:tc>
      </w:tr>
      <w:tr>
        <w:trPr>
          <w:trHeight w:val="196"/>
        </w:trPr>
        <w:tc>
          <w:tcPr>
            <w:tcW w:w="5360" w:type="dxa"/>
            <w:vAlign w:val="bottom"/>
            <w:tcBorders>
              <w:bottom w:val="single" w:sz="8" w:color="auto"/>
              <w:right w:val="single" w:sz="8" w:color="auto"/>
            </w:tcBorders>
            <w:shd w:val="clear" w:color="auto" w:fill="CCEEFF"/>
          </w:tcPr>
          <w:p>
            <w:pPr>
              <w:ind w:left="220"/>
              <w:spacing w:after="0" w:line="195" w:lineRule="exact"/>
              <w:rPr>
                <w:sz w:val="20"/>
                <w:szCs w:val="20"/>
                <w:color w:val="auto"/>
              </w:rPr>
            </w:pPr>
            <w:r>
              <w:rPr>
                <w:rFonts w:ascii="Arial" w:cs="Arial" w:eastAsia="Arial" w:hAnsi="Arial"/>
                <w:sz w:val="18"/>
                <w:szCs w:val="18"/>
                <w:color w:val="auto"/>
              </w:rPr>
              <w:t>Net prior service cost at December 31, 2010</w:t>
            </w:r>
          </w:p>
        </w:tc>
        <w:tc>
          <w:tcPr>
            <w:tcW w:w="16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right w:val="single" w:sz="8" w:color="auto"/>
            </w:tcBorders>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2.5</w:t>
            </w:r>
          </w:p>
        </w:tc>
        <w:tc>
          <w:tcPr>
            <w:tcW w:w="17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1.4</w:t>
            </w:r>
          </w:p>
        </w:tc>
      </w:tr>
      <w:tr>
        <w:trPr>
          <w:trHeight w:val="196"/>
        </w:trPr>
        <w:tc>
          <w:tcPr>
            <w:tcW w:w="5360" w:type="dxa"/>
            <w:vAlign w:val="bottom"/>
            <w:tcBorders>
              <w:right w:val="single" w:sz="8" w:color="auto"/>
            </w:tcBorders>
          </w:tcPr>
          <w:p>
            <w:pPr>
              <w:ind w:left="440"/>
              <w:spacing w:after="0" w:line="196" w:lineRule="exact"/>
              <w:rPr>
                <w:sz w:val="20"/>
                <w:szCs w:val="20"/>
                <w:color w:val="auto"/>
              </w:rPr>
            </w:pPr>
            <w:r>
              <w:rPr>
                <w:rFonts w:ascii="Arial" w:cs="Arial" w:eastAsia="Arial" w:hAnsi="Arial"/>
                <w:sz w:val="18"/>
                <w:szCs w:val="18"/>
                <w:color w:val="auto"/>
              </w:rPr>
              <w:t>Prior service cost gain recognition due to curtailments</w:t>
            </w:r>
          </w:p>
        </w:tc>
        <w:tc>
          <w:tcPr>
            <w:tcW w:w="1640" w:type="dxa"/>
            <w:vAlign w:val="bottom"/>
          </w:tcPr>
          <w:p>
            <w:pPr>
              <w:spacing w:after="0"/>
              <w:rPr>
                <w:sz w:val="17"/>
                <w:szCs w:val="17"/>
                <w:color w:val="auto"/>
              </w:rPr>
            </w:pPr>
          </w:p>
        </w:tc>
        <w:tc>
          <w:tcPr>
            <w:tcW w:w="8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(1.7)</w:t>
            </w:r>
          </w:p>
        </w:tc>
        <w:tc>
          <w:tcPr>
            <w:tcW w:w="1740" w:type="dxa"/>
            <w:vAlign w:val="bottom"/>
          </w:tcPr>
          <w:p>
            <w:pPr>
              <w:spacing w:after="0"/>
              <w:rPr>
                <w:sz w:val="17"/>
                <w:szCs w:val="17"/>
                <w:color w:val="auto"/>
              </w:rPr>
            </w:pPr>
          </w:p>
        </w:tc>
        <w:tc>
          <w:tcPr>
            <w:tcW w:w="920" w:type="dxa"/>
            <w:vAlign w:val="bottom"/>
          </w:tcPr>
          <w:p>
            <w:pPr>
              <w:jc w:val="right"/>
              <w:ind w:right="12"/>
              <w:spacing w:after="0" w:line="196" w:lineRule="exact"/>
              <w:rPr>
                <w:sz w:val="20"/>
                <w:szCs w:val="20"/>
                <w:color w:val="auto"/>
              </w:rPr>
            </w:pPr>
            <w:r>
              <w:rPr>
                <w:rFonts w:ascii="Arial" w:cs="Arial" w:eastAsia="Arial" w:hAnsi="Arial"/>
                <w:sz w:val="18"/>
                <w:szCs w:val="18"/>
                <w:color w:val="auto"/>
              </w:rPr>
              <w:t>—</w:t>
            </w:r>
          </w:p>
        </w:tc>
      </w:tr>
      <w:tr>
        <w:trPr>
          <w:trHeight w:val="203"/>
        </w:trPr>
        <w:tc>
          <w:tcPr>
            <w:tcW w:w="5360" w:type="dxa"/>
            <w:vAlign w:val="bottom"/>
            <w:tcBorders>
              <w:right w:val="single" w:sz="8" w:color="auto"/>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Amortization</w:t>
            </w:r>
          </w:p>
        </w:tc>
        <w:tc>
          <w:tcPr>
            <w:tcW w:w="16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(0.3)</w:t>
            </w:r>
          </w:p>
        </w:tc>
        <w:tc>
          <w:tcPr>
            <w:tcW w:w="17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r>
      <w:tr>
        <w:trPr>
          <w:trHeight w:val="196"/>
        </w:trPr>
        <w:tc>
          <w:tcPr>
            <w:tcW w:w="5360" w:type="dxa"/>
            <w:vAlign w:val="bottom"/>
            <w:tcBorders>
              <w:bottom w:val="single" w:sz="8" w:color="auto"/>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Net prior service cost at December 31, 2011</w:t>
            </w:r>
          </w:p>
        </w:tc>
        <w:tc>
          <w:tcPr>
            <w:tcW w:w="1640" w:type="dxa"/>
            <w:vAlign w:val="bottom"/>
            <w:tcBorders>
              <w:bottom w:val="single" w:sz="8" w:color="auto"/>
            </w:tcBorders>
          </w:tcPr>
          <w:p>
            <w:pPr>
              <w:ind w:left="126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0.5</w:t>
            </w:r>
          </w:p>
        </w:tc>
        <w:tc>
          <w:tcPr>
            <w:tcW w:w="1740" w:type="dxa"/>
            <w:vAlign w:val="bottom"/>
            <w:tcBorders>
              <w:bottom w:val="single" w:sz="8" w:color="auto"/>
            </w:tcBorders>
          </w:tcPr>
          <w:p>
            <w:pPr>
              <w:ind w:left="114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1.0</w:t>
            </w:r>
          </w:p>
        </w:tc>
      </w:tr>
      <w:tr>
        <w:trPr>
          <w:trHeight w:val="203"/>
        </w:trPr>
        <w:tc>
          <w:tcPr>
            <w:tcW w:w="5360" w:type="dxa"/>
            <w:vAlign w:val="bottom"/>
            <w:tcBorders>
              <w:bottom w:val="single" w:sz="8" w:color="auto"/>
              <w:right w:val="single" w:sz="8" w:color="auto"/>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Total at December 31, 2011</w:t>
            </w:r>
          </w:p>
        </w:tc>
        <w:tc>
          <w:tcPr>
            <w:tcW w:w="1640" w:type="dxa"/>
            <w:vAlign w:val="bottom"/>
            <w:tcBorders>
              <w:bottom w:val="single" w:sz="8" w:color="auto"/>
            </w:tcBorders>
            <w:shd w:val="clear" w:color="auto" w:fill="CCEEFF"/>
          </w:tcPr>
          <w:p>
            <w:pPr>
              <w:ind w:left="126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64.0</w:t>
            </w:r>
          </w:p>
        </w:tc>
        <w:tc>
          <w:tcPr>
            <w:tcW w:w="1740" w:type="dxa"/>
            <w:vAlign w:val="bottom"/>
            <w:tcBorders>
              <w:bottom w:val="single" w:sz="8" w:color="auto"/>
            </w:tcBorders>
            <w:shd w:val="clear" w:color="auto" w:fill="CCEEFF"/>
          </w:tcPr>
          <w:p>
            <w:pPr>
              <w:ind w:left="114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7.0</w:t>
            </w:r>
          </w:p>
        </w:tc>
      </w:tr>
    </w:tbl>
    <w:p>
      <w:pPr>
        <w:spacing w:after="0" w:line="165"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The amounts in accumulated other comprehensive income expected to be recognized as components of net periodic benefit cost over the next fiscal year are amortization of net prior service costs related pension and postretirement benefits of $0.3 million each.</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net periodic benefit cost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405"/>
        </w:trPr>
        <w:tc>
          <w:tcPr>
            <w:tcW w:w="4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Components of Net Periodic Benefit Cost</w:t>
            </w:r>
          </w:p>
        </w:tc>
        <w:tc>
          <w:tcPr>
            <w:tcW w:w="9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gridSpan w:val="2"/>
          </w:tcPr>
          <w:p>
            <w:pPr>
              <w:jc w:val="right"/>
              <w:ind w:right="135"/>
              <w:spacing w:after="0"/>
              <w:rPr>
                <w:sz w:val="20"/>
                <w:szCs w:val="20"/>
                <w:color w:val="auto"/>
              </w:rPr>
            </w:pPr>
            <w:r>
              <w:rPr>
                <w:rFonts w:ascii="Arial" w:cs="Arial" w:eastAsia="Arial" w:hAnsi="Arial"/>
                <w:sz w:val="14"/>
                <w:szCs w:val="14"/>
                <w:color w:val="auto"/>
              </w:rPr>
              <w:t>Pension Benefits</w:t>
            </w:r>
          </w:p>
        </w:tc>
        <w:tc>
          <w:tcPr>
            <w:tcW w:w="1100" w:type="dxa"/>
            <w:vAlign w:val="bottom"/>
            <w:tcBorders>
              <w:top w:val="single" w:sz="8" w:color="auto"/>
              <w:bottom w:val="single" w:sz="8" w:color="auto"/>
              <w:right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680" w:type="dxa"/>
            <w:vAlign w:val="bottom"/>
            <w:tcBorders>
              <w:top w:val="single" w:sz="8" w:color="auto"/>
              <w:bottom w:val="single" w:sz="8" w:color="auto"/>
            </w:tcBorders>
            <w:gridSpan w:val="2"/>
          </w:tcPr>
          <w:p>
            <w:pPr>
              <w:jc w:val="right"/>
              <w:ind w:right="35"/>
              <w:spacing w:after="0"/>
              <w:rPr>
                <w:sz w:val="20"/>
                <w:szCs w:val="20"/>
                <w:color w:val="auto"/>
              </w:rPr>
            </w:pPr>
            <w:r>
              <w:rPr>
                <w:rFonts w:ascii="Arial" w:cs="Arial" w:eastAsia="Arial" w:hAnsi="Arial"/>
                <w:sz w:val="14"/>
                <w:szCs w:val="14"/>
                <w:color w:val="auto"/>
              </w:rPr>
              <w:t>Postretirement Benefits</w:t>
            </w:r>
          </w:p>
        </w:tc>
        <w:tc>
          <w:tcPr>
            <w:tcW w:w="660" w:type="dxa"/>
            <w:vAlign w:val="bottom"/>
            <w:tcBorders>
              <w:top w:val="single" w:sz="8" w:color="auto"/>
              <w:bottom w:val="single" w:sz="8" w:color="auto"/>
            </w:tcBorders>
          </w:tcPr>
          <w:p>
            <w:pPr>
              <w:spacing w:after="0"/>
              <w:rPr>
                <w:sz w:val="24"/>
                <w:szCs w:val="24"/>
                <w:color w:val="auto"/>
              </w:rPr>
            </w:pPr>
          </w:p>
        </w:tc>
      </w:tr>
      <w:tr>
        <w:trPr>
          <w:trHeight w:val="385"/>
        </w:trPr>
        <w:tc>
          <w:tcPr>
            <w:tcW w:w="4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i w:val="1"/>
                <w:iCs w:val="1"/>
                <w:color w:val="auto"/>
              </w:rPr>
              <w:t>(In millions)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2011</w:t>
            </w:r>
          </w:p>
        </w:tc>
        <w:tc>
          <w:tcPr>
            <w:tcW w:w="2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color w:val="auto"/>
              </w:rPr>
              <w:t>2010</w:t>
            </w:r>
          </w:p>
        </w:tc>
        <w:tc>
          <w:tcPr>
            <w:tcW w:w="1100" w:type="dxa"/>
            <w:vAlign w:val="bottom"/>
            <w:tcBorders>
              <w:bottom w:val="single" w:sz="8" w:color="auto"/>
              <w:right w:val="single" w:sz="8" w:color="auto"/>
            </w:tcBorders>
          </w:tcPr>
          <w:p>
            <w:pPr>
              <w:jc w:val="right"/>
              <w:ind w:right="295"/>
              <w:spacing w:after="0"/>
              <w:rPr>
                <w:sz w:val="20"/>
                <w:szCs w:val="20"/>
                <w:color w:val="auto"/>
              </w:rPr>
            </w:pPr>
            <w:r>
              <w:rPr>
                <w:rFonts w:ascii="Arial" w:cs="Arial" w:eastAsia="Arial" w:hAnsi="Arial"/>
                <w:sz w:val="14"/>
                <w:szCs w:val="14"/>
                <w:color w:val="auto"/>
              </w:rPr>
              <w:t>2009</w:t>
            </w: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i w:val="1"/>
                <w:iCs w:val="1"/>
                <w:color w:val="auto"/>
              </w:rPr>
              <w:t>2011</w:t>
            </w:r>
          </w:p>
        </w:tc>
        <w:tc>
          <w:tcPr>
            <w:tcW w:w="22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2010</w:t>
            </w: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2009</w:t>
            </w:r>
          </w:p>
        </w:tc>
      </w:tr>
      <w:tr>
        <w:trPr>
          <w:trHeight w:val="196"/>
        </w:trPr>
        <w:tc>
          <w:tcPr>
            <w:tcW w:w="4660" w:type="dxa"/>
            <w:vAlign w:val="bottom"/>
            <w:tcBorders>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Service cost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$ 12.9</w:t>
            </w:r>
          </w:p>
        </w:tc>
        <w:tc>
          <w:tcPr>
            <w:tcW w:w="280" w:type="dxa"/>
            <w:vAlign w:val="bottom"/>
            <w:tcBorders>
              <w:right w:val="single" w:sz="8" w:color="auto"/>
            </w:tcBorders>
            <w:shd w:val="clear" w:color="auto" w:fill="CCEEFF"/>
          </w:tcPr>
          <w:p>
            <w:pPr>
              <w:spacing w:after="0"/>
              <w:rPr>
                <w:sz w:val="17"/>
                <w:szCs w:val="17"/>
                <w:color w:val="auto"/>
              </w:rPr>
            </w:pP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75"/>
              <w:spacing w:after="0" w:line="196" w:lineRule="exact"/>
              <w:rPr>
                <w:sz w:val="20"/>
                <w:szCs w:val="20"/>
                <w:color w:val="auto"/>
              </w:rPr>
            </w:pPr>
            <w:r>
              <w:rPr>
                <w:rFonts w:ascii="Arial" w:cs="Arial" w:eastAsia="Arial" w:hAnsi="Arial"/>
                <w:sz w:val="18"/>
                <w:szCs w:val="18"/>
                <w:color w:val="auto"/>
              </w:rPr>
              <w:t>12.7</w:t>
            </w:r>
          </w:p>
        </w:tc>
        <w:tc>
          <w:tcPr>
            <w:tcW w:w="1100" w:type="dxa"/>
            <w:vAlign w:val="bottom"/>
            <w:tcBorders>
              <w:right w:val="single" w:sz="8" w:color="auto"/>
            </w:tcBorders>
            <w:shd w:val="clear" w:color="auto" w:fill="CCEEFF"/>
          </w:tcPr>
          <w:p>
            <w:pPr>
              <w:jc w:val="right"/>
              <w:ind w:right="295"/>
              <w:spacing w:after="0" w:line="196" w:lineRule="exact"/>
              <w:rPr>
                <w:sz w:val="20"/>
                <w:szCs w:val="20"/>
                <w:color w:val="auto"/>
              </w:rPr>
            </w:pPr>
            <w:r>
              <w:rPr>
                <w:rFonts w:ascii="Arial" w:cs="Arial" w:eastAsia="Arial" w:hAnsi="Arial"/>
                <w:sz w:val="18"/>
                <w:szCs w:val="18"/>
                <w:color w:val="auto"/>
              </w:rPr>
              <w:t>$ 11.7</w:t>
            </w:r>
          </w:p>
        </w:tc>
        <w:tc>
          <w:tcPr>
            <w:tcW w:w="820" w:type="dxa"/>
            <w:vAlign w:val="bottom"/>
            <w:shd w:val="clear" w:color="auto" w:fill="CCEEFF"/>
          </w:tcPr>
          <w:p>
            <w:pPr>
              <w:jc w:val="right"/>
              <w:ind w:right="55"/>
              <w:spacing w:after="0" w:line="196" w:lineRule="exact"/>
              <w:rPr>
                <w:sz w:val="20"/>
                <w:szCs w:val="20"/>
                <w:color w:val="auto"/>
              </w:rPr>
            </w:pPr>
            <w:r>
              <w:rPr>
                <w:rFonts w:ascii="Arial" w:cs="Arial" w:eastAsia="Arial" w:hAnsi="Arial"/>
                <w:sz w:val="18"/>
                <w:szCs w:val="18"/>
                <w:color w:val="auto"/>
              </w:rPr>
              <w:t>$ 0.5</w:t>
            </w:r>
          </w:p>
        </w:tc>
        <w:tc>
          <w:tcPr>
            <w:tcW w:w="220" w:type="dxa"/>
            <w:vAlign w:val="bottom"/>
            <w:tcBorders>
              <w:right w:val="single" w:sz="8" w:color="auto"/>
            </w:tcBorders>
            <w:shd w:val="clear" w:color="auto" w:fill="CCEEFF"/>
          </w:tcPr>
          <w:p>
            <w:pPr>
              <w:spacing w:after="0"/>
              <w:rPr>
                <w:sz w:val="17"/>
                <w:szCs w:val="17"/>
                <w:color w:val="auto"/>
              </w:rPr>
            </w:pPr>
          </w:p>
        </w:tc>
        <w:tc>
          <w:tcPr>
            <w:tcW w:w="1460" w:type="dxa"/>
            <w:vAlign w:val="bottom"/>
            <w:shd w:val="clear" w:color="auto" w:fill="CCEEFF"/>
          </w:tcPr>
          <w:p>
            <w:pPr>
              <w:jc w:val="right"/>
              <w:ind w:right="555"/>
              <w:spacing w:after="0" w:line="196" w:lineRule="exact"/>
              <w:rPr>
                <w:sz w:val="20"/>
                <w:szCs w:val="20"/>
                <w:color w:val="auto"/>
              </w:rPr>
            </w:pPr>
            <w:r>
              <w:rPr>
                <w:rFonts w:ascii="Arial" w:cs="Arial" w:eastAsia="Arial" w:hAnsi="Arial"/>
                <w:sz w:val="18"/>
                <w:szCs w:val="18"/>
                <w:color w:val="auto"/>
              </w:rPr>
              <w:t>$ 0.4</w:t>
            </w:r>
          </w:p>
        </w:tc>
        <w:tc>
          <w:tcPr>
            <w:tcW w:w="660" w:type="dxa"/>
            <w:vAlign w:val="bottom"/>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rPr>
              <w:t>$ 0.6</w:t>
            </w:r>
          </w:p>
        </w:tc>
      </w:tr>
      <w:tr>
        <w:trPr>
          <w:trHeight w:val="203"/>
        </w:trPr>
        <w:tc>
          <w:tcPr>
            <w:tcW w:w="46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Interest cost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31.0</w:t>
            </w:r>
          </w:p>
        </w:tc>
        <w:tc>
          <w:tcPr>
            <w:tcW w:w="2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ind w:right="375"/>
              <w:spacing w:after="0" w:line="202" w:lineRule="exact"/>
              <w:rPr>
                <w:sz w:val="20"/>
                <w:szCs w:val="20"/>
                <w:color w:val="auto"/>
              </w:rPr>
            </w:pPr>
            <w:r>
              <w:rPr>
                <w:rFonts w:ascii="Arial" w:cs="Arial" w:eastAsia="Arial" w:hAnsi="Arial"/>
                <w:sz w:val="18"/>
                <w:szCs w:val="18"/>
                <w:color w:val="auto"/>
              </w:rPr>
              <w:t>30.6</w:t>
            </w:r>
          </w:p>
        </w:tc>
        <w:tc>
          <w:tcPr>
            <w:tcW w:w="1100" w:type="dxa"/>
            <w:vAlign w:val="bottom"/>
            <w:tcBorders>
              <w:right w:val="single" w:sz="8" w:color="auto"/>
            </w:tcBorders>
          </w:tcPr>
          <w:p>
            <w:pPr>
              <w:jc w:val="right"/>
              <w:ind w:right="295"/>
              <w:spacing w:after="0" w:line="202" w:lineRule="exact"/>
              <w:rPr>
                <w:sz w:val="20"/>
                <w:szCs w:val="20"/>
                <w:color w:val="auto"/>
              </w:rPr>
            </w:pPr>
            <w:r>
              <w:rPr>
                <w:rFonts w:ascii="Arial" w:cs="Arial" w:eastAsia="Arial" w:hAnsi="Arial"/>
                <w:sz w:val="18"/>
                <w:szCs w:val="18"/>
                <w:color w:val="auto"/>
              </w:rPr>
              <w:t>30.5</w:t>
            </w:r>
          </w:p>
        </w:tc>
        <w:tc>
          <w:tcPr>
            <w:tcW w:w="8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4.4</w:t>
            </w:r>
          </w:p>
        </w:tc>
        <w:tc>
          <w:tcPr>
            <w:tcW w:w="220" w:type="dxa"/>
            <w:vAlign w:val="bottom"/>
            <w:tcBorders>
              <w:right w:val="single" w:sz="8" w:color="auto"/>
            </w:tcBorders>
          </w:tcPr>
          <w:p>
            <w:pPr>
              <w:spacing w:after="0"/>
              <w:rPr>
                <w:sz w:val="17"/>
                <w:szCs w:val="17"/>
                <w:color w:val="auto"/>
              </w:rPr>
            </w:pPr>
          </w:p>
        </w:tc>
        <w:tc>
          <w:tcPr>
            <w:tcW w:w="1460" w:type="dxa"/>
            <w:vAlign w:val="bottom"/>
          </w:tcPr>
          <w:p>
            <w:pPr>
              <w:jc w:val="right"/>
              <w:ind w:right="555"/>
              <w:spacing w:after="0" w:line="202" w:lineRule="exact"/>
              <w:rPr>
                <w:sz w:val="20"/>
                <w:szCs w:val="20"/>
                <w:color w:val="auto"/>
              </w:rPr>
            </w:pPr>
            <w:r>
              <w:rPr>
                <w:rFonts w:ascii="Arial" w:cs="Arial" w:eastAsia="Arial" w:hAnsi="Arial"/>
                <w:sz w:val="18"/>
                <w:szCs w:val="18"/>
                <w:color w:val="auto"/>
              </w:rPr>
              <w:t>4.7</w:t>
            </w: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5.4</w:t>
            </w:r>
          </w:p>
        </w:tc>
      </w:tr>
      <w:tr>
        <w:trPr>
          <w:trHeight w:val="203"/>
        </w:trPr>
        <w:tc>
          <w:tcPr>
            <w:tcW w:w="466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(41.3)</w:t>
            </w:r>
          </w:p>
        </w:tc>
        <w:tc>
          <w:tcPr>
            <w:tcW w:w="280" w:type="dxa"/>
            <w:vAlign w:val="bottom"/>
            <w:tcBorders>
              <w:right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15"/>
              <w:spacing w:after="0" w:line="202" w:lineRule="exact"/>
              <w:rPr>
                <w:sz w:val="20"/>
                <w:szCs w:val="20"/>
                <w:color w:val="auto"/>
              </w:rPr>
            </w:pPr>
            <w:r>
              <w:rPr>
                <w:rFonts w:ascii="Arial" w:cs="Arial" w:eastAsia="Arial" w:hAnsi="Arial"/>
                <w:sz w:val="18"/>
                <w:szCs w:val="18"/>
                <w:color w:val="auto"/>
                <w:w w:val="97"/>
              </w:rPr>
              <w:t>(37.1)</w:t>
            </w:r>
          </w:p>
        </w:tc>
        <w:tc>
          <w:tcPr>
            <w:tcW w:w="1100" w:type="dxa"/>
            <w:vAlign w:val="bottom"/>
            <w:tcBorders>
              <w:right w:val="single" w:sz="8" w:color="auto"/>
            </w:tcBorders>
            <w:shd w:val="clear" w:color="auto" w:fill="CCEEFF"/>
          </w:tcPr>
          <w:p>
            <w:pPr>
              <w:jc w:val="right"/>
              <w:ind w:right="235"/>
              <w:spacing w:after="0" w:line="202" w:lineRule="exact"/>
              <w:rPr>
                <w:sz w:val="20"/>
                <w:szCs w:val="20"/>
                <w:color w:val="auto"/>
              </w:rPr>
            </w:pPr>
            <w:r>
              <w:rPr>
                <w:rFonts w:ascii="Arial" w:cs="Arial" w:eastAsia="Arial" w:hAnsi="Arial"/>
                <w:sz w:val="18"/>
                <w:szCs w:val="18"/>
                <w:color w:val="auto"/>
              </w:rPr>
              <w:t>(30.0)</w:t>
            </w:r>
          </w:p>
        </w:tc>
        <w:tc>
          <w:tcPr>
            <w:tcW w:w="82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shd w:val="clear" w:color="auto" w:fill="CCEEFF"/>
          </w:tcPr>
          <w:p>
            <w:pPr>
              <w:spacing w:after="0"/>
              <w:rPr>
                <w:sz w:val="17"/>
                <w:szCs w:val="17"/>
                <w:color w:val="auto"/>
              </w:rPr>
            </w:pPr>
          </w:p>
        </w:tc>
        <w:tc>
          <w:tcPr>
            <w:tcW w:w="1460" w:type="dxa"/>
            <w:vAlign w:val="bottom"/>
            <w:shd w:val="clear" w:color="auto" w:fill="CCEEFF"/>
          </w:tcPr>
          <w:p>
            <w:pPr>
              <w:jc w:val="right"/>
              <w:ind w:right="555"/>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r>
      <w:tr>
        <w:trPr>
          <w:trHeight w:val="203"/>
        </w:trPr>
        <w:tc>
          <w:tcPr>
            <w:tcW w:w="46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Recognition of actuarial losses (gains)</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80.0</w:t>
            </w:r>
          </w:p>
        </w:tc>
        <w:tc>
          <w:tcPr>
            <w:tcW w:w="2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ind w:right="375"/>
              <w:spacing w:after="0" w:line="202" w:lineRule="exact"/>
              <w:rPr>
                <w:sz w:val="20"/>
                <w:szCs w:val="20"/>
                <w:color w:val="auto"/>
              </w:rPr>
            </w:pPr>
            <w:r>
              <w:rPr>
                <w:rFonts w:ascii="Arial" w:cs="Arial" w:eastAsia="Arial" w:hAnsi="Arial"/>
                <w:sz w:val="18"/>
                <w:szCs w:val="18"/>
                <w:color w:val="auto"/>
              </w:rPr>
              <w:t>0.6</w:t>
            </w:r>
          </w:p>
        </w:tc>
        <w:tc>
          <w:tcPr>
            <w:tcW w:w="1100" w:type="dxa"/>
            <w:vAlign w:val="bottom"/>
            <w:tcBorders>
              <w:right w:val="single" w:sz="8" w:color="auto"/>
            </w:tcBorders>
          </w:tcPr>
          <w:p>
            <w:pPr>
              <w:jc w:val="right"/>
              <w:ind w:right="235"/>
              <w:spacing w:after="0" w:line="202" w:lineRule="exact"/>
              <w:rPr>
                <w:sz w:val="20"/>
                <w:szCs w:val="20"/>
                <w:color w:val="auto"/>
              </w:rPr>
            </w:pPr>
            <w:r>
              <w:rPr>
                <w:rFonts w:ascii="Arial" w:cs="Arial" w:eastAsia="Arial" w:hAnsi="Arial"/>
                <w:sz w:val="18"/>
                <w:szCs w:val="18"/>
                <w:color w:val="auto"/>
              </w:rPr>
              <w:t>(2.8)</w:t>
            </w:r>
          </w:p>
        </w:tc>
        <w:tc>
          <w:tcPr>
            <w:tcW w:w="8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17"/>
                <w:szCs w:val="17"/>
                <w:color w:val="auto"/>
              </w:rPr>
            </w:pPr>
          </w:p>
        </w:tc>
        <w:tc>
          <w:tcPr>
            <w:tcW w:w="1460" w:type="dxa"/>
            <w:vAlign w:val="bottom"/>
          </w:tcPr>
          <w:p>
            <w:pPr>
              <w:jc w:val="right"/>
              <w:ind w:right="495"/>
              <w:spacing w:after="0" w:line="202" w:lineRule="exact"/>
              <w:rPr>
                <w:sz w:val="20"/>
                <w:szCs w:val="20"/>
                <w:color w:val="auto"/>
              </w:rPr>
            </w:pPr>
            <w:r>
              <w:rPr>
                <w:rFonts w:ascii="Arial" w:cs="Arial" w:eastAsia="Arial" w:hAnsi="Arial"/>
                <w:sz w:val="18"/>
                <w:szCs w:val="18"/>
                <w:color w:val="auto"/>
              </w:rPr>
              <w:t>(4.1)</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r>
      <w:tr>
        <w:trPr>
          <w:trHeight w:val="203"/>
        </w:trPr>
        <w:tc>
          <w:tcPr>
            <w:tcW w:w="466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of prior service cost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w:t>
            </w:r>
          </w:p>
        </w:tc>
        <w:tc>
          <w:tcPr>
            <w:tcW w:w="280" w:type="dxa"/>
            <w:vAlign w:val="bottom"/>
            <w:tcBorders>
              <w:right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75"/>
              <w:spacing w:after="0" w:line="202" w:lineRule="exact"/>
              <w:rPr>
                <w:sz w:val="20"/>
                <w:szCs w:val="20"/>
                <w:color w:val="auto"/>
              </w:rPr>
            </w:pPr>
            <w:r>
              <w:rPr>
                <w:rFonts w:ascii="Arial" w:cs="Arial" w:eastAsia="Arial" w:hAnsi="Arial"/>
                <w:sz w:val="18"/>
                <w:szCs w:val="18"/>
                <w:color w:val="auto"/>
              </w:rPr>
              <w:t>0.5</w:t>
            </w:r>
          </w:p>
        </w:tc>
        <w:tc>
          <w:tcPr>
            <w:tcW w:w="1100" w:type="dxa"/>
            <w:vAlign w:val="bottom"/>
            <w:tcBorders>
              <w:right w:val="single" w:sz="8" w:color="auto"/>
            </w:tcBorders>
            <w:shd w:val="clear" w:color="auto" w:fill="CCEEFF"/>
          </w:tcPr>
          <w:p>
            <w:pPr>
              <w:jc w:val="right"/>
              <w:ind w:right="295"/>
              <w:spacing w:after="0" w:line="202" w:lineRule="exact"/>
              <w:rPr>
                <w:sz w:val="20"/>
                <w:szCs w:val="20"/>
                <w:color w:val="auto"/>
              </w:rPr>
            </w:pPr>
            <w:r>
              <w:rPr>
                <w:rFonts w:ascii="Arial" w:cs="Arial" w:eastAsia="Arial" w:hAnsi="Arial"/>
                <w:sz w:val="18"/>
                <w:szCs w:val="18"/>
                <w:color w:val="auto"/>
              </w:rPr>
              <w:t>0.5</w:t>
            </w:r>
          </w:p>
        </w:tc>
        <w:tc>
          <w:tcPr>
            <w:tcW w:w="82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0.4</w:t>
            </w:r>
          </w:p>
        </w:tc>
        <w:tc>
          <w:tcPr>
            <w:tcW w:w="220" w:type="dxa"/>
            <w:vAlign w:val="bottom"/>
            <w:tcBorders>
              <w:right w:val="single" w:sz="8" w:color="auto"/>
            </w:tcBorders>
            <w:shd w:val="clear" w:color="auto" w:fill="CCEEFF"/>
          </w:tcPr>
          <w:p>
            <w:pPr>
              <w:spacing w:after="0"/>
              <w:rPr>
                <w:sz w:val="17"/>
                <w:szCs w:val="17"/>
                <w:color w:val="auto"/>
              </w:rPr>
            </w:pPr>
          </w:p>
        </w:tc>
        <w:tc>
          <w:tcPr>
            <w:tcW w:w="1460" w:type="dxa"/>
            <w:vAlign w:val="bottom"/>
            <w:shd w:val="clear" w:color="auto" w:fill="CCEEFF"/>
          </w:tcPr>
          <w:p>
            <w:pPr>
              <w:jc w:val="right"/>
              <w:ind w:right="555"/>
              <w:spacing w:after="0" w:line="202" w:lineRule="exact"/>
              <w:rPr>
                <w:sz w:val="20"/>
                <w:szCs w:val="20"/>
                <w:color w:val="auto"/>
              </w:rPr>
            </w:pPr>
            <w:r>
              <w:rPr>
                <w:rFonts w:ascii="Arial" w:cs="Arial" w:eastAsia="Arial" w:hAnsi="Arial"/>
                <w:sz w:val="18"/>
                <w:szCs w:val="18"/>
                <w:color w:val="auto"/>
              </w:rPr>
              <w:t>0.3</w:t>
            </w:r>
          </w:p>
        </w:tc>
        <w:tc>
          <w:tcPr>
            <w:tcW w:w="66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0.3</w:t>
            </w:r>
          </w:p>
        </w:tc>
      </w:tr>
      <w:tr>
        <w:trPr>
          <w:trHeight w:val="203"/>
        </w:trPr>
        <w:tc>
          <w:tcPr>
            <w:tcW w:w="4660" w:type="dxa"/>
            <w:vAlign w:val="bottom"/>
            <w:tcBorders>
              <w:bottom w:val="single" w:sz="8" w:color="auto"/>
              <w:right w:val="single" w:sz="8" w:color="auto"/>
            </w:tcBorders>
          </w:tcPr>
          <w:p>
            <w:pPr>
              <w:spacing w:after="0" w:line="202" w:lineRule="exact"/>
              <w:rPr>
                <w:sz w:val="20"/>
                <w:szCs w:val="20"/>
                <w:color w:val="auto"/>
              </w:rPr>
            </w:pPr>
            <w:r>
              <w:rPr>
                <w:rFonts w:ascii="Arial" w:cs="Arial" w:eastAsia="Arial" w:hAnsi="Arial"/>
                <w:sz w:val="18"/>
                <w:szCs w:val="18"/>
                <w:color w:val="auto"/>
              </w:rPr>
              <w:t>Curtailment and settlement losses</w:t>
            </w: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w:t>
            </w:r>
          </w:p>
        </w:tc>
        <w:tc>
          <w:tcPr>
            <w:tcW w:w="28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5"/>
              <w:spacing w:after="0" w:line="202" w:lineRule="exact"/>
              <w:rPr>
                <w:sz w:val="20"/>
                <w:szCs w:val="20"/>
                <w:color w:val="auto"/>
              </w:rPr>
            </w:pPr>
            <w:r>
              <w:rPr>
                <w:rFonts w:ascii="Arial" w:cs="Arial" w:eastAsia="Arial" w:hAnsi="Arial"/>
                <w:sz w:val="18"/>
                <w:szCs w:val="18"/>
                <w:color w:val="auto"/>
              </w:rPr>
              <w:t>0.9</w:t>
            </w:r>
          </w:p>
        </w:tc>
        <w:tc>
          <w:tcPr>
            <w:tcW w:w="1100" w:type="dxa"/>
            <w:vAlign w:val="bottom"/>
            <w:tcBorders>
              <w:bottom w:val="single" w:sz="8" w:color="auto"/>
              <w:right w:val="single" w:sz="8" w:color="auto"/>
            </w:tcBorders>
          </w:tcPr>
          <w:p>
            <w:pPr>
              <w:jc w:val="right"/>
              <w:ind w:right="295"/>
              <w:spacing w:after="0" w:line="202" w:lineRule="exact"/>
              <w:rPr>
                <w:sz w:val="20"/>
                <w:szCs w:val="20"/>
                <w:color w:val="auto"/>
              </w:rPr>
            </w:pPr>
            <w:r>
              <w:rPr>
                <w:rFonts w:ascii="Arial" w:cs="Arial" w:eastAsia="Arial" w:hAnsi="Arial"/>
                <w:sz w:val="18"/>
                <w:szCs w:val="18"/>
                <w:color w:val="auto"/>
              </w:rPr>
              <w:t>1.8</w:t>
            </w:r>
          </w:p>
        </w:tc>
        <w:tc>
          <w:tcPr>
            <w:tcW w:w="820" w:type="dxa"/>
            <w:vAlign w:val="bottom"/>
            <w:tcBorders>
              <w:bottom w:val="single" w:sz="8" w:color="auto"/>
            </w:tcBorders>
          </w:tcPr>
          <w:p>
            <w:pPr>
              <w:jc w:val="right"/>
              <w:ind w:right="55"/>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tcBorders>
          </w:tcPr>
          <w:p>
            <w:pPr>
              <w:jc w:val="right"/>
              <w:ind w:right="555"/>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w:t>
            </w:r>
          </w:p>
        </w:tc>
      </w:tr>
      <w:tr>
        <w:trPr>
          <w:trHeight w:val="203"/>
        </w:trPr>
        <w:tc>
          <w:tcPr>
            <w:tcW w:w="4660" w:type="dxa"/>
            <w:vAlign w:val="bottom"/>
            <w:tcBorders>
              <w:bottom w:val="single" w:sz="8" w:color="auto"/>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periodic benefit cost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$ 84.7</w:t>
            </w:r>
          </w:p>
        </w:tc>
        <w:tc>
          <w:tcPr>
            <w:tcW w:w="280" w:type="dxa"/>
            <w:vAlign w:val="bottom"/>
            <w:tcBorders>
              <w:bottom w:val="single" w:sz="8" w:color="auto"/>
              <w:right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75"/>
              <w:spacing w:after="0" w:line="196" w:lineRule="exact"/>
              <w:rPr>
                <w:sz w:val="20"/>
                <w:szCs w:val="20"/>
                <w:color w:val="auto"/>
              </w:rPr>
            </w:pPr>
            <w:r>
              <w:rPr>
                <w:rFonts w:ascii="Arial" w:cs="Arial" w:eastAsia="Arial" w:hAnsi="Arial"/>
                <w:sz w:val="18"/>
                <w:szCs w:val="18"/>
                <w:color w:val="auto"/>
              </w:rPr>
              <w:t>8.2</w:t>
            </w:r>
          </w:p>
        </w:tc>
        <w:tc>
          <w:tcPr>
            <w:tcW w:w="1100" w:type="dxa"/>
            <w:vAlign w:val="bottom"/>
            <w:tcBorders>
              <w:bottom w:val="single" w:sz="8" w:color="auto"/>
              <w:right w:val="single" w:sz="8" w:color="auto"/>
            </w:tcBorders>
            <w:shd w:val="clear" w:color="auto" w:fill="CCEEFF"/>
          </w:tcPr>
          <w:p>
            <w:pPr>
              <w:jc w:val="right"/>
              <w:ind w:right="295"/>
              <w:spacing w:after="0" w:line="196" w:lineRule="exact"/>
              <w:rPr>
                <w:sz w:val="20"/>
                <w:szCs w:val="20"/>
                <w:color w:val="auto"/>
              </w:rPr>
            </w:pPr>
            <w:r>
              <w:rPr>
                <w:rFonts w:ascii="Arial" w:cs="Arial" w:eastAsia="Arial" w:hAnsi="Arial"/>
                <w:sz w:val="18"/>
                <w:szCs w:val="18"/>
                <w:color w:val="auto"/>
              </w:rPr>
              <w:t>$ 11.7</w:t>
            </w:r>
          </w:p>
        </w:tc>
        <w:tc>
          <w:tcPr>
            <w:tcW w:w="820" w:type="dxa"/>
            <w:vAlign w:val="bottom"/>
            <w:tcBorders>
              <w:bottom w:val="single" w:sz="8" w:color="auto"/>
            </w:tcBorders>
            <w:shd w:val="clear" w:color="auto" w:fill="CCEEFF"/>
          </w:tcPr>
          <w:p>
            <w:pPr>
              <w:jc w:val="right"/>
              <w:ind w:right="55"/>
              <w:spacing w:after="0" w:line="196" w:lineRule="exact"/>
              <w:rPr>
                <w:sz w:val="20"/>
                <w:szCs w:val="20"/>
                <w:color w:val="auto"/>
              </w:rPr>
            </w:pPr>
            <w:r>
              <w:rPr>
                <w:rFonts w:ascii="Arial" w:cs="Arial" w:eastAsia="Arial" w:hAnsi="Arial"/>
                <w:sz w:val="18"/>
                <w:szCs w:val="18"/>
                <w:color w:val="auto"/>
              </w:rPr>
              <w:t>$ 5.3</w:t>
            </w:r>
          </w:p>
        </w:tc>
        <w:tc>
          <w:tcPr>
            <w:tcW w:w="220" w:type="dxa"/>
            <w:vAlign w:val="bottom"/>
            <w:tcBorders>
              <w:bottom w:val="single" w:sz="8" w:color="auto"/>
              <w:right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555"/>
              <w:spacing w:after="0" w:line="196" w:lineRule="exact"/>
              <w:rPr>
                <w:sz w:val="20"/>
                <w:szCs w:val="20"/>
                <w:color w:val="auto"/>
              </w:rPr>
            </w:pPr>
            <w:r>
              <w:rPr>
                <w:rFonts w:ascii="Arial" w:cs="Arial" w:eastAsia="Arial" w:hAnsi="Arial"/>
                <w:sz w:val="18"/>
                <w:szCs w:val="18"/>
                <w:color w:val="auto"/>
              </w:rPr>
              <w:t>$ 1.3</w:t>
            </w:r>
          </w:p>
        </w:tc>
        <w:tc>
          <w:tcPr>
            <w:tcW w:w="660" w:type="dxa"/>
            <w:vAlign w:val="bottom"/>
            <w:tcBorders>
              <w:bottom w:val="single" w:sz="8" w:color="auto"/>
            </w:tcBorders>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rPr>
              <w:t>$ 3.9</w:t>
            </w:r>
          </w:p>
        </w:tc>
      </w:tr>
      <w:tr>
        <w:trPr>
          <w:trHeight w:val="363"/>
        </w:trPr>
        <w:tc>
          <w:tcPr>
            <w:tcW w:w="4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405"/>
        </w:trPr>
        <w:tc>
          <w:tcPr>
            <w:tcW w:w="7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Assumptions</w:t>
            </w:r>
          </w:p>
        </w:tc>
        <w:tc>
          <w:tcPr>
            <w:tcW w:w="1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Pension Benefits</w:t>
            </w:r>
          </w:p>
        </w:tc>
        <w:tc>
          <w:tcPr>
            <w:tcW w:w="480" w:type="dxa"/>
            <w:vAlign w:val="bottom"/>
            <w:tcBorders>
              <w:top w:val="single" w:sz="8" w:color="auto"/>
              <w:bottom w:val="single" w:sz="8" w:color="auto"/>
              <w:right w:val="single" w:sz="8" w:color="auto"/>
            </w:tcBorders>
          </w:tcPr>
          <w:p>
            <w:pPr>
              <w:spacing w:after="0"/>
              <w:rPr>
                <w:sz w:val="24"/>
                <w:szCs w:val="24"/>
                <w:color w:val="auto"/>
              </w:rPr>
            </w:pPr>
          </w:p>
        </w:tc>
        <w:tc>
          <w:tcPr>
            <w:tcW w:w="2220" w:type="dxa"/>
            <w:vAlign w:val="bottom"/>
            <w:tcBorders>
              <w:top w:val="single" w:sz="8" w:color="auto"/>
              <w:bottom w:val="single" w:sz="8" w:color="auto"/>
            </w:tcBorders>
            <w:gridSpan w:val="5"/>
          </w:tcPr>
          <w:p>
            <w:pPr>
              <w:ind w:left="500"/>
              <w:spacing w:after="0"/>
              <w:rPr>
                <w:sz w:val="20"/>
                <w:szCs w:val="20"/>
                <w:color w:val="auto"/>
              </w:rPr>
            </w:pPr>
            <w:r>
              <w:rPr>
                <w:rFonts w:ascii="Arial" w:cs="Arial" w:eastAsia="Arial" w:hAnsi="Arial"/>
                <w:sz w:val="14"/>
                <w:szCs w:val="14"/>
                <w:color w:val="auto"/>
              </w:rPr>
              <w:t>Postretirement Benefits</w:t>
            </w:r>
          </w:p>
        </w:tc>
      </w:tr>
      <w:tr>
        <w:trPr>
          <w:trHeight w:val="480"/>
        </w:trPr>
        <w:tc>
          <w:tcPr>
            <w:tcW w:w="71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jc w:val="right"/>
              <w:ind w:right="78"/>
              <w:spacing w:after="0"/>
              <w:rPr>
                <w:sz w:val="20"/>
                <w:szCs w:val="20"/>
                <w:color w:val="auto"/>
              </w:rPr>
            </w:pPr>
            <w:r>
              <w:rPr>
                <w:rFonts w:ascii="Arial" w:cs="Arial" w:eastAsia="Arial" w:hAnsi="Arial"/>
                <w:sz w:val="14"/>
                <w:szCs w:val="14"/>
                <w:i w:val="1"/>
                <w:iCs w:val="1"/>
                <w:color w:val="auto"/>
              </w:rPr>
              <w:t>2011</w:t>
            </w:r>
          </w:p>
        </w:tc>
        <w:tc>
          <w:tcPr>
            <w:tcW w:w="9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rPr>
              <w:t>2010</w:t>
            </w:r>
          </w:p>
        </w:tc>
        <w:tc>
          <w:tcPr>
            <w:tcW w:w="480" w:type="dxa"/>
            <w:vAlign w:val="bottom"/>
            <w:tcBorders>
              <w:bottom w:val="single" w:sz="8" w:color="auto"/>
              <w:right w:val="single" w:sz="8" w:color="auto"/>
            </w:tcBorders>
          </w:tcPr>
          <w:p>
            <w:pPr>
              <w:jc w:val="right"/>
              <w:ind w:right="77"/>
              <w:spacing w:after="0"/>
              <w:rPr>
                <w:sz w:val="20"/>
                <w:szCs w:val="20"/>
                <w:color w:val="auto"/>
              </w:rPr>
            </w:pPr>
            <w:r>
              <w:rPr>
                <w:rFonts w:ascii="Arial" w:cs="Arial" w:eastAsia="Arial" w:hAnsi="Arial"/>
                <w:sz w:val="14"/>
                <w:szCs w:val="14"/>
                <w:color w:val="auto"/>
                <w:w w:val="96"/>
              </w:rPr>
              <w:t>2009</w:t>
            </w:r>
          </w:p>
        </w:tc>
        <w:tc>
          <w:tcPr>
            <w:tcW w:w="78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4"/>
                <w:szCs w:val="14"/>
                <w:i w:val="1"/>
                <w:iCs w:val="1"/>
                <w:color w:val="auto"/>
              </w:rPr>
              <w:t>2011</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2009</w:t>
            </w:r>
          </w:p>
        </w:tc>
      </w:tr>
      <w:tr>
        <w:trPr>
          <w:trHeight w:val="196"/>
        </w:trPr>
        <w:tc>
          <w:tcPr>
            <w:tcW w:w="7100" w:type="dxa"/>
            <w:vAlign w:val="bottom"/>
            <w:tcBorders>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Weighted-Average Assumptions Used To Determine Benefit Obligations at December 31:</w:t>
            </w:r>
          </w:p>
        </w:tc>
        <w:tc>
          <w:tcPr>
            <w:tcW w:w="700" w:type="dxa"/>
            <w:vAlign w:val="bottom"/>
            <w:tcBorders>
              <w:right w:val="single" w:sz="8" w:color="auto"/>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03"/>
        </w:trPr>
        <w:tc>
          <w:tcPr>
            <w:tcW w:w="710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Discount rate</w:t>
            </w:r>
          </w:p>
        </w:tc>
        <w:tc>
          <w:tcPr>
            <w:tcW w:w="70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4.9%</w:t>
            </w:r>
          </w:p>
        </w:tc>
        <w:tc>
          <w:tcPr>
            <w:tcW w:w="92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5.8%</w:t>
            </w:r>
          </w:p>
        </w:tc>
        <w:tc>
          <w:tcPr>
            <w:tcW w:w="48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4.6%</w:t>
            </w:r>
          </w:p>
        </w:tc>
        <w:tc>
          <w:tcPr>
            <w:tcW w:w="140" w:type="dxa"/>
            <w:vAlign w:val="bottom"/>
          </w:tcPr>
          <w:p>
            <w:pPr>
              <w:spacing w:after="0"/>
              <w:rPr>
                <w:sz w:val="17"/>
                <w:szCs w:val="17"/>
                <w:color w:val="auto"/>
              </w:rPr>
            </w:pPr>
          </w:p>
        </w:tc>
        <w:tc>
          <w:tcPr>
            <w:tcW w:w="7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5.3%</w:t>
            </w:r>
          </w:p>
        </w:tc>
        <w:tc>
          <w:tcPr>
            <w:tcW w:w="600" w:type="dxa"/>
            <w:vAlign w:val="bottom"/>
          </w:tcPr>
          <w:p>
            <w:pPr>
              <w:spacing w:after="0"/>
              <w:rPr>
                <w:sz w:val="17"/>
                <w:szCs w:val="17"/>
                <w:color w:val="auto"/>
              </w:rPr>
            </w:pPr>
          </w:p>
        </w:tc>
      </w:tr>
      <w:tr>
        <w:trPr>
          <w:trHeight w:val="203"/>
        </w:trPr>
        <w:tc>
          <w:tcPr>
            <w:tcW w:w="7100" w:type="dxa"/>
            <w:vAlign w:val="bottom"/>
            <w:tcBorders>
              <w:bottom w:val="single" w:sz="8" w:color="auto"/>
              <w:right w:val="single" w:sz="8" w:color="auto"/>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Rate of compensation increase</w:t>
            </w:r>
          </w:p>
        </w:tc>
        <w:tc>
          <w:tcPr>
            <w:tcW w:w="700" w:type="dxa"/>
            <w:vAlign w:val="bottom"/>
            <w:tcBorders>
              <w:bottom w:val="single" w:sz="8" w:color="auto"/>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920" w:type="dxa"/>
            <w:vAlign w:val="bottom"/>
            <w:tcBorders>
              <w:bottom w:val="single" w:sz="8" w:color="auto"/>
            </w:tcBorders>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4.0%</w:t>
            </w:r>
          </w:p>
        </w:tc>
        <w:tc>
          <w:tcPr>
            <w:tcW w:w="480" w:type="dxa"/>
            <w:vAlign w:val="bottom"/>
            <w:tcBorders>
              <w:bottom w:val="single" w:sz="8" w:color="auto"/>
              <w:right w:val="single" w:sz="8" w:color="auto"/>
            </w:tcBorders>
            <w:shd w:val="clear" w:color="auto" w:fill="CCEEFF"/>
          </w:tcPr>
          <w:p>
            <w:pPr>
              <w:spacing w:after="0"/>
              <w:rPr>
                <w:sz w:val="17"/>
                <w:szCs w:val="17"/>
                <w:color w:val="auto"/>
              </w:rPr>
            </w:pPr>
          </w:p>
        </w:tc>
        <w:tc>
          <w:tcPr>
            <w:tcW w:w="780" w:type="dxa"/>
            <w:vAlign w:val="bottom"/>
            <w:tcBorders>
              <w:bottom w:val="single" w:sz="8" w:color="auto"/>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spacing w:after="0"/>
              <w:rPr>
                <w:sz w:val="17"/>
                <w:szCs w:val="17"/>
                <w:color w:val="auto"/>
              </w:rPr>
            </w:pPr>
          </w:p>
        </w:tc>
      </w:tr>
      <w:tr>
        <w:trPr>
          <w:trHeight w:val="199"/>
        </w:trPr>
        <w:tc>
          <w:tcPr>
            <w:tcW w:w="7100" w:type="dxa"/>
            <w:vAlign w:val="bottom"/>
            <w:tcBorders>
              <w:right w:val="single" w:sz="8" w:color="auto"/>
            </w:tcBorders>
          </w:tcPr>
          <w:p>
            <w:pPr>
              <w:spacing w:after="0" w:line="200" w:lineRule="exact"/>
              <w:rPr>
                <w:sz w:val="20"/>
                <w:szCs w:val="20"/>
                <w:color w:val="auto"/>
              </w:rPr>
            </w:pPr>
            <w:r>
              <w:rPr>
                <w:rFonts w:ascii="Arial" w:cs="Arial" w:eastAsia="Arial" w:hAnsi="Arial"/>
                <w:sz w:val="18"/>
                <w:szCs w:val="18"/>
                <w:color w:val="auto"/>
              </w:rPr>
              <w:t>Weighted-Average Assumptions Used To Determine Net Cost for Years Ended</w:t>
            </w:r>
          </w:p>
        </w:tc>
        <w:tc>
          <w:tcPr>
            <w:tcW w:w="700" w:type="dxa"/>
            <w:vAlign w:val="bottom"/>
            <w:tcBorders>
              <w:righ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9"/>
        </w:trPr>
        <w:tc>
          <w:tcPr>
            <w:tcW w:w="7100" w:type="dxa"/>
            <w:vAlign w:val="bottom"/>
            <w:tcBorders>
              <w:right w:val="single" w:sz="8" w:color="auto"/>
            </w:tcBorders>
          </w:tcPr>
          <w:p>
            <w:pPr>
              <w:ind w:left="220"/>
              <w:spacing w:after="0" w:line="200" w:lineRule="exact"/>
              <w:rPr>
                <w:sz w:val="20"/>
                <w:szCs w:val="20"/>
                <w:color w:val="auto"/>
              </w:rPr>
            </w:pPr>
            <w:r>
              <w:rPr>
                <w:rFonts w:ascii="Arial" w:cs="Arial" w:eastAsia="Arial" w:hAnsi="Arial"/>
                <w:sz w:val="18"/>
                <w:szCs w:val="18"/>
                <w:color w:val="auto"/>
              </w:rPr>
              <w:t>December 31:</w:t>
            </w:r>
          </w:p>
        </w:tc>
        <w:tc>
          <w:tcPr>
            <w:tcW w:w="700" w:type="dxa"/>
            <w:vAlign w:val="bottom"/>
            <w:tcBorders>
              <w:righ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7100" w:type="dxa"/>
            <w:vAlign w:val="bottom"/>
            <w:tcBorders>
              <w:right w:val="single" w:sz="8" w:color="auto"/>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Discount rate</w:t>
            </w:r>
          </w:p>
        </w:tc>
        <w:tc>
          <w:tcPr>
            <w:tcW w:w="700" w:type="dxa"/>
            <w:vAlign w:val="bottom"/>
            <w:tcBorders>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w:t>
            </w:r>
          </w:p>
        </w:tc>
        <w:tc>
          <w:tcPr>
            <w:tcW w:w="92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6.0%</w:t>
            </w:r>
          </w:p>
        </w:tc>
        <w:tc>
          <w:tcPr>
            <w:tcW w:w="480" w:type="dxa"/>
            <w:vAlign w:val="bottom"/>
            <w:tcBorders>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c>
          <w:tcPr>
            <w:tcW w:w="780" w:type="dxa"/>
            <w:vAlign w:val="bottom"/>
            <w:tcBorders>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5.8%</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r>
      <w:tr>
        <w:trPr>
          <w:trHeight w:val="203"/>
        </w:trPr>
        <w:tc>
          <w:tcPr>
            <w:tcW w:w="710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Expected long-term rate of return on plan assets</w:t>
            </w:r>
          </w:p>
        </w:tc>
        <w:tc>
          <w:tcPr>
            <w:tcW w:w="70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8.5%</w:t>
            </w:r>
          </w:p>
        </w:tc>
        <w:tc>
          <w:tcPr>
            <w:tcW w:w="92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8.5%</w:t>
            </w:r>
          </w:p>
        </w:tc>
        <w:tc>
          <w:tcPr>
            <w:tcW w:w="48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8.4%</w:t>
            </w:r>
          </w:p>
        </w:tc>
        <w:tc>
          <w:tcPr>
            <w:tcW w:w="78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10"/>
        </w:trPr>
        <w:tc>
          <w:tcPr>
            <w:tcW w:w="7100" w:type="dxa"/>
            <w:vAlign w:val="bottom"/>
            <w:tcBorders>
              <w:bottom w:val="single" w:sz="8" w:color="auto"/>
              <w:right w:val="single" w:sz="8" w:color="auto"/>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Rate of compensation increase</w:t>
            </w:r>
          </w:p>
        </w:tc>
        <w:tc>
          <w:tcPr>
            <w:tcW w:w="700" w:type="dxa"/>
            <w:vAlign w:val="bottom"/>
            <w:tcBorders>
              <w:bottom w:val="single" w:sz="8" w:color="auto"/>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920" w:type="dxa"/>
            <w:vAlign w:val="bottom"/>
            <w:tcBorders>
              <w:bottom w:val="single" w:sz="8" w:color="auto"/>
            </w:tcBorders>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4.0%</w:t>
            </w:r>
          </w:p>
        </w:tc>
        <w:tc>
          <w:tcPr>
            <w:tcW w:w="480" w:type="dxa"/>
            <w:vAlign w:val="bottom"/>
            <w:tcBorders>
              <w:bottom w:val="single" w:sz="8" w:color="auto"/>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780" w:type="dxa"/>
            <w:vAlign w:val="bottom"/>
            <w:tcBorders>
              <w:bottom w:val="single" w:sz="8" w:color="auto"/>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5"/>
          </w:tcPr>
          <w:p>
            <w:pPr>
              <w:spacing w:after="0"/>
              <w:rPr>
                <w:sz w:val="17"/>
                <w:szCs w:val="17"/>
                <w:color w:val="auto"/>
              </w:rPr>
            </w:pPr>
          </w:p>
        </w:tc>
      </w:tr>
      <w:tr>
        <w:trPr>
          <w:trHeight w:val="385"/>
        </w:trPr>
        <w:tc>
          <w:tcPr>
            <w:tcW w:w="7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color w:val="auto"/>
              </w:rPr>
              <w:t>Postretirement Benefits</w:t>
            </w:r>
          </w:p>
        </w:tc>
      </w:tr>
      <w:tr>
        <w:trPr>
          <w:trHeight w:val="480"/>
        </w:trPr>
        <w:tc>
          <w:tcPr>
            <w:tcW w:w="7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i w:val="1"/>
                <w:iCs w:val="1"/>
                <w:color w:val="auto"/>
              </w:rPr>
              <w:t>2011</w:t>
            </w:r>
          </w:p>
        </w:tc>
        <w:tc>
          <w:tcPr>
            <w:tcW w:w="4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2010</w:t>
            </w:r>
          </w:p>
        </w:tc>
      </w:tr>
      <w:tr>
        <w:trPr>
          <w:trHeight w:val="196"/>
        </w:trPr>
        <w:tc>
          <w:tcPr>
            <w:tcW w:w="87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w w:val="98"/>
              </w:rPr>
              <w:t>Assumed Health Care Cost Trend Rates Used To Determine Benefit Obligations and Net Cost at December 31:</w:t>
            </w:r>
          </w:p>
        </w:tc>
        <w:tc>
          <w:tcPr>
            <w:tcW w:w="48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03"/>
        </w:trPr>
        <w:tc>
          <w:tcPr>
            <w:tcW w:w="7100" w:type="dxa"/>
            <w:vAlign w:val="bottom"/>
          </w:tcPr>
          <w:p>
            <w:pPr>
              <w:ind w:left="440"/>
              <w:spacing w:after="0" w:line="202" w:lineRule="exact"/>
              <w:rPr>
                <w:sz w:val="20"/>
                <w:szCs w:val="20"/>
                <w:color w:val="auto"/>
              </w:rPr>
            </w:pPr>
            <w:r>
              <w:rPr>
                <w:rFonts w:ascii="Arial" w:cs="Arial" w:eastAsia="Arial" w:hAnsi="Arial"/>
                <w:sz w:val="18"/>
                <w:szCs w:val="18"/>
                <w:color w:val="auto"/>
              </w:rPr>
              <w:t>Health care cost trend rate assumed for next year</w:t>
            </w: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gridSpan w:val="3"/>
          </w:tcPr>
          <w:p>
            <w:pPr>
              <w:ind w:left="480"/>
              <w:spacing w:after="0" w:line="202" w:lineRule="exact"/>
              <w:rPr>
                <w:sz w:val="20"/>
                <w:szCs w:val="20"/>
                <w:color w:val="auto"/>
              </w:rPr>
            </w:pPr>
            <w:r>
              <w:rPr>
                <w:rFonts w:ascii="Arial" w:cs="Arial" w:eastAsia="Arial" w:hAnsi="Arial"/>
                <w:sz w:val="18"/>
                <w:szCs w:val="18"/>
                <w:color w:val="auto"/>
                <w:w w:val="96"/>
              </w:rPr>
              <w:t>8.0/7.5%</w:t>
            </w:r>
            <w:r>
              <w:rPr>
                <w:rFonts w:ascii="Arial" w:cs="Arial" w:eastAsia="Arial" w:hAnsi="Arial"/>
                <w:sz w:val="11"/>
                <w:szCs w:val="11"/>
                <w:color w:val="auto"/>
                <w:w w:val="96"/>
              </w:rPr>
              <w:t>(a)</w:t>
            </w:r>
          </w:p>
        </w:tc>
        <w:tc>
          <w:tcPr>
            <w:tcW w:w="2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r>
      <w:tr>
        <w:trPr>
          <w:trHeight w:val="203"/>
        </w:trPr>
        <w:tc>
          <w:tcPr>
            <w:tcW w:w="7100" w:type="dxa"/>
            <w:vAlign w:val="bottom"/>
            <w:tcBorders>
              <w:right w:val="single" w:sz="8" w:color="CCEEFF"/>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Rate that the cost trend rate is assumed to decline (the ultimate trend rate)</w:t>
            </w:r>
          </w:p>
        </w:tc>
        <w:tc>
          <w:tcPr>
            <w:tcW w:w="70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tcBorders>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r>
      <w:tr>
        <w:trPr>
          <w:trHeight w:val="210"/>
        </w:trPr>
        <w:tc>
          <w:tcPr>
            <w:tcW w:w="7100" w:type="dxa"/>
            <w:vAlign w:val="bottom"/>
            <w:tcBorders>
              <w:bottom w:val="single" w:sz="8" w:color="auto"/>
            </w:tcBorders>
          </w:tcPr>
          <w:p>
            <w:pPr>
              <w:ind w:left="440"/>
              <w:spacing w:after="0" w:line="202" w:lineRule="exact"/>
              <w:rPr>
                <w:sz w:val="20"/>
                <w:szCs w:val="20"/>
                <w:color w:val="auto"/>
              </w:rPr>
            </w:pPr>
            <w:r>
              <w:rPr>
                <w:rFonts w:ascii="Arial" w:cs="Arial" w:eastAsia="Arial" w:hAnsi="Arial"/>
                <w:sz w:val="18"/>
                <w:szCs w:val="18"/>
                <w:color w:val="auto"/>
              </w:rPr>
              <w:t>Year that the rate reaches the ultimate trend rate</w:t>
            </w:r>
          </w:p>
        </w:tc>
        <w:tc>
          <w:tcPr>
            <w:tcW w:w="7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w w:val="94"/>
              </w:rPr>
              <w:t>2017</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2016</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(a)</w:t>
      </w:r>
      <w:r>
        <w:rPr>
          <w:rFonts w:ascii="Arial" w:cs="Arial" w:eastAsia="Arial" w:hAnsi="Arial"/>
          <w:sz w:val="14"/>
          <w:szCs w:val="14"/>
          <w:color w:val="auto"/>
        </w:rPr>
        <w:t xml:space="preserve">  Pre-65 initial rate is 8.0% and post-65 rate is 7.5%</w:t>
      </w:r>
    </w:p>
    <w:p>
      <w:pPr>
        <w:spacing w:after="0" w:line="82"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Assumed health care cost trend rates have a significant effect on the amounts reported for the health care plans. A one-percentage-point change in assumed health care cost trend rates would have the following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121920</wp:posOffset>
            </wp:positionV>
            <wp:extent cx="55054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054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6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2640" w:type="dxa"/>
            <w:vAlign w:val="bottom"/>
            <w:gridSpan w:val="2"/>
          </w:tcPr>
          <w:p>
            <w:pPr>
              <w:jc w:val="right"/>
              <w:ind w:right="452"/>
              <w:spacing w:after="0"/>
              <w:rPr>
                <w:sz w:val="20"/>
                <w:szCs w:val="20"/>
                <w:color w:val="auto"/>
              </w:rPr>
            </w:pPr>
            <w:r>
              <w:rPr>
                <w:rFonts w:ascii="Arial" w:cs="Arial" w:eastAsia="Arial" w:hAnsi="Arial"/>
                <w:sz w:val="14"/>
                <w:szCs w:val="14"/>
                <w:color w:val="auto"/>
              </w:rPr>
              <w:t>1-Percentage-</w:t>
            </w:r>
          </w:p>
        </w:tc>
        <w:tc>
          <w:tcPr>
            <w:tcW w:w="1580" w:type="dxa"/>
            <w:vAlign w:val="bottom"/>
            <w:gridSpan w:val="2"/>
          </w:tcPr>
          <w:p>
            <w:pPr>
              <w:jc w:val="right"/>
              <w:ind w:right="32"/>
              <w:spacing w:after="0"/>
              <w:rPr>
                <w:sz w:val="20"/>
                <w:szCs w:val="20"/>
                <w:color w:val="auto"/>
              </w:rPr>
            </w:pPr>
            <w:r>
              <w:rPr>
                <w:rFonts w:ascii="Arial" w:cs="Arial" w:eastAsia="Arial" w:hAnsi="Arial"/>
                <w:sz w:val="14"/>
                <w:szCs w:val="14"/>
                <w:color w:val="auto"/>
              </w:rPr>
              <w:t>1-Percentage-</w:t>
            </w:r>
          </w:p>
        </w:tc>
        <w:tc>
          <w:tcPr>
            <w:tcW w:w="0" w:type="dxa"/>
            <w:vAlign w:val="bottom"/>
          </w:tcPr>
          <w:p>
            <w:pPr>
              <w:spacing w:after="0"/>
              <w:rPr>
                <w:sz w:val="1"/>
                <w:szCs w:val="1"/>
                <w:color w:val="auto"/>
              </w:rPr>
            </w:pPr>
          </w:p>
        </w:tc>
      </w:tr>
      <w:tr>
        <w:trPr>
          <w:trHeight w:val="163"/>
        </w:trPr>
        <w:tc>
          <w:tcPr>
            <w:tcW w:w="4460" w:type="dxa"/>
            <w:vAlign w:val="bottom"/>
            <w:tcBorders>
              <w:bottom w:val="single" w:sz="8" w:color="auto"/>
            </w:tcBorders>
            <w:vMerge w:val="continue"/>
          </w:tcPr>
          <w:p>
            <w:pPr>
              <w:spacing w:after="0"/>
              <w:rPr>
                <w:sz w:val="14"/>
                <w:szCs w:val="14"/>
                <w:color w:val="auto"/>
              </w:rPr>
            </w:pPr>
          </w:p>
        </w:tc>
        <w:tc>
          <w:tcPr>
            <w:tcW w:w="2640" w:type="dxa"/>
            <w:vAlign w:val="bottom"/>
            <w:tcBorders>
              <w:bottom w:val="single" w:sz="8" w:color="auto"/>
            </w:tcBorders>
            <w:gridSpan w:val="2"/>
          </w:tcPr>
          <w:p>
            <w:pPr>
              <w:jc w:val="right"/>
              <w:ind w:right="452"/>
              <w:spacing w:after="0"/>
              <w:rPr>
                <w:sz w:val="20"/>
                <w:szCs w:val="20"/>
                <w:color w:val="auto"/>
              </w:rPr>
            </w:pPr>
            <w:r>
              <w:rPr>
                <w:rFonts w:ascii="Arial" w:cs="Arial" w:eastAsia="Arial" w:hAnsi="Arial"/>
                <w:sz w:val="14"/>
                <w:szCs w:val="14"/>
                <w:color w:val="auto"/>
              </w:rPr>
              <w:t>Point Increase</w:t>
            </w:r>
          </w:p>
        </w:tc>
        <w:tc>
          <w:tcPr>
            <w:tcW w:w="15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color w:val="auto"/>
              </w:rPr>
              <w:t>Point Decrease</w:t>
            </w:r>
          </w:p>
        </w:tc>
        <w:tc>
          <w:tcPr>
            <w:tcW w:w="0" w:type="dxa"/>
            <w:vAlign w:val="bottom"/>
          </w:tcPr>
          <w:p>
            <w:pPr>
              <w:spacing w:after="0"/>
              <w:rPr>
                <w:sz w:val="1"/>
                <w:szCs w:val="1"/>
                <w:color w:val="auto"/>
              </w:rPr>
            </w:pPr>
          </w:p>
        </w:tc>
      </w:tr>
      <w:tr>
        <w:trPr>
          <w:trHeight w:val="196"/>
        </w:trPr>
        <w:tc>
          <w:tcPr>
            <w:tcW w:w="4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Effect on total of service and interest cost</w:t>
            </w:r>
          </w:p>
        </w:tc>
        <w:tc>
          <w:tcPr>
            <w:tcW w:w="1600" w:type="dxa"/>
            <w:vAlign w:val="bottom"/>
            <w:shd w:val="clear" w:color="auto" w:fill="CCEEFF"/>
          </w:tcPr>
          <w:p>
            <w:pPr>
              <w:jc w:val="right"/>
              <w:ind w:right="186"/>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52"/>
              <w:spacing w:after="0" w:line="196" w:lineRule="exact"/>
              <w:rPr>
                <w:sz w:val="20"/>
                <w:szCs w:val="20"/>
                <w:color w:val="auto"/>
              </w:rPr>
            </w:pPr>
            <w:r>
              <w:rPr>
                <w:rFonts w:ascii="Arial" w:cs="Arial" w:eastAsia="Arial" w:hAnsi="Arial"/>
                <w:sz w:val="18"/>
                <w:szCs w:val="18"/>
                <w:color w:val="auto"/>
              </w:rPr>
              <w:t>0.5</w:t>
            </w:r>
          </w:p>
        </w:tc>
        <w:tc>
          <w:tcPr>
            <w:tcW w:w="900" w:type="dxa"/>
            <w:vAlign w:val="bottom"/>
            <w:shd w:val="clear" w:color="auto" w:fill="CCEEFF"/>
          </w:tcPr>
          <w:p>
            <w:pPr>
              <w:jc w:val="right"/>
              <w:ind w:right="206"/>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Effect on postretirement benefit obligation</w:t>
            </w:r>
          </w:p>
        </w:tc>
        <w:tc>
          <w:tcPr>
            <w:tcW w:w="1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2"/>
              <w:spacing w:after="0" w:line="202" w:lineRule="exact"/>
              <w:rPr>
                <w:sz w:val="20"/>
                <w:szCs w:val="20"/>
                <w:color w:val="auto"/>
              </w:rPr>
            </w:pPr>
            <w:r>
              <w:rPr>
                <w:rFonts w:ascii="Arial" w:cs="Arial" w:eastAsia="Arial" w:hAnsi="Arial"/>
                <w:sz w:val="18"/>
                <w:szCs w:val="18"/>
                <w:color w:val="auto"/>
              </w:rPr>
              <w:t>9.8</w:t>
            </w:r>
          </w:p>
        </w:tc>
        <w:tc>
          <w:tcPr>
            <w:tcW w:w="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Pension assets by major category of plan assets and the type of fair value measurement as of December 31, 2011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Borders>
              <w:top w:val="single" w:sz="8" w:color="auto"/>
            </w:tcBorders>
          </w:tcPr>
          <w:p>
            <w:pPr>
              <w:spacing w:after="0"/>
              <w:rPr>
                <w:sz w:val="14"/>
                <w:szCs w:val="14"/>
                <w:color w:val="auto"/>
              </w:rPr>
            </w:pPr>
          </w:p>
        </w:tc>
        <w:tc>
          <w:tcPr>
            <w:tcW w:w="27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278"/>
              <w:spacing w:after="0"/>
              <w:rPr>
                <w:sz w:val="20"/>
                <w:szCs w:val="20"/>
                <w:color w:val="auto"/>
              </w:rPr>
            </w:pPr>
            <w:r>
              <w:rPr>
                <w:rFonts w:ascii="Arial" w:cs="Arial" w:eastAsia="Arial" w:hAnsi="Arial"/>
                <w:sz w:val="14"/>
                <w:szCs w:val="14"/>
                <w:color w:val="auto"/>
              </w:rPr>
              <w:t>Level 2 –</w:t>
            </w:r>
          </w:p>
        </w:tc>
        <w:tc>
          <w:tcPr>
            <w:tcW w:w="5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558"/>
              <w:spacing w:after="0"/>
              <w:rPr>
                <w:sz w:val="20"/>
                <w:szCs w:val="20"/>
                <w:color w:val="auto"/>
              </w:rPr>
            </w:pPr>
            <w:r>
              <w:rPr>
                <w:rFonts w:ascii="Arial" w:cs="Arial" w:eastAsia="Arial" w:hAnsi="Arial"/>
                <w:sz w:val="14"/>
                <w:szCs w:val="14"/>
                <w:color w:val="auto"/>
              </w:rPr>
              <w:t>Level 3 –</w:t>
            </w: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3660" w:type="dxa"/>
            <w:vAlign w:val="bottom"/>
            <w:gridSpan w:val="2"/>
          </w:tcPr>
          <w:p>
            <w:pPr>
              <w:ind w:left="2660"/>
              <w:spacing w:after="0" w:line="149" w:lineRule="exact"/>
              <w:rPr>
                <w:sz w:val="20"/>
                <w:szCs w:val="20"/>
                <w:color w:val="auto"/>
              </w:rPr>
            </w:pPr>
            <w:r>
              <w:rPr>
                <w:rFonts w:ascii="Arial" w:cs="Arial" w:eastAsia="Arial" w:hAnsi="Arial"/>
                <w:sz w:val="14"/>
                <w:szCs w:val="14"/>
                <w:color w:val="auto"/>
              </w:rPr>
              <w:t>Total as of</w:t>
            </w:r>
          </w:p>
        </w:tc>
        <w:tc>
          <w:tcPr>
            <w:tcW w:w="620" w:type="dxa"/>
            <w:vAlign w:val="bottom"/>
          </w:tcPr>
          <w:p>
            <w:pPr>
              <w:spacing w:after="0"/>
              <w:rPr>
                <w:sz w:val="12"/>
                <w:szCs w:val="12"/>
                <w:color w:val="auto"/>
              </w:rPr>
            </w:pPr>
          </w:p>
        </w:tc>
        <w:tc>
          <w:tcPr>
            <w:tcW w:w="1140" w:type="dxa"/>
            <w:vAlign w:val="bottom"/>
          </w:tcPr>
          <w:p>
            <w:pPr>
              <w:jc w:val="right"/>
              <w:ind w:right="278"/>
              <w:spacing w:after="0" w:line="149" w:lineRule="exact"/>
              <w:rPr>
                <w:sz w:val="20"/>
                <w:szCs w:val="20"/>
                <w:color w:val="auto"/>
              </w:rPr>
            </w:pPr>
            <w:r>
              <w:rPr>
                <w:rFonts w:ascii="Arial" w:cs="Arial" w:eastAsia="Arial" w:hAnsi="Arial"/>
                <w:sz w:val="14"/>
                <w:szCs w:val="14"/>
                <w:color w:val="auto"/>
              </w:rPr>
              <w:t>Significant</w:t>
            </w:r>
          </w:p>
        </w:tc>
        <w:tc>
          <w:tcPr>
            <w:tcW w:w="540" w:type="dxa"/>
            <w:vAlign w:val="bottom"/>
          </w:tcPr>
          <w:p>
            <w:pPr>
              <w:spacing w:after="0"/>
              <w:rPr>
                <w:sz w:val="12"/>
                <w:szCs w:val="12"/>
                <w:color w:val="auto"/>
              </w:rPr>
            </w:pPr>
          </w:p>
        </w:tc>
        <w:tc>
          <w:tcPr>
            <w:tcW w:w="1320" w:type="dxa"/>
            <w:vAlign w:val="bottom"/>
          </w:tcPr>
          <w:p>
            <w:pPr>
              <w:jc w:val="right"/>
              <w:ind w:right="558"/>
              <w:spacing w:after="0" w:line="149" w:lineRule="exact"/>
              <w:rPr>
                <w:sz w:val="20"/>
                <w:szCs w:val="20"/>
                <w:color w:val="auto"/>
              </w:rPr>
            </w:pPr>
            <w:r>
              <w:rPr>
                <w:rFonts w:ascii="Arial" w:cs="Arial" w:eastAsia="Arial" w:hAnsi="Arial"/>
                <w:sz w:val="14"/>
                <w:szCs w:val="14"/>
                <w:color w:val="auto"/>
              </w:rPr>
              <w:t>Significant</w:t>
            </w:r>
          </w:p>
        </w:tc>
        <w:tc>
          <w:tcPr>
            <w:tcW w:w="0" w:type="dxa"/>
            <w:vAlign w:val="bottom"/>
          </w:tcPr>
          <w:p>
            <w:pPr>
              <w:spacing w:after="0"/>
              <w:rPr>
                <w:sz w:val="1"/>
                <w:szCs w:val="1"/>
                <w:color w:val="auto"/>
              </w:rPr>
            </w:pPr>
          </w:p>
        </w:tc>
      </w:tr>
      <w:tr>
        <w:trPr>
          <w:trHeight w:val="149"/>
        </w:trPr>
        <w:tc>
          <w:tcPr>
            <w:tcW w:w="414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2780" w:type="dxa"/>
            <w:vAlign w:val="bottom"/>
          </w:tcPr>
          <w:p>
            <w:pPr>
              <w:spacing w:after="0"/>
              <w:rPr>
                <w:sz w:val="12"/>
                <w:szCs w:val="12"/>
                <w:color w:val="auto"/>
              </w:rPr>
            </w:pPr>
          </w:p>
        </w:tc>
        <w:tc>
          <w:tcPr>
            <w:tcW w:w="880" w:type="dxa"/>
            <w:vAlign w:val="bottom"/>
          </w:tcPr>
          <w:p>
            <w:pPr>
              <w:jc w:val="right"/>
              <w:ind w:right="295"/>
              <w:spacing w:after="0" w:line="149" w:lineRule="exact"/>
              <w:rPr>
                <w:sz w:val="20"/>
                <w:szCs w:val="20"/>
                <w:color w:val="auto"/>
              </w:rPr>
            </w:pPr>
            <w:r>
              <w:rPr>
                <w:rFonts w:ascii="Arial" w:cs="Arial" w:eastAsia="Arial" w:hAnsi="Arial"/>
                <w:sz w:val="14"/>
                <w:szCs w:val="14"/>
                <w:color w:val="auto"/>
                <w:w w:val="97"/>
              </w:rPr>
              <w:t>balance</w:t>
            </w:r>
          </w:p>
        </w:tc>
        <w:tc>
          <w:tcPr>
            <w:tcW w:w="1760" w:type="dxa"/>
            <w:vAlign w:val="bottom"/>
            <w:gridSpan w:val="2"/>
          </w:tcPr>
          <w:p>
            <w:pPr>
              <w:jc w:val="right"/>
              <w:ind w:right="278"/>
              <w:spacing w:after="0" w:line="149" w:lineRule="exact"/>
              <w:rPr>
                <w:sz w:val="20"/>
                <w:szCs w:val="20"/>
                <w:color w:val="auto"/>
              </w:rPr>
            </w:pPr>
            <w:r>
              <w:rPr>
                <w:rFonts w:ascii="Arial" w:cs="Arial" w:eastAsia="Arial" w:hAnsi="Arial"/>
                <w:sz w:val="14"/>
                <w:szCs w:val="14"/>
                <w:color w:val="auto"/>
              </w:rPr>
              <w:t>other observable</w:t>
            </w:r>
          </w:p>
        </w:tc>
        <w:tc>
          <w:tcPr>
            <w:tcW w:w="1860" w:type="dxa"/>
            <w:vAlign w:val="bottom"/>
            <w:gridSpan w:val="2"/>
          </w:tcPr>
          <w:p>
            <w:pPr>
              <w:jc w:val="right"/>
              <w:ind w:right="558"/>
              <w:spacing w:after="0" w:line="149" w:lineRule="exact"/>
              <w:rPr>
                <w:sz w:val="20"/>
                <w:szCs w:val="20"/>
                <w:color w:val="auto"/>
              </w:rPr>
            </w:pPr>
            <w:r>
              <w:rPr>
                <w:rFonts w:ascii="Arial" w:cs="Arial" w:eastAsia="Arial" w:hAnsi="Arial"/>
                <w:sz w:val="14"/>
                <w:szCs w:val="14"/>
                <w:color w:val="auto"/>
              </w:rPr>
              <w:t>unobservable</w:t>
            </w:r>
          </w:p>
        </w:tc>
        <w:tc>
          <w:tcPr>
            <w:tcW w:w="0" w:type="dxa"/>
            <w:vAlign w:val="bottom"/>
          </w:tcPr>
          <w:p>
            <w:pPr>
              <w:spacing w:after="0"/>
              <w:rPr>
                <w:sz w:val="1"/>
                <w:szCs w:val="1"/>
                <w:color w:val="auto"/>
              </w:rPr>
            </w:pPr>
          </w:p>
        </w:tc>
      </w:tr>
      <w:tr>
        <w:trPr>
          <w:trHeight w:val="163"/>
        </w:trPr>
        <w:tc>
          <w:tcPr>
            <w:tcW w:w="4140" w:type="dxa"/>
            <w:vAlign w:val="bottom"/>
            <w:tcBorders>
              <w:bottom w:val="single" w:sz="8" w:color="auto"/>
            </w:tcBorders>
            <w:vMerge w:val="continue"/>
          </w:tcPr>
          <w:p>
            <w:pPr>
              <w:spacing w:after="0"/>
              <w:rPr>
                <w:sz w:val="14"/>
                <w:szCs w:val="14"/>
                <w:color w:val="auto"/>
              </w:rPr>
            </w:pPr>
          </w:p>
        </w:tc>
        <w:tc>
          <w:tcPr>
            <w:tcW w:w="3660" w:type="dxa"/>
            <w:vAlign w:val="bottom"/>
            <w:tcBorders>
              <w:bottom w:val="single" w:sz="8" w:color="auto"/>
            </w:tcBorders>
            <w:gridSpan w:val="2"/>
          </w:tcPr>
          <w:p>
            <w:pPr>
              <w:ind w:left="2660"/>
              <w:spacing w:after="0"/>
              <w:rPr>
                <w:sz w:val="20"/>
                <w:szCs w:val="20"/>
                <w:color w:val="auto"/>
              </w:rPr>
            </w:pPr>
            <w:r>
              <w:rPr>
                <w:rFonts w:ascii="Arial" w:cs="Arial" w:eastAsia="Arial" w:hAnsi="Arial"/>
                <w:sz w:val="14"/>
                <w:szCs w:val="14"/>
                <w:color w:val="auto"/>
              </w:rPr>
              <w:t>sheet date</w:t>
            </w:r>
          </w:p>
        </w:tc>
        <w:tc>
          <w:tcPr>
            <w:tcW w:w="6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color w:val="auto"/>
              </w:rPr>
              <w:t>inputs</w:t>
            </w:r>
          </w:p>
        </w:tc>
        <w:tc>
          <w:tcPr>
            <w:tcW w:w="5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color w:val="auto"/>
              </w:rPr>
              <w:t>inputs</w:t>
            </w:r>
          </w:p>
        </w:tc>
        <w:tc>
          <w:tcPr>
            <w:tcW w:w="0" w:type="dxa"/>
            <w:vAlign w:val="bottom"/>
          </w:tcPr>
          <w:p>
            <w:pPr>
              <w:spacing w:after="0"/>
              <w:rPr>
                <w:sz w:val="1"/>
                <w:szCs w:val="1"/>
                <w:color w:val="auto"/>
              </w:rPr>
            </w:pPr>
          </w:p>
        </w:tc>
      </w:tr>
      <w:tr>
        <w:trPr>
          <w:trHeight w:val="196"/>
        </w:trPr>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2780" w:type="dxa"/>
            <w:vAlign w:val="bottom"/>
            <w:shd w:val="clear" w:color="auto" w:fill="CCEEFF"/>
          </w:tcPr>
          <w:p>
            <w:pPr>
              <w:ind w:left="264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95"/>
              <w:spacing w:after="0" w:line="196" w:lineRule="exact"/>
              <w:rPr>
                <w:sz w:val="20"/>
                <w:szCs w:val="20"/>
                <w:color w:val="auto"/>
              </w:rPr>
            </w:pPr>
            <w:r>
              <w:rPr>
                <w:rFonts w:ascii="Arial" w:cs="Arial" w:eastAsia="Arial" w:hAnsi="Arial"/>
                <w:sz w:val="18"/>
                <w:szCs w:val="18"/>
                <w:color w:val="auto"/>
              </w:rPr>
              <w:t>8.2</w:t>
            </w:r>
          </w:p>
        </w:tc>
        <w:tc>
          <w:tcPr>
            <w:tcW w:w="620" w:type="dxa"/>
            <w:vAlign w:val="bottom"/>
            <w:shd w:val="clear" w:color="auto" w:fill="CCEEFF"/>
          </w:tcPr>
          <w:p>
            <w:pPr>
              <w:jc w:val="right"/>
              <w:ind w:right="59"/>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78"/>
              <w:spacing w:after="0" w:line="196" w:lineRule="exact"/>
              <w:rPr>
                <w:sz w:val="20"/>
                <w:szCs w:val="20"/>
                <w:color w:val="auto"/>
              </w:rPr>
            </w:pPr>
            <w:r>
              <w:rPr>
                <w:rFonts w:ascii="Arial" w:cs="Arial" w:eastAsia="Arial" w:hAnsi="Arial"/>
                <w:sz w:val="18"/>
                <w:szCs w:val="18"/>
                <w:color w:val="auto"/>
              </w:rPr>
              <w:t>8.2</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58"/>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Group annuity/insurance contracts</w:t>
            </w:r>
          </w:p>
        </w:tc>
        <w:tc>
          <w:tcPr>
            <w:tcW w:w="2780" w:type="dxa"/>
            <w:vAlign w:val="bottom"/>
          </w:tcPr>
          <w:p>
            <w:pPr>
              <w:spacing w:after="0"/>
              <w:rPr>
                <w:sz w:val="17"/>
                <w:szCs w:val="17"/>
                <w:color w:val="auto"/>
              </w:rPr>
            </w:pPr>
          </w:p>
        </w:tc>
        <w:tc>
          <w:tcPr>
            <w:tcW w:w="880" w:type="dxa"/>
            <w:vAlign w:val="bottom"/>
          </w:tcPr>
          <w:p>
            <w:pPr>
              <w:jc w:val="right"/>
              <w:ind w:right="295"/>
              <w:spacing w:after="0" w:line="202" w:lineRule="exact"/>
              <w:rPr>
                <w:sz w:val="20"/>
                <w:szCs w:val="20"/>
                <w:color w:val="auto"/>
              </w:rPr>
            </w:pPr>
            <w:r>
              <w:rPr>
                <w:rFonts w:ascii="Arial" w:cs="Arial" w:eastAsia="Arial" w:hAnsi="Arial"/>
                <w:sz w:val="18"/>
                <w:szCs w:val="18"/>
                <w:color w:val="auto"/>
              </w:rPr>
              <w:t>20.0</w:t>
            </w:r>
          </w:p>
        </w:tc>
        <w:tc>
          <w:tcPr>
            <w:tcW w:w="620" w:type="dxa"/>
            <w:vAlign w:val="bottom"/>
          </w:tcPr>
          <w:p>
            <w:pPr>
              <w:spacing w:after="0"/>
              <w:rPr>
                <w:sz w:val="17"/>
                <w:szCs w:val="17"/>
                <w:color w:val="auto"/>
              </w:rPr>
            </w:pPr>
          </w:p>
        </w:tc>
        <w:tc>
          <w:tcPr>
            <w:tcW w:w="1140" w:type="dxa"/>
            <w:vAlign w:val="bottom"/>
          </w:tcPr>
          <w:p>
            <w:pPr>
              <w:jc w:val="right"/>
              <w:ind w:right="278"/>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320" w:type="dxa"/>
            <w:vAlign w:val="bottom"/>
          </w:tcPr>
          <w:p>
            <w:pPr>
              <w:jc w:val="right"/>
              <w:ind w:right="558"/>
              <w:spacing w:after="0" w:line="202"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Commingled funds:</w:t>
            </w:r>
          </w:p>
        </w:tc>
        <w:tc>
          <w:tcPr>
            <w:tcW w:w="27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ind w:left="220"/>
              <w:spacing w:after="0" w:line="202" w:lineRule="exact"/>
              <w:rPr>
                <w:sz w:val="20"/>
                <w:szCs w:val="20"/>
                <w:color w:val="auto"/>
              </w:rPr>
            </w:pPr>
            <w:r>
              <w:rPr>
                <w:rFonts w:ascii="Arial" w:cs="Arial" w:eastAsia="Arial" w:hAnsi="Arial"/>
                <w:sz w:val="18"/>
                <w:szCs w:val="18"/>
                <w:color w:val="auto"/>
              </w:rPr>
              <w:t>Equity</w:t>
            </w:r>
          </w:p>
        </w:tc>
        <w:tc>
          <w:tcPr>
            <w:tcW w:w="2780" w:type="dxa"/>
            <w:vAlign w:val="bottom"/>
          </w:tcPr>
          <w:p>
            <w:pPr>
              <w:spacing w:after="0"/>
              <w:rPr>
                <w:sz w:val="17"/>
                <w:szCs w:val="17"/>
                <w:color w:val="auto"/>
              </w:rPr>
            </w:pPr>
          </w:p>
        </w:tc>
        <w:tc>
          <w:tcPr>
            <w:tcW w:w="880" w:type="dxa"/>
            <w:vAlign w:val="bottom"/>
          </w:tcPr>
          <w:p>
            <w:pPr>
              <w:jc w:val="right"/>
              <w:ind w:right="295"/>
              <w:spacing w:after="0" w:line="202" w:lineRule="exact"/>
              <w:rPr>
                <w:sz w:val="20"/>
                <w:szCs w:val="20"/>
                <w:color w:val="auto"/>
              </w:rPr>
            </w:pPr>
            <w:r>
              <w:rPr>
                <w:rFonts w:ascii="Arial" w:cs="Arial" w:eastAsia="Arial" w:hAnsi="Arial"/>
                <w:sz w:val="18"/>
                <w:szCs w:val="18"/>
                <w:color w:val="auto"/>
              </w:rPr>
              <w:t>275.2</w:t>
            </w:r>
          </w:p>
        </w:tc>
        <w:tc>
          <w:tcPr>
            <w:tcW w:w="620" w:type="dxa"/>
            <w:vAlign w:val="bottom"/>
          </w:tcPr>
          <w:p>
            <w:pPr>
              <w:spacing w:after="0"/>
              <w:rPr>
                <w:sz w:val="17"/>
                <w:szCs w:val="17"/>
                <w:color w:val="auto"/>
              </w:rPr>
            </w:pPr>
          </w:p>
        </w:tc>
        <w:tc>
          <w:tcPr>
            <w:tcW w:w="1140" w:type="dxa"/>
            <w:vAlign w:val="bottom"/>
          </w:tcPr>
          <w:p>
            <w:pPr>
              <w:jc w:val="right"/>
              <w:ind w:right="278"/>
              <w:spacing w:after="0" w:line="202" w:lineRule="exact"/>
              <w:rPr>
                <w:sz w:val="20"/>
                <w:szCs w:val="20"/>
                <w:color w:val="auto"/>
              </w:rPr>
            </w:pPr>
            <w:r>
              <w:rPr>
                <w:rFonts w:ascii="Arial" w:cs="Arial" w:eastAsia="Arial" w:hAnsi="Arial"/>
                <w:sz w:val="18"/>
                <w:szCs w:val="18"/>
                <w:color w:val="auto"/>
              </w:rPr>
              <w:t>275.2</w:t>
            </w:r>
          </w:p>
        </w:tc>
        <w:tc>
          <w:tcPr>
            <w:tcW w:w="540" w:type="dxa"/>
            <w:vAlign w:val="bottom"/>
          </w:tcPr>
          <w:p>
            <w:pPr>
              <w:spacing w:after="0"/>
              <w:rPr>
                <w:sz w:val="17"/>
                <w:szCs w:val="17"/>
                <w:color w:val="auto"/>
              </w:rPr>
            </w:pPr>
          </w:p>
        </w:tc>
        <w:tc>
          <w:tcPr>
            <w:tcW w:w="1320" w:type="dxa"/>
            <w:vAlign w:val="bottom"/>
          </w:tcPr>
          <w:p>
            <w:pPr>
              <w:jc w:val="right"/>
              <w:ind w:right="55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Fixed income</w:t>
            </w:r>
          </w:p>
        </w:tc>
        <w:tc>
          <w:tcPr>
            <w:tcW w:w="27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95"/>
              <w:spacing w:after="0" w:line="202" w:lineRule="exact"/>
              <w:rPr>
                <w:sz w:val="20"/>
                <w:szCs w:val="20"/>
                <w:color w:val="auto"/>
              </w:rPr>
            </w:pPr>
            <w:r>
              <w:rPr>
                <w:rFonts w:ascii="Arial" w:cs="Arial" w:eastAsia="Arial" w:hAnsi="Arial"/>
                <w:sz w:val="18"/>
                <w:szCs w:val="18"/>
                <w:color w:val="auto"/>
              </w:rPr>
              <w:t>135.1</w:t>
            </w:r>
          </w:p>
        </w:tc>
        <w:tc>
          <w:tcPr>
            <w:tcW w:w="6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78"/>
              <w:spacing w:after="0" w:line="202" w:lineRule="exact"/>
              <w:rPr>
                <w:sz w:val="20"/>
                <w:szCs w:val="20"/>
                <w:color w:val="auto"/>
              </w:rPr>
            </w:pPr>
            <w:r>
              <w:rPr>
                <w:rFonts w:ascii="Arial" w:cs="Arial" w:eastAsia="Arial" w:hAnsi="Arial"/>
                <w:sz w:val="18"/>
                <w:szCs w:val="18"/>
                <w:color w:val="auto"/>
              </w:rPr>
              <w:t>135.1</w:t>
            </w:r>
          </w:p>
        </w:tc>
        <w:tc>
          <w:tcPr>
            <w:tcW w:w="5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55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40" w:type="dxa"/>
            <w:vAlign w:val="bottom"/>
          </w:tcPr>
          <w:p>
            <w:pPr>
              <w:ind w:left="220"/>
              <w:spacing w:after="0" w:line="202" w:lineRule="exact"/>
              <w:rPr>
                <w:sz w:val="20"/>
                <w:szCs w:val="20"/>
                <w:color w:val="auto"/>
              </w:rPr>
            </w:pPr>
            <w:r>
              <w:rPr>
                <w:rFonts w:ascii="Arial" w:cs="Arial" w:eastAsia="Arial" w:hAnsi="Arial"/>
                <w:sz w:val="18"/>
                <w:szCs w:val="18"/>
                <w:color w:val="auto"/>
              </w:rPr>
              <w:t>Multi-strategy hedge funds</w:t>
            </w:r>
          </w:p>
        </w:tc>
        <w:tc>
          <w:tcPr>
            <w:tcW w:w="2780" w:type="dxa"/>
            <w:vAlign w:val="bottom"/>
          </w:tcPr>
          <w:p>
            <w:pPr>
              <w:spacing w:after="0"/>
              <w:rPr>
                <w:sz w:val="17"/>
                <w:szCs w:val="17"/>
                <w:color w:val="auto"/>
              </w:rPr>
            </w:pPr>
          </w:p>
        </w:tc>
        <w:tc>
          <w:tcPr>
            <w:tcW w:w="880" w:type="dxa"/>
            <w:vAlign w:val="bottom"/>
          </w:tcPr>
          <w:p>
            <w:pPr>
              <w:jc w:val="right"/>
              <w:ind w:right="295"/>
              <w:spacing w:after="0" w:line="202" w:lineRule="exact"/>
              <w:rPr>
                <w:sz w:val="20"/>
                <w:szCs w:val="20"/>
                <w:color w:val="auto"/>
              </w:rPr>
            </w:pPr>
            <w:r>
              <w:rPr>
                <w:rFonts w:ascii="Arial" w:cs="Arial" w:eastAsia="Arial" w:hAnsi="Arial"/>
                <w:sz w:val="18"/>
                <w:szCs w:val="18"/>
                <w:color w:val="auto"/>
              </w:rPr>
              <w:t>17.5</w:t>
            </w:r>
          </w:p>
        </w:tc>
        <w:tc>
          <w:tcPr>
            <w:tcW w:w="620" w:type="dxa"/>
            <w:vAlign w:val="bottom"/>
          </w:tcPr>
          <w:p>
            <w:pPr>
              <w:spacing w:after="0"/>
              <w:rPr>
                <w:sz w:val="17"/>
                <w:szCs w:val="17"/>
                <w:color w:val="auto"/>
              </w:rPr>
            </w:pPr>
          </w:p>
        </w:tc>
        <w:tc>
          <w:tcPr>
            <w:tcW w:w="1140" w:type="dxa"/>
            <w:vAlign w:val="bottom"/>
          </w:tcPr>
          <w:p>
            <w:pPr>
              <w:jc w:val="right"/>
              <w:ind w:right="278"/>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320" w:type="dxa"/>
            <w:vAlign w:val="bottom"/>
          </w:tcPr>
          <w:p>
            <w:pPr>
              <w:jc w:val="right"/>
              <w:ind w:right="558"/>
              <w:spacing w:after="0" w:line="202"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3"/>
        </w:trPr>
        <w:tc>
          <w:tcPr>
            <w:tcW w:w="414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Real estate</w:t>
            </w:r>
          </w:p>
        </w:tc>
        <w:tc>
          <w:tcPr>
            <w:tcW w:w="27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95"/>
              <w:spacing w:after="0" w:line="202" w:lineRule="exact"/>
              <w:rPr>
                <w:sz w:val="20"/>
                <w:szCs w:val="20"/>
                <w:color w:val="auto"/>
              </w:rPr>
            </w:pPr>
            <w:r>
              <w:rPr>
                <w:rFonts w:ascii="Arial" w:cs="Arial" w:eastAsia="Arial" w:hAnsi="Arial"/>
                <w:sz w:val="18"/>
                <w:szCs w:val="18"/>
                <w:color w:val="auto"/>
              </w:rPr>
              <w:t>21.9</w:t>
            </w:r>
          </w:p>
        </w:tc>
        <w:tc>
          <w:tcPr>
            <w:tcW w:w="6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78"/>
              <w:spacing w:after="0" w:line="202"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558"/>
              <w:spacing w:after="0" w:line="202" w:lineRule="exact"/>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3"/>
        </w:trPr>
        <w:tc>
          <w:tcPr>
            <w:tcW w:w="4140" w:type="dxa"/>
            <w:vAlign w:val="bottom"/>
            <w:tcBorders>
              <w:bottom w:val="single" w:sz="8" w:color="auto"/>
            </w:tcBorders>
          </w:tcPr>
          <w:p>
            <w:pPr>
              <w:ind w:left="440"/>
              <w:spacing w:after="0" w:line="196" w:lineRule="exact"/>
              <w:rPr>
                <w:sz w:val="20"/>
                <w:szCs w:val="20"/>
                <w:color w:val="auto"/>
              </w:rPr>
            </w:pPr>
            <w:r>
              <w:rPr>
                <w:rFonts w:ascii="Arial" w:cs="Arial" w:eastAsia="Arial" w:hAnsi="Arial"/>
                <w:sz w:val="18"/>
                <w:szCs w:val="18"/>
                <w:color w:val="auto"/>
              </w:rPr>
              <w:t>Total</w:t>
            </w:r>
          </w:p>
        </w:tc>
        <w:tc>
          <w:tcPr>
            <w:tcW w:w="2780" w:type="dxa"/>
            <w:vAlign w:val="bottom"/>
            <w:tcBorders>
              <w:bottom w:val="single" w:sz="8" w:color="auto"/>
            </w:tcBorders>
          </w:tcPr>
          <w:p>
            <w:pPr>
              <w:ind w:left="264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295"/>
              <w:spacing w:after="0" w:line="196" w:lineRule="exact"/>
              <w:rPr>
                <w:sz w:val="20"/>
                <w:szCs w:val="20"/>
                <w:color w:val="auto"/>
              </w:rPr>
            </w:pPr>
            <w:r>
              <w:rPr>
                <w:rFonts w:ascii="Arial" w:cs="Arial" w:eastAsia="Arial" w:hAnsi="Arial"/>
                <w:sz w:val="18"/>
                <w:szCs w:val="18"/>
                <w:color w:val="auto"/>
              </w:rPr>
              <w:t>477.9</w:t>
            </w:r>
          </w:p>
        </w:tc>
        <w:tc>
          <w:tcPr>
            <w:tcW w:w="620" w:type="dxa"/>
            <w:vAlign w:val="bottom"/>
            <w:tcBorders>
              <w:bottom w:val="single" w:sz="8" w:color="auto"/>
            </w:tcBorders>
          </w:tcPr>
          <w:p>
            <w:pPr>
              <w:jc w:val="right"/>
              <w:ind w:right="59"/>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278"/>
              <w:spacing w:after="0" w:line="196" w:lineRule="exact"/>
              <w:rPr>
                <w:sz w:val="20"/>
                <w:szCs w:val="20"/>
                <w:color w:val="auto"/>
              </w:rPr>
            </w:pPr>
            <w:r>
              <w:rPr>
                <w:rFonts w:ascii="Arial" w:cs="Arial" w:eastAsia="Arial" w:hAnsi="Arial"/>
                <w:sz w:val="18"/>
                <w:szCs w:val="18"/>
                <w:color w:val="auto"/>
              </w:rPr>
              <w:t>418.5</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558"/>
              <w:spacing w:after="0" w:line="196" w:lineRule="exact"/>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363"/>
        </w:trPr>
        <w:tc>
          <w:tcPr>
            <w:tcW w:w="4140" w:type="dxa"/>
            <w:vAlign w:val="bottom"/>
          </w:tcPr>
          <w:p>
            <w:pPr>
              <w:spacing w:after="0"/>
              <w:rPr>
                <w:sz w:val="24"/>
                <w:szCs w:val="24"/>
                <w:color w:val="auto"/>
              </w:rPr>
            </w:pPr>
          </w:p>
        </w:tc>
        <w:tc>
          <w:tcPr>
            <w:tcW w:w="2780" w:type="dxa"/>
            <w:vAlign w:val="bottom"/>
          </w:tcPr>
          <w:p>
            <w:pPr>
              <w:ind w:left="1480"/>
              <w:spacing w:after="0"/>
              <w:rPr>
                <w:sz w:val="20"/>
                <w:szCs w:val="20"/>
                <w:color w:val="auto"/>
              </w:rPr>
            </w:pPr>
            <w:r>
              <w:rPr>
                <w:rFonts w:ascii="Arial" w:cs="Arial" w:eastAsia="Arial" w:hAnsi="Arial"/>
                <w:sz w:val="18"/>
                <w:szCs w:val="18"/>
                <w:color w:val="auto"/>
              </w:rPr>
              <w:t>74</w:t>
            </w: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Level 3 measurements as of December 31, 2011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405"/>
        </w:trPr>
        <w:tc>
          <w:tcPr>
            <w:tcW w:w="5540" w:type="dxa"/>
            <w:vAlign w:val="bottom"/>
            <w:tcBorders>
              <w:top w:val="single" w:sz="8" w:color="auto"/>
              <w:bottom w:val="single" w:sz="8" w:color="auto"/>
              <w:right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right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720" w:type="dxa"/>
            <w:vAlign w:val="bottom"/>
            <w:tcBorders>
              <w:top w:val="single" w:sz="8" w:color="auto"/>
              <w:bottom w:val="single" w:sz="8" w:color="auto"/>
            </w:tcBorders>
            <w:gridSpan w:val="2"/>
          </w:tcPr>
          <w:p>
            <w:pPr>
              <w:ind w:left="420"/>
              <w:spacing w:after="0"/>
              <w:rPr>
                <w:sz w:val="20"/>
                <w:szCs w:val="20"/>
                <w:color w:val="auto"/>
              </w:rPr>
            </w:pPr>
            <w:r>
              <w:rPr>
                <w:rFonts w:ascii="Arial" w:cs="Arial" w:eastAsia="Arial" w:hAnsi="Arial"/>
                <w:sz w:val="14"/>
                <w:szCs w:val="14"/>
                <w:color w:val="auto"/>
              </w:rPr>
              <w:t>Commingled Funds</w:t>
            </w:r>
          </w:p>
        </w:tc>
        <w:tc>
          <w:tcPr>
            <w:tcW w:w="920" w:type="dxa"/>
            <w:vAlign w:val="bottom"/>
            <w:tcBorders>
              <w:top w:val="single" w:sz="8" w:color="auto"/>
              <w:bottom w:val="single" w:sz="8" w:color="auto"/>
              <w:right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554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Borders>
              <w:right w:val="single" w:sz="8" w:color="auto"/>
            </w:tcBorders>
          </w:tcPr>
          <w:p>
            <w:pPr>
              <w:jc w:val="right"/>
              <w:ind w:right="399"/>
              <w:spacing w:after="0"/>
              <w:rPr>
                <w:sz w:val="20"/>
                <w:szCs w:val="20"/>
                <w:color w:val="auto"/>
              </w:rPr>
            </w:pPr>
            <w:r>
              <w:rPr>
                <w:rFonts w:ascii="Arial" w:cs="Arial" w:eastAsia="Arial" w:hAnsi="Arial"/>
                <w:sz w:val="14"/>
                <w:szCs w:val="14"/>
                <w:color w:val="auto"/>
              </w:rPr>
              <w:t>Group</w:t>
            </w:r>
          </w:p>
        </w:tc>
        <w:tc>
          <w:tcPr>
            <w:tcW w:w="78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54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Borders>
              <w:right w:val="single" w:sz="8" w:color="auto"/>
            </w:tcBorders>
          </w:tcPr>
          <w:p>
            <w:pPr>
              <w:jc w:val="right"/>
              <w:ind w:right="399"/>
              <w:spacing w:after="0" w:line="149" w:lineRule="exact"/>
              <w:rPr>
                <w:sz w:val="20"/>
                <w:szCs w:val="20"/>
                <w:color w:val="auto"/>
              </w:rPr>
            </w:pPr>
            <w:r>
              <w:rPr>
                <w:rFonts w:ascii="Arial" w:cs="Arial" w:eastAsia="Arial" w:hAnsi="Arial"/>
                <w:sz w:val="14"/>
                <w:szCs w:val="14"/>
                <w:color w:val="auto"/>
                <w:w w:val="93"/>
              </w:rPr>
              <w:t>annuity/</w:t>
            </w:r>
          </w:p>
        </w:tc>
        <w:tc>
          <w:tcPr>
            <w:tcW w:w="78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480" w:type="dxa"/>
            <w:vAlign w:val="bottom"/>
            <w:tcBorders>
              <w:right w:val="single" w:sz="8" w:color="auto"/>
            </w:tcBorders>
            <w:gridSpan w:val="2"/>
          </w:tcPr>
          <w:p>
            <w:pPr>
              <w:jc w:val="right"/>
              <w:ind w:right="399"/>
              <w:spacing w:after="0" w:line="149" w:lineRule="exact"/>
              <w:rPr>
                <w:sz w:val="20"/>
                <w:szCs w:val="20"/>
                <w:color w:val="auto"/>
              </w:rPr>
            </w:pPr>
            <w:r>
              <w:rPr>
                <w:rFonts w:ascii="Arial" w:cs="Arial" w:eastAsia="Arial" w:hAnsi="Arial"/>
                <w:sz w:val="14"/>
                <w:szCs w:val="14"/>
                <w:color w:val="auto"/>
              </w:rPr>
              <w:t>insurance</w:t>
            </w:r>
          </w:p>
        </w:tc>
        <w:tc>
          <w:tcPr>
            <w:tcW w:w="1860" w:type="dxa"/>
            <w:vAlign w:val="bottom"/>
            <w:tcBorders>
              <w:right w:val="single" w:sz="8" w:color="auto"/>
            </w:tcBorders>
            <w:gridSpan w:val="2"/>
          </w:tcPr>
          <w:p>
            <w:pPr>
              <w:ind w:left="500"/>
              <w:spacing w:after="0" w:line="149" w:lineRule="exact"/>
              <w:rPr>
                <w:sz w:val="20"/>
                <w:szCs w:val="20"/>
                <w:color w:val="auto"/>
              </w:rPr>
            </w:pPr>
            <w:r>
              <w:rPr>
                <w:rFonts w:ascii="Arial" w:cs="Arial" w:eastAsia="Arial" w:hAnsi="Arial"/>
                <w:sz w:val="14"/>
                <w:szCs w:val="14"/>
                <w:color w:val="auto"/>
              </w:rPr>
              <w:t>Multi-strategy</w:t>
            </w:r>
          </w:p>
        </w:tc>
        <w:tc>
          <w:tcPr>
            <w:tcW w:w="64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540" w:type="dxa"/>
            <w:vAlign w:val="bottom"/>
            <w:tcBorders>
              <w:bottom w:val="single" w:sz="8" w:color="auto"/>
              <w:right w:val="single" w:sz="8" w:color="auto"/>
            </w:tcBorders>
            <w:vMerge w:val="continue"/>
          </w:tcPr>
          <w:p>
            <w:pPr>
              <w:spacing w:after="0"/>
              <w:rPr>
                <w:sz w:val="14"/>
                <w:szCs w:val="14"/>
                <w:color w:val="auto"/>
              </w:rPr>
            </w:pPr>
          </w:p>
        </w:tc>
        <w:tc>
          <w:tcPr>
            <w:tcW w:w="1480" w:type="dxa"/>
            <w:vAlign w:val="bottom"/>
            <w:tcBorders>
              <w:bottom w:val="single" w:sz="8" w:color="auto"/>
              <w:right w:val="single" w:sz="8" w:color="auto"/>
            </w:tcBorders>
            <w:gridSpan w:val="2"/>
          </w:tcPr>
          <w:p>
            <w:pPr>
              <w:jc w:val="right"/>
              <w:ind w:right="399"/>
              <w:spacing w:after="0"/>
              <w:rPr>
                <w:sz w:val="20"/>
                <w:szCs w:val="20"/>
                <w:color w:val="auto"/>
              </w:rPr>
            </w:pPr>
            <w:r>
              <w:rPr>
                <w:rFonts w:ascii="Arial" w:cs="Arial" w:eastAsia="Arial" w:hAnsi="Arial"/>
                <w:sz w:val="14"/>
                <w:szCs w:val="14"/>
                <w:color w:val="auto"/>
              </w:rPr>
              <w:t>contracts</w:t>
            </w:r>
          </w:p>
        </w:tc>
        <w:tc>
          <w:tcPr>
            <w:tcW w:w="1860" w:type="dxa"/>
            <w:vAlign w:val="bottom"/>
            <w:tcBorders>
              <w:bottom w:val="single" w:sz="8" w:color="auto"/>
              <w:right w:val="single" w:sz="8" w:color="auto"/>
            </w:tcBorders>
            <w:gridSpan w:val="2"/>
          </w:tcPr>
          <w:p>
            <w:pPr>
              <w:jc w:val="right"/>
              <w:ind w:right="476"/>
              <w:spacing w:after="0"/>
              <w:rPr>
                <w:sz w:val="20"/>
                <w:szCs w:val="20"/>
                <w:color w:val="auto"/>
              </w:rPr>
            </w:pPr>
            <w:r>
              <w:rPr>
                <w:rFonts w:ascii="Arial" w:cs="Arial" w:eastAsia="Arial" w:hAnsi="Arial"/>
                <w:sz w:val="14"/>
                <w:szCs w:val="14"/>
                <w:color w:val="auto"/>
              </w:rPr>
              <w:t>hedge funds</w:t>
            </w:r>
          </w:p>
        </w:tc>
        <w:tc>
          <w:tcPr>
            <w:tcW w:w="1560" w:type="dxa"/>
            <w:vAlign w:val="bottom"/>
            <w:tcBorders>
              <w:bottom w:val="single" w:sz="8" w:color="auto"/>
              <w:right w:val="single" w:sz="8" w:color="auto"/>
            </w:tcBorders>
            <w:gridSpan w:val="2"/>
          </w:tcPr>
          <w:p>
            <w:pPr>
              <w:ind w:left="420"/>
              <w:spacing w:after="0"/>
              <w:rPr>
                <w:sz w:val="20"/>
                <w:szCs w:val="20"/>
                <w:color w:val="auto"/>
              </w:rPr>
            </w:pPr>
            <w:r>
              <w:rPr>
                <w:rFonts w:ascii="Arial" w:cs="Arial" w:eastAsia="Arial" w:hAnsi="Arial"/>
                <w:sz w:val="14"/>
                <w:szCs w:val="14"/>
                <w:color w:val="auto"/>
              </w:rPr>
              <w:t>Real estate</w:t>
            </w: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5540" w:type="dxa"/>
            <w:vAlign w:val="bottom"/>
            <w:tcBorders>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shd w:val="clear" w:color="auto" w:fill="CCEEFF"/>
          </w:tcPr>
          <w:p>
            <w:pPr>
              <w:jc w:val="right"/>
              <w:ind w:right="399"/>
              <w:spacing w:after="0" w:line="196" w:lineRule="exact"/>
              <w:rPr>
                <w:sz w:val="20"/>
                <w:szCs w:val="20"/>
                <w:color w:val="auto"/>
              </w:rPr>
            </w:pPr>
            <w:r>
              <w:rPr>
                <w:rFonts w:ascii="Arial" w:cs="Arial" w:eastAsia="Arial" w:hAnsi="Arial"/>
                <w:sz w:val="18"/>
                <w:szCs w:val="18"/>
                <w:color w:val="auto"/>
              </w:rPr>
              <w:t>14.3</w:t>
            </w:r>
          </w:p>
        </w:tc>
        <w:tc>
          <w:tcPr>
            <w:tcW w:w="780" w:type="dxa"/>
            <w:vAlign w:val="bottom"/>
            <w:shd w:val="clear" w:color="auto" w:fill="CCEEFF"/>
          </w:tcPr>
          <w:p>
            <w:pPr>
              <w:ind w:left="48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shd w:val="clear" w:color="auto" w:fill="CCEEFF"/>
          </w:tcPr>
          <w:p>
            <w:pPr>
              <w:jc w:val="right"/>
              <w:ind w:right="476"/>
              <w:spacing w:after="0" w:line="196" w:lineRule="exact"/>
              <w:rPr>
                <w:sz w:val="20"/>
                <w:szCs w:val="20"/>
                <w:color w:val="auto"/>
              </w:rPr>
            </w:pPr>
            <w:r>
              <w:rPr>
                <w:rFonts w:ascii="Arial" w:cs="Arial" w:eastAsia="Arial" w:hAnsi="Arial"/>
                <w:sz w:val="18"/>
                <w:szCs w:val="18"/>
                <w:color w:val="auto"/>
              </w:rPr>
              <w:t>14.8</w:t>
            </w:r>
          </w:p>
        </w:tc>
        <w:tc>
          <w:tcPr>
            <w:tcW w:w="640" w:type="dxa"/>
            <w:vAlign w:val="bottom"/>
            <w:shd w:val="clear" w:color="auto" w:fill="CCEEFF"/>
          </w:tcPr>
          <w:p>
            <w:pPr>
              <w:ind w:left="40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CCEEFF"/>
          </w:tcPr>
          <w:p>
            <w:pPr>
              <w:jc w:val="right"/>
              <w:ind w:right="372"/>
              <w:spacing w:after="0" w:line="196" w:lineRule="exact"/>
              <w:rPr>
                <w:sz w:val="20"/>
                <w:szCs w:val="20"/>
                <w:color w:val="auto"/>
              </w:rPr>
            </w:pPr>
            <w:r>
              <w:rPr>
                <w:rFonts w:ascii="Arial" w:cs="Arial" w:eastAsia="Arial" w:hAnsi="Arial"/>
                <w:sz w:val="18"/>
                <w:szCs w:val="18"/>
                <w:color w:val="auto"/>
              </w:rPr>
              <w:t>15.7</w:t>
            </w:r>
          </w:p>
        </w:tc>
        <w:tc>
          <w:tcPr>
            <w:tcW w:w="98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$ 44.8</w:t>
            </w:r>
          </w:p>
        </w:tc>
        <w:tc>
          <w:tcPr>
            <w:tcW w:w="0" w:type="dxa"/>
            <w:vAlign w:val="bottom"/>
          </w:tcPr>
          <w:p>
            <w:pPr>
              <w:spacing w:after="0"/>
              <w:rPr>
                <w:sz w:val="1"/>
                <w:szCs w:val="1"/>
                <w:color w:val="auto"/>
              </w:rPr>
            </w:pPr>
          </w:p>
        </w:tc>
      </w:tr>
      <w:tr>
        <w:trPr>
          <w:trHeight w:val="203"/>
        </w:trPr>
        <w:tc>
          <w:tcPr>
            <w:tcW w:w="554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Actual return on assets related to assets still held</w:t>
            </w:r>
          </w:p>
        </w:tc>
        <w:tc>
          <w:tcPr>
            <w:tcW w:w="520" w:type="dxa"/>
            <w:vAlign w:val="bottom"/>
          </w:tcPr>
          <w:p>
            <w:pPr>
              <w:spacing w:after="0"/>
              <w:rPr>
                <w:sz w:val="17"/>
                <w:szCs w:val="17"/>
                <w:color w:val="auto"/>
              </w:rPr>
            </w:pPr>
          </w:p>
        </w:tc>
        <w:tc>
          <w:tcPr>
            <w:tcW w:w="960" w:type="dxa"/>
            <w:vAlign w:val="bottom"/>
            <w:tcBorders>
              <w:right w:val="single" w:sz="8" w:color="auto"/>
            </w:tcBorders>
          </w:tcPr>
          <w:p>
            <w:pPr>
              <w:jc w:val="right"/>
              <w:ind w:right="399"/>
              <w:spacing w:after="0" w:line="202" w:lineRule="exact"/>
              <w:rPr>
                <w:sz w:val="20"/>
                <w:szCs w:val="20"/>
                <w:color w:val="auto"/>
              </w:rPr>
            </w:pPr>
            <w:r>
              <w:rPr>
                <w:rFonts w:ascii="Arial" w:cs="Arial" w:eastAsia="Arial" w:hAnsi="Arial"/>
                <w:sz w:val="18"/>
                <w:szCs w:val="18"/>
                <w:color w:val="auto"/>
              </w:rPr>
              <w:t>0.7</w:t>
            </w:r>
          </w:p>
        </w:tc>
        <w:tc>
          <w:tcPr>
            <w:tcW w:w="780" w:type="dxa"/>
            <w:vAlign w:val="bottom"/>
          </w:tcPr>
          <w:p>
            <w:pPr>
              <w:spacing w:after="0"/>
              <w:rPr>
                <w:sz w:val="17"/>
                <w:szCs w:val="17"/>
                <w:color w:val="auto"/>
              </w:rPr>
            </w:pPr>
          </w:p>
        </w:tc>
        <w:tc>
          <w:tcPr>
            <w:tcW w:w="1080" w:type="dxa"/>
            <w:vAlign w:val="bottom"/>
            <w:tcBorders>
              <w:right w:val="single" w:sz="8" w:color="auto"/>
            </w:tcBorders>
          </w:tcPr>
          <w:p>
            <w:pPr>
              <w:jc w:val="right"/>
              <w:ind w:right="416"/>
              <w:spacing w:after="0" w:line="202" w:lineRule="exact"/>
              <w:rPr>
                <w:sz w:val="20"/>
                <w:szCs w:val="20"/>
                <w:color w:val="auto"/>
              </w:rPr>
            </w:pPr>
            <w:r>
              <w:rPr>
                <w:rFonts w:ascii="Arial" w:cs="Arial" w:eastAsia="Arial" w:hAnsi="Arial"/>
                <w:sz w:val="18"/>
                <w:szCs w:val="18"/>
                <w:color w:val="auto"/>
              </w:rPr>
              <w:t>(0.2)</w:t>
            </w:r>
          </w:p>
        </w:tc>
        <w:tc>
          <w:tcPr>
            <w:tcW w:w="640" w:type="dxa"/>
            <w:vAlign w:val="bottom"/>
          </w:tcPr>
          <w:p>
            <w:pPr>
              <w:spacing w:after="0"/>
              <w:rPr>
                <w:sz w:val="17"/>
                <w:szCs w:val="17"/>
                <w:color w:val="auto"/>
              </w:rPr>
            </w:pPr>
          </w:p>
        </w:tc>
        <w:tc>
          <w:tcPr>
            <w:tcW w:w="920" w:type="dxa"/>
            <w:vAlign w:val="bottom"/>
            <w:tcBorders>
              <w:right w:val="single" w:sz="8" w:color="auto"/>
            </w:tcBorders>
          </w:tcPr>
          <w:p>
            <w:pPr>
              <w:jc w:val="right"/>
              <w:ind w:right="372"/>
              <w:spacing w:after="0" w:line="202" w:lineRule="exact"/>
              <w:rPr>
                <w:sz w:val="20"/>
                <w:szCs w:val="20"/>
                <w:color w:val="auto"/>
              </w:rPr>
            </w:pPr>
            <w:r>
              <w:rPr>
                <w:rFonts w:ascii="Arial" w:cs="Arial" w:eastAsia="Arial" w:hAnsi="Arial"/>
                <w:sz w:val="18"/>
                <w:szCs w:val="18"/>
                <w:color w:val="auto"/>
              </w:rPr>
              <w:t>2.5</w:t>
            </w:r>
          </w:p>
        </w:tc>
        <w:tc>
          <w:tcPr>
            <w:tcW w:w="9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5540" w:type="dxa"/>
            <w:vAlign w:val="bottom"/>
            <w:tcBorders>
              <w:bottom w:val="single" w:sz="8" w:color="auto"/>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Allocation of assets related to Separation</w:t>
            </w:r>
          </w:p>
        </w:tc>
        <w:tc>
          <w:tcPr>
            <w:tcW w:w="5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right w:val="single" w:sz="8" w:color="auto"/>
            </w:tcBorders>
            <w:shd w:val="clear" w:color="auto" w:fill="CCEEFF"/>
          </w:tcPr>
          <w:p>
            <w:pPr>
              <w:jc w:val="right"/>
              <w:ind w:right="399"/>
              <w:spacing w:after="0" w:line="202" w:lineRule="exact"/>
              <w:rPr>
                <w:sz w:val="20"/>
                <w:szCs w:val="20"/>
                <w:color w:val="auto"/>
              </w:rPr>
            </w:pPr>
            <w:r>
              <w:rPr>
                <w:rFonts w:ascii="Arial" w:cs="Arial" w:eastAsia="Arial" w:hAnsi="Arial"/>
                <w:sz w:val="18"/>
                <w:szCs w:val="18"/>
                <w:color w:val="auto"/>
              </w:rPr>
              <w:t>5.0</w:t>
            </w:r>
          </w:p>
        </w:tc>
        <w:tc>
          <w:tcPr>
            <w:tcW w:w="7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right w:val="single" w:sz="8" w:color="auto"/>
            </w:tcBorders>
            <w:shd w:val="clear" w:color="auto" w:fill="CCEEFF"/>
          </w:tcPr>
          <w:p>
            <w:pPr>
              <w:jc w:val="right"/>
              <w:ind w:right="476"/>
              <w:spacing w:after="0" w:line="202" w:lineRule="exact"/>
              <w:rPr>
                <w:sz w:val="20"/>
                <w:szCs w:val="20"/>
                <w:color w:val="auto"/>
              </w:rPr>
            </w:pPr>
            <w:r>
              <w:rPr>
                <w:rFonts w:ascii="Arial" w:cs="Arial" w:eastAsia="Arial" w:hAnsi="Arial"/>
                <w:sz w:val="18"/>
                <w:szCs w:val="18"/>
                <w:color w:val="auto"/>
              </w:rPr>
              <w:t>2.9</w:t>
            </w:r>
          </w:p>
        </w:tc>
        <w:tc>
          <w:tcPr>
            <w:tcW w:w="6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right w:val="single" w:sz="8" w:color="auto"/>
            </w:tcBorders>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3.7</w:t>
            </w:r>
          </w:p>
        </w:tc>
        <w:tc>
          <w:tcPr>
            <w:tcW w:w="980" w:type="dxa"/>
            <w:vAlign w:val="bottom"/>
            <w:tcBorders>
              <w:bottom w:val="single" w:sz="8" w:color="auto"/>
            </w:tcBorders>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3"/>
        </w:trPr>
        <w:tc>
          <w:tcPr>
            <w:tcW w:w="554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Ending balance</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tcPr>
          <w:p>
            <w:pPr>
              <w:jc w:val="right"/>
              <w:ind w:right="399"/>
              <w:spacing w:after="0" w:line="196" w:lineRule="exact"/>
              <w:rPr>
                <w:sz w:val="20"/>
                <w:szCs w:val="20"/>
                <w:color w:val="auto"/>
              </w:rPr>
            </w:pPr>
            <w:r>
              <w:rPr>
                <w:rFonts w:ascii="Arial" w:cs="Arial" w:eastAsia="Arial" w:hAnsi="Arial"/>
                <w:sz w:val="18"/>
                <w:szCs w:val="18"/>
                <w:color w:val="auto"/>
              </w:rPr>
              <w:t>20.0</w:t>
            </w:r>
          </w:p>
        </w:tc>
        <w:tc>
          <w:tcPr>
            <w:tcW w:w="780" w:type="dxa"/>
            <w:vAlign w:val="bottom"/>
            <w:tcBorders>
              <w:bottom w:val="single" w:sz="8" w:color="auto"/>
            </w:tcBorders>
          </w:tcPr>
          <w:p>
            <w:pPr>
              <w:ind w:left="48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tcPr>
          <w:p>
            <w:pPr>
              <w:jc w:val="right"/>
              <w:ind w:right="476"/>
              <w:spacing w:after="0" w:line="196" w:lineRule="exact"/>
              <w:rPr>
                <w:sz w:val="20"/>
                <w:szCs w:val="20"/>
                <w:color w:val="auto"/>
              </w:rPr>
            </w:pPr>
            <w:r>
              <w:rPr>
                <w:rFonts w:ascii="Arial" w:cs="Arial" w:eastAsia="Arial" w:hAnsi="Arial"/>
                <w:sz w:val="18"/>
                <w:szCs w:val="18"/>
                <w:color w:val="auto"/>
              </w:rPr>
              <w:t>17.5</w:t>
            </w:r>
          </w:p>
        </w:tc>
        <w:tc>
          <w:tcPr>
            <w:tcW w:w="640" w:type="dxa"/>
            <w:vAlign w:val="bottom"/>
            <w:tcBorders>
              <w:bottom w:val="single" w:sz="8" w:color="auto"/>
            </w:tcBorders>
          </w:tcPr>
          <w:p>
            <w:pPr>
              <w:ind w:left="40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372"/>
              <w:spacing w:after="0" w:line="196" w:lineRule="exact"/>
              <w:rPr>
                <w:sz w:val="20"/>
                <w:szCs w:val="20"/>
                <w:color w:val="auto"/>
              </w:rPr>
            </w:pPr>
            <w:r>
              <w:rPr>
                <w:rFonts w:ascii="Arial" w:cs="Arial" w:eastAsia="Arial" w:hAnsi="Arial"/>
                <w:sz w:val="18"/>
                <w:szCs w:val="18"/>
                <w:color w:val="auto"/>
              </w:rPr>
              <w:t>21.9</w:t>
            </w:r>
          </w:p>
        </w:tc>
        <w:tc>
          <w:tcPr>
            <w:tcW w:w="980" w:type="dxa"/>
            <w:vAlign w:val="bottom"/>
            <w:tcBorders>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auto"/>
              </w:rPr>
              <w:t>$ 59.4</w:t>
            </w: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Pension assets by major category of plan assets and the type of fair value measurement as of December 31, 2010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404"/>
        </w:trPr>
        <w:tc>
          <w:tcPr>
            <w:tcW w:w="4440" w:type="dxa"/>
            <w:vAlign w:val="bottom"/>
            <w:tcBorders>
              <w:top w:val="single" w:sz="8" w:color="auto"/>
              <w:right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0" w:type="dxa"/>
            <w:vAlign w:val="bottom"/>
            <w:tcBorders>
              <w:top w:val="single" w:sz="8" w:color="auto"/>
              <w:right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300" w:type="dxa"/>
            <w:vAlign w:val="bottom"/>
            <w:tcBorders>
              <w:top w:val="single" w:sz="8" w:color="auto"/>
              <w:right w:val="single" w:sz="8" w:color="auto"/>
            </w:tcBorders>
          </w:tcPr>
          <w:p>
            <w:pPr>
              <w:jc w:val="right"/>
              <w:ind w:right="477"/>
              <w:spacing w:after="0"/>
              <w:rPr>
                <w:sz w:val="20"/>
                <w:szCs w:val="20"/>
                <w:color w:val="auto"/>
              </w:rPr>
            </w:pPr>
            <w:r>
              <w:rPr>
                <w:rFonts w:ascii="Arial" w:cs="Arial" w:eastAsia="Arial" w:hAnsi="Arial"/>
                <w:sz w:val="14"/>
                <w:szCs w:val="14"/>
                <w:color w:val="auto"/>
              </w:rPr>
              <w:t>Level 1 –</w:t>
            </w:r>
          </w:p>
        </w:tc>
        <w:tc>
          <w:tcPr>
            <w:tcW w:w="760" w:type="dxa"/>
            <w:vAlign w:val="bottom"/>
            <w:tcBorders>
              <w:top w:val="single" w:sz="8" w:color="auto"/>
            </w:tcBorders>
          </w:tcPr>
          <w:p>
            <w:pPr>
              <w:spacing w:after="0"/>
              <w:rPr>
                <w:sz w:val="24"/>
                <w:szCs w:val="24"/>
                <w:color w:val="auto"/>
              </w:rPr>
            </w:pPr>
          </w:p>
        </w:tc>
        <w:tc>
          <w:tcPr>
            <w:tcW w:w="1320" w:type="dxa"/>
            <w:vAlign w:val="bottom"/>
            <w:tcBorders>
              <w:top w:val="single" w:sz="8" w:color="auto"/>
              <w:right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44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980" w:type="dxa"/>
            <w:vAlign w:val="bottom"/>
            <w:tcBorders>
              <w:right w:val="single" w:sz="8" w:color="auto"/>
            </w:tcBorders>
            <w:gridSpan w:val="2"/>
          </w:tcPr>
          <w:p>
            <w:pPr>
              <w:jc w:val="right"/>
              <w:ind w:right="477"/>
              <w:spacing w:after="0" w:line="149" w:lineRule="exact"/>
              <w:rPr>
                <w:sz w:val="20"/>
                <w:szCs w:val="20"/>
                <w:color w:val="auto"/>
              </w:rPr>
            </w:pPr>
            <w:r>
              <w:rPr>
                <w:rFonts w:ascii="Arial" w:cs="Arial" w:eastAsia="Arial" w:hAnsi="Arial"/>
                <w:sz w:val="14"/>
                <w:szCs w:val="14"/>
                <w:color w:val="auto"/>
              </w:rPr>
              <w:t>Quoted prices</w:t>
            </w:r>
          </w:p>
        </w:tc>
        <w:tc>
          <w:tcPr>
            <w:tcW w:w="760" w:type="dxa"/>
            <w:vAlign w:val="bottom"/>
          </w:tcPr>
          <w:p>
            <w:pPr>
              <w:spacing w:after="0"/>
              <w:rPr>
                <w:sz w:val="12"/>
                <w:szCs w:val="12"/>
                <w:color w:val="auto"/>
              </w:rPr>
            </w:pPr>
          </w:p>
        </w:tc>
        <w:tc>
          <w:tcPr>
            <w:tcW w:w="1320" w:type="dxa"/>
            <w:vAlign w:val="bottom"/>
            <w:tcBorders>
              <w:right w:val="single" w:sz="8" w:color="auto"/>
            </w:tcBorders>
          </w:tcPr>
          <w:p>
            <w:pPr>
              <w:jc w:val="right"/>
              <w:ind w:right="477"/>
              <w:spacing w:after="0" w:line="149" w:lineRule="exact"/>
              <w:rPr>
                <w:sz w:val="20"/>
                <w:szCs w:val="20"/>
                <w:color w:val="auto"/>
              </w:rPr>
            </w:pPr>
            <w:r>
              <w:rPr>
                <w:rFonts w:ascii="Arial" w:cs="Arial" w:eastAsia="Arial" w:hAnsi="Arial"/>
                <w:sz w:val="14"/>
                <w:szCs w:val="14"/>
                <w:color w:val="auto"/>
              </w:rPr>
              <w:t>Level 2 –</w:t>
            </w:r>
          </w:p>
        </w:tc>
        <w:tc>
          <w:tcPr>
            <w:tcW w:w="600" w:type="dxa"/>
            <w:vAlign w:val="bottom"/>
          </w:tcPr>
          <w:p>
            <w:pPr>
              <w:spacing w:after="0"/>
              <w:rPr>
                <w:sz w:val="12"/>
                <w:szCs w:val="12"/>
                <w:color w:val="auto"/>
              </w:rPr>
            </w:pPr>
          </w:p>
        </w:tc>
        <w:tc>
          <w:tcPr>
            <w:tcW w:w="780" w:type="dxa"/>
            <w:vAlign w:val="bottom"/>
          </w:tcPr>
          <w:p>
            <w:pPr>
              <w:jc w:val="right"/>
              <w:ind w:right="17"/>
              <w:spacing w:after="0" w:line="149" w:lineRule="exact"/>
              <w:rPr>
                <w:sz w:val="20"/>
                <w:szCs w:val="20"/>
                <w:color w:val="auto"/>
              </w:rPr>
            </w:pPr>
            <w:r>
              <w:rPr>
                <w:rFonts w:ascii="Arial" w:cs="Arial" w:eastAsia="Arial" w:hAnsi="Arial"/>
                <w:sz w:val="14"/>
                <w:szCs w:val="14"/>
                <w:color w:val="auto"/>
              </w:rPr>
              <w:t>Level 3 –</w:t>
            </w:r>
          </w:p>
        </w:tc>
        <w:tc>
          <w:tcPr>
            <w:tcW w:w="0" w:type="dxa"/>
            <w:vAlign w:val="bottom"/>
          </w:tcPr>
          <w:p>
            <w:pPr>
              <w:spacing w:after="0"/>
              <w:rPr>
                <w:sz w:val="1"/>
                <w:szCs w:val="1"/>
                <w:color w:val="auto"/>
              </w:rPr>
            </w:pPr>
          </w:p>
        </w:tc>
      </w:tr>
      <w:tr>
        <w:trPr>
          <w:trHeight w:val="149"/>
        </w:trPr>
        <w:tc>
          <w:tcPr>
            <w:tcW w:w="444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gridSpan w:val="2"/>
          </w:tcPr>
          <w:p>
            <w:pPr>
              <w:ind w:left="440"/>
              <w:spacing w:after="0" w:line="149" w:lineRule="exact"/>
              <w:rPr>
                <w:sz w:val="20"/>
                <w:szCs w:val="20"/>
                <w:color w:val="auto"/>
              </w:rPr>
            </w:pPr>
            <w:r>
              <w:rPr>
                <w:rFonts w:ascii="Arial" w:cs="Arial" w:eastAsia="Arial" w:hAnsi="Arial"/>
                <w:sz w:val="14"/>
                <w:szCs w:val="14"/>
                <w:color w:val="auto"/>
              </w:rPr>
              <w:t>Total as of</w:t>
            </w:r>
          </w:p>
        </w:tc>
        <w:tc>
          <w:tcPr>
            <w:tcW w:w="680" w:type="dxa"/>
            <w:vAlign w:val="bottom"/>
          </w:tcPr>
          <w:p>
            <w:pPr>
              <w:spacing w:after="0"/>
              <w:rPr>
                <w:sz w:val="12"/>
                <w:szCs w:val="12"/>
                <w:color w:val="auto"/>
              </w:rPr>
            </w:pPr>
          </w:p>
        </w:tc>
        <w:tc>
          <w:tcPr>
            <w:tcW w:w="1300" w:type="dxa"/>
            <w:vAlign w:val="bottom"/>
            <w:tcBorders>
              <w:right w:val="single" w:sz="8" w:color="auto"/>
            </w:tcBorders>
          </w:tcPr>
          <w:p>
            <w:pPr>
              <w:jc w:val="right"/>
              <w:ind w:right="477"/>
              <w:spacing w:after="0" w:line="149" w:lineRule="exact"/>
              <w:rPr>
                <w:sz w:val="20"/>
                <w:szCs w:val="20"/>
                <w:color w:val="auto"/>
              </w:rPr>
            </w:pPr>
            <w:r>
              <w:rPr>
                <w:rFonts w:ascii="Arial" w:cs="Arial" w:eastAsia="Arial" w:hAnsi="Arial"/>
                <w:sz w:val="14"/>
                <w:szCs w:val="14"/>
                <w:color w:val="auto"/>
              </w:rPr>
              <w:t>in active</w:t>
            </w:r>
          </w:p>
        </w:tc>
        <w:tc>
          <w:tcPr>
            <w:tcW w:w="760" w:type="dxa"/>
            <w:vAlign w:val="bottom"/>
          </w:tcPr>
          <w:p>
            <w:pPr>
              <w:spacing w:after="0"/>
              <w:rPr>
                <w:sz w:val="12"/>
                <w:szCs w:val="12"/>
                <w:color w:val="auto"/>
              </w:rPr>
            </w:pPr>
          </w:p>
        </w:tc>
        <w:tc>
          <w:tcPr>
            <w:tcW w:w="1320" w:type="dxa"/>
            <w:vAlign w:val="bottom"/>
            <w:tcBorders>
              <w:right w:val="single" w:sz="8" w:color="auto"/>
            </w:tcBorders>
          </w:tcPr>
          <w:p>
            <w:pPr>
              <w:jc w:val="right"/>
              <w:ind w:right="477"/>
              <w:spacing w:after="0" w:line="149" w:lineRule="exact"/>
              <w:rPr>
                <w:sz w:val="20"/>
                <w:szCs w:val="20"/>
                <w:color w:val="auto"/>
              </w:rPr>
            </w:pPr>
            <w:r>
              <w:rPr>
                <w:rFonts w:ascii="Arial" w:cs="Arial" w:eastAsia="Arial" w:hAnsi="Arial"/>
                <w:sz w:val="14"/>
                <w:szCs w:val="14"/>
                <w:color w:val="auto"/>
              </w:rPr>
              <w:t>Significant</w:t>
            </w:r>
          </w:p>
        </w:tc>
        <w:tc>
          <w:tcPr>
            <w:tcW w:w="600" w:type="dxa"/>
            <w:vAlign w:val="bottom"/>
          </w:tcPr>
          <w:p>
            <w:pPr>
              <w:spacing w:after="0"/>
              <w:rPr>
                <w:sz w:val="12"/>
                <w:szCs w:val="12"/>
                <w:color w:val="auto"/>
              </w:rPr>
            </w:pPr>
          </w:p>
        </w:tc>
        <w:tc>
          <w:tcPr>
            <w:tcW w:w="780" w:type="dxa"/>
            <w:vAlign w:val="bottom"/>
          </w:tcPr>
          <w:p>
            <w:pPr>
              <w:jc w:val="right"/>
              <w:ind w:right="17"/>
              <w:spacing w:after="0" w:line="149" w:lineRule="exact"/>
              <w:rPr>
                <w:sz w:val="20"/>
                <w:szCs w:val="20"/>
                <w:color w:val="auto"/>
              </w:rPr>
            </w:pPr>
            <w:r>
              <w:rPr>
                <w:rFonts w:ascii="Arial" w:cs="Arial" w:eastAsia="Arial" w:hAnsi="Arial"/>
                <w:sz w:val="14"/>
                <w:szCs w:val="14"/>
                <w:color w:val="auto"/>
              </w:rPr>
              <w:t>Significant</w:t>
            </w:r>
          </w:p>
        </w:tc>
        <w:tc>
          <w:tcPr>
            <w:tcW w:w="0" w:type="dxa"/>
            <w:vAlign w:val="bottom"/>
          </w:tcPr>
          <w:p>
            <w:pPr>
              <w:spacing w:after="0"/>
              <w:rPr>
                <w:sz w:val="1"/>
                <w:szCs w:val="1"/>
                <w:color w:val="auto"/>
              </w:rPr>
            </w:pPr>
          </w:p>
        </w:tc>
      </w:tr>
      <w:tr>
        <w:trPr>
          <w:trHeight w:val="149"/>
        </w:trPr>
        <w:tc>
          <w:tcPr>
            <w:tcW w:w="44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i w:val="1"/>
                <w:iCs w:val="1"/>
                <w:color w:val="auto"/>
              </w:rPr>
              <w:t>(In millions)</w:t>
            </w:r>
          </w:p>
        </w:tc>
        <w:tc>
          <w:tcPr>
            <w:tcW w:w="540" w:type="dxa"/>
            <w:vAlign w:val="bottom"/>
          </w:tcPr>
          <w:p>
            <w:pPr>
              <w:spacing w:after="0"/>
              <w:rPr>
                <w:sz w:val="12"/>
                <w:szCs w:val="12"/>
                <w:color w:val="auto"/>
              </w:rPr>
            </w:pPr>
          </w:p>
        </w:tc>
        <w:tc>
          <w:tcPr>
            <w:tcW w:w="1000" w:type="dxa"/>
            <w:vAlign w:val="bottom"/>
            <w:tcBorders>
              <w:right w:val="single" w:sz="8" w:color="auto"/>
            </w:tcBorders>
          </w:tcPr>
          <w:p>
            <w:pPr>
              <w:jc w:val="right"/>
              <w:ind w:right="394"/>
              <w:spacing w:after="0" w:line="149" w:lineRule="exact"/>
              <w:rPr>
                <w:sz w:val="20"/>
                <w:szCs w:val="20"/>
                <w:color w:val="auto"/>
              </w:rPr>
            </w:pPr>
            <w:r>
              <w:rPr>
                <w:rFonts w:ascii="Arial" w:cs="Arial" w:eastAsia="Arial" w:hAnsi="Arial"/>
                <w:sz w:val="14"/>
                <w:szCs w:val="14"/>
                <w:color w:val="auto"/>
              </w:rPr>
              <w:t>balance</w:t>
            </w:r>
          </w:p>
        </w:tc>
        <w:tc>
          <w:tcPr>
            <w:tcW w:w="680" w:type="dxa"/>
            <w:vAlign w:val="bottom"/>
          </w:tcPr>
          <w:p>
            <w:pPr>
              <w:spacing w:after="0"/>
              <w:rPr>
                <w:sz w:val="12"/>
                <w:szCs w:val="12"/>
                <w:color w:val="auto"/>
              </w:rPr>
            </w:pPr>
          </w:p>
        </w:tc>
        <w:tc>
          <w:tcPr>
            <w:tcW w:w="1300" w:type="dxa"/>
            <w:vAlign w:val="bottom"/>
            <w:tcBorders>
              <w:right w:val="single" w:sz="8" w:color="auto"/>
            </w:tcBorders>
          </w:tcPr>
          <w:p>
            <w:pPr>
              <w:jc w:val="right"/>
              <w:ind w:right="477"/>
              <w:spacing w:after="0" w:line="149" w:lineRule="exact"/>
              <w:rPr>
                <w:sz w:val="20"/>
                <w:szCs w:val="20"/>
                <w:color w:val="auto"/>
              </w:rPr>
            </w:pPr>
            <w:r>
              <w:rPr>
                <w:rFonts w:ascii="Arial" w:cs="Arial" w:eastAsia="Arial" w:hAnsi="Arial"/>
                <w:sz w:val="14"/>
                <w:szCs w:val="14"/>
                <w:color w:val="auto"/>
              </w:rPr>
              <w:t>markets for</w:t>
            </w:r>
          </w:p>
        </w:tc>
        <w:tc>
          <w:tcPr>
            <w:tcW w:w="2080" w:type="dxa"/>
            <w:vAlign w:val="bottom"/>
            <w:tcBorders>
              <w:right w:val="single" w:sz="8" w:color="auto"/>
            </w:tcBorders>
            <w:gridSpan w:val="2"/>
          </w:tcPr>
          <w:p>
            <w:pPr>
              <w:jc w:val="right"/>
              <w:ind w:right="477"/>
              <w:spacing w:after="0" w:line="149" w:lineRule="exact"/>
              <w:rPr>
                <w:sz w:val="20"/>
                <w:szCs w:val="20"/>
                <w:color w:val="auto"/>
              </w:rPr>
            </w:pPr>
            <w:r>
              <w:rPr>
                <w:rFonts w:ascii="Arial" w:cs="Arial" w:eastAsia="Arial" w:hAnsi="Arial"/>
                <w:sz w:val="14"/>
                <w:szCs w:val="14"/>
                <w:color w:val="auto"/>
              </w:rPr>
              <w:t>other observable</w:t>
            </w:r>
          </w:p>
        </w:tc>
        <w:tc>
          <w:tcPr>
            <w:tcW w:w="1380" w:type="dxa"/>
            <w:vAlign w:val="bottom"/>
            <w:gridSpan w:val="2"/>
          </w:tcPr>
          <w:p>
            <w:pPr>
              <w:jc w:val="right"/>
              <w:ind w:right="17"/>
              <w:spacing w:after="0" w:line="149" w:lineRule="exact"/>
              <w:rPr>
                <w:sz w:val="20"/>
                <w:szCs w:val="20"/>
                <w:color w:val="auto"/>
              </w:rPr>
            </w:pPr>
            <w:r>
              <w:rPr>
                <w:rFonts w:ascii="Arial" w:cs="Arial" w:eastAsia="Arial" w:hAnsi="Arial"/>
                <w:sz w:val="14"/>
                <w:szCs w:val="14"/>
                <w:color w:val="auto"/>
              </w:rPr>
              <w:t>unobservable</w:t>
            </w:r>
          </w:p>
        </w:tc>
        <w:tc>
          <w:tcPr>
            <w:tcW w:w="0" w:type="dxa"/>
            <w:vAlign w:val="bottom"/>
          </w:tcPr>
          <w:p>
            <w:pPr>
              <w:spacing w:after="0"/>
              <w:rPr>
                <w:sz w:val="1"/>
                <w:szCs w:val="1"/>
                <w:color w:val="auto"/>
              </w:rPr>
            </w:pPr>
          </w:p>
        </w:tc>
      </w:tr>
      <w:tr>
        <w:trPr>
          <w:trHeight w:val="163"/>
        </w:trPr>
        <w:tc>
          <w:tcPr>
            <w:tcW w:w="4440" w:type="dxa"/>
            <w:vAlign w:val="bottom"/>
            <w:tcBorders>
              <w:bottom w:val="single" w:sz="8" w:color="auto"/>
              <w:right w:val="single" w:sz="8" w:color="auto"/>
            </w:tcBorders>
            <w:vMerge w:val="continue"/>
          </w:tcPr>
          <w:p>
            <w:pPr>
              <w:spacing w:after="0"/>
              <w:rPr>
                <w:sz w:val="14"/>
                <w:szCs w:val="14"/>
                <w:color w:val="auto"/>
              </w:rPr>
            </w:pPr>
          </w:p>
        </w:tc>
        <w:tc>
          <w:tcPr>
            <w:tcW w:w="1540" w:type="dxa"/>
            <w:vAlign w:val="bottom"/>
            <w:tcBorders>
              <w:bottom w:val="single" w:sz="8" w:color="auto"/>
              <w:right w:val="single" w:sz="8" w:color="auto"/>
            </w:tcBorders>
            <w:gridSpan w:val="2"/>
          </w:tcPr>
          <w:p>
            <w:pPr>
              <w:ind w:left="420"/>
              <w:spacing w:after="0"/>
              <w:rPr>
                <w:sz w:val="20"/>
                <w:szCs w:val="20"/>
                <w:color w:val="auto"/>
              </w:rPr>
            </w:pPr>
            <w:r>
              <w:rPr>
                <w:rFonts w:ascii="Arial" w:cs="Arial" w:eastAsia="Arial" w:hAnsi="Arial"/>
                <w:sz w:val="14"/>
                <w:szCs w:val="14"/>
                <w:color w:val="auto"/>
              </w:rPr>
              <w:t>sheet date</w:t>
            </w:r>
          </w:p>
        </w:tc>
        <w:tc>
          <w:tcPr>
            <w:tcW w:w="1980" w:type="dxa"/>
            <w:vAlign w:val="bottom"/>
            <w:tcBorders>
              <w:bottom w:val="single" w:sz="8" w:color="auto"/>
              <w:right w:val="single" w:sz="8" w:color="auto"/>
            </w:tcBorders>
            <w:gridSpan w:val="2"/>
          </w:tcPr>
          <w:p>
            <w:pPr>
              <w:jc w:val="right"/>
              <w:ind w:right="477"/>
              <w:spacing w:after="0"/>
              <w:rPr>
                <w:sz w:val="20"/>
                <w:szCs w:val="20"/>
                <w:color w:val="auto"/>
              </w:rPr>
            </w:pPr>
            <w:r>
              <w:rPr>
                <w:rFonts w:ascii="Arial" w:cs="Arial" w:eastAsia="Arial" w:hAnsi="Arial"/>
                <w:sz w:val="14"/>
                <w:szCs w:val="14"/>
                <w:color w:val="auto"/>
              </w:rPr>
              <w:t>identical assets</w:t>
            </w:r>
          </w:p>
        </w:tc>
        <w:tc>
          <w:tcPr>
            <w:tcW w:w="760" w:type="dxa"/>
            <w:vAlign w:val="bottom"/>
            <w:tcBorders>
              <w:bottom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jc w:val="right"/>
              <w:ind w:right="477"/>
              <w:spacing w:after="0"/>
              <w:rPr>
                <w:sz w:val="20"/>
                <w:szCs w:val="20"/>
                <w:color w:val="auto"/>
              </w:rPr>
            </w:pPr>
            <w:r>
              <w:rPr>
                <w:rFonts w:ascii="Arial" w:cs="Arial" w:eastAsia="Arial" w:hAnsi="Arial"/>
                <w:sz w:val="14"/>
                <w:szCs w:val="14"/>
                <w:color w:val="auto"/>
              </w:rPr>
              <w:t>inputs</w:t>
            </w:r>
          </w:p>
        </w:tc>
        <w:tc>
          <w:tcPr>
            <w:tcW w:w="6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inputs</w:t>
            </w:r>
          </w:p>
        </w:tc>
        <w:tc>
          <w:tcPr>
            <w:tcW w:w="0" w:type="dxa"/>
            <w:vAlign w:val="bottom"/>
          </w:tcPr>
          <w:p>
            <w:pPr>
              <w:spacing w:after="0"/>
              <w:rPr>
                <w:sz w:val="1"/>
                <w:szCs w:val="1"/>
                <w:color w:val="auto"/>
              </w:rPr>
            </w:pPr>
          </w:p>
        </w:tc>
      </w:tr>
      <w:tr>
        <w:trPr>
          <w:trHeight w:val="196"/>
        </w:trPr>
        <w:tc>
          <w:tcPr>
            <w:tcW w:w="4440" w:type="dxa"/>
            <w:vAlign w:val="bottom"/>
            <w:tcBorders>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auto"/>
            </w:tcBorders>
            <w:shd w:val="clear" w:color="auto" w:fill="CCEEFF"/>
          </w:tcPr>
          <w:p>
            <w:pPr>
              <w:jc w:val="right"/>
              <w:ind w:right="394"/>
              <w:spacing w:after="0" w:line="196" w:lineRule="exact"/>
              <w:rPr>
                <w:sz w:val="20"/>
                <w:szCs w:val="20"/>
                <w:color w:val="auto"/>
              </w:rPr>
            </w:pPr>
            <w:r>
              <w:rPr>
                <w:rFonts w:ascii="Arial" w:cs="Arial" w:eastAsia="Arial" w:hAnsi="Arial"/>
                <w:sz w:val="18"/>
                <w:szCs w:val="18"/>
                <w:color w:val="auto"/>
              </w:rPr>
              <w:t>2.4</w:t>
            </w:r>
          </w:p>
        </w:tc>
        <w:tc>
          <w:tcPr>
            <w:tcW w:w="680" w:type="dxa"/>
            <w:vAlign w:val="bottom"/>
            <w:shd w:val="clear" w:color="auto" w:fill="CCEEFF"/>
          </w:tcPr>
          <w:p>
            <w:pPr>
              <w:jc w:val="right"/>
              <w:ind w:right="2"/>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shd w:val="clear" w:color="auto" w:fill="CCEEFF"/>
          </w:tcPr>
          <w:p>
            <w:pPr>
              <w:jc w:val="right"/>
              <w:ind w:right="477"/>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9"/>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shd w:val="clear" w:color="auto" w:fill="CCEEFF"/>
          </w:tcPr>
          <w:p>
            <w:pPr>
              <w:jc w:val="right"/>
              <w:ind w:right="477"/>
              <w:spacing w:after="0" w:line="196" w:lineRule="exact"/>
              <w:rPr>
                <w:sz w:val="20"/>
                <w:szCs w:val="20"/>
                <w:color w:val="auto"/>
              </w:rPr>
            </w:pPr>
            <w:r>
              <w:rPr>
                <w:rFonts w:ascii="Arial" w:cs="Arial" w:eastAsia="Arial" w:hAnsi="Arial"/>
                <w:sz w:val="18"/>
                <w:szCs w:val="18"/>
                <w:color w:val="auto"/>
              </w:rPr>
              <w:t>2.4</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7"/>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4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Equities:</w:t>
            </w:r>
          </w:p>
        </w:tc>
        <w:tc>
          <w:tcPr>
            <w:tcW w:w="54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Borders>
              <w:right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Former Parent stock</w:t>
            </w:r>
          </w:p>
        </w:tc>
        <w:tc>
          <w:tcPr>
            <w:tcW w:w="540" w:type="dxa"/>
            <w:vAlign w:val="bottom"/>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jc w:val="right"/>
              <w:ind w:right="394"/>
              <w:spacing w:after="0" w:line="202" w:lineRule="exact"/>
              <w:rPr>
                <w:sz w:val="20"/>
                <w:szCs w:val="20"/>
                <w:color w:val="auto"/>
              </w:rPr>
            </w:pPr>
            <w:r>
              <w:rPr>
                <w:rFonts w:ascii="Arial" w:cs="Arial" w:eastAsia="Arial" w:hAnsi="Arial"/>
                <w:sz w:val="18"/>
                <w:szCs w:val="18"/>
                <w:color w:val="auto"/>
              </w:rPr>
              <w:t>51.2</w:t>
            </w:r>
          </w:p>
        </w:tc>
        <w:tc>
          <w:tcPr>
            <w:tcW w:w="680" w:type="dxa"/>
            <w:vAlign w:val="bottom"/>
            <w:shd w:val="clear" w:color="auto" w:fill="CCEEFF"/>
          </w:tcPr>
          <w:p>
            <w:pPr>
              <w:spacing w:after="0"/>
              <w:rPr>
                <w:sz w:val="17"/>
                <w:szCs w:val="17"/>
                <w:color w:val="auto"/>
              </w:rPr>
            </w:pPr>
          </w:p>
        </w:tc>
        <w:tc>
          <w:tcPr>
            <w:tcW w:w="1300" w:type="dxa"/>
            <w:vAlign w:val="bottom"/>
            <w:tcBorders>
              <w:right w:val="single" w:sz="8" w:color="auto"/>
            </w:tcBorders>
            <w:shd w:val="clear" w:color="auto" w:fill="CCEEFF"/>
          </w:tcPr>
          <w:p>
            <w:pPr>
              <w:jc w:val="right"/>
              <w:ind w:right="477"/>
              <w:spacing w:after="0" w:line="202" w:lineRule="exact"/>
              <w:rPr>
                <w:sz w:val="20"/>
                <w:szCs w:val="20"/>
                <w:color w:val="auto"/>
              </w:rPr>
            </w:pPr>
            <w:r>
              <w:rPr>
                <w:rFonts w:ascii="Arial" w:cs="Arial" w:eastAsia="Arial" w:hAnsi="Arial"/>
                <w:sz w:val="18"/>
                <w:szCs w:val="18"/>
                <w:color w:val="auto"/>
              </w:rPr>
              <w:t>51.2</w:t>
            </w:r>
          </w:p>
        </w:tc>
        <w:tc>
          <w:tcPr>
            <w:tcW w:w="76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477"/>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4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U.S.</w:t>
            </w:r>
          </w:p>
        </w:tc>
        <w:tc>
          <w:tcPr>
            <w:tcW w:w="540" w:type="dxa"/>
            <w:vAlign w:val="bottom"/>
          </w:tcPr>
          <w:p>
            <w:pPr>
              <w:spacing w:after="0"/>
              <w:rPr>
                <w:sz w:val="17"/>
                <w:szCs w:val="17"/>
                <w:color w:val="auto"/>
              </w:rPr>
            </w:pPr>
          </w:p>
        </w:tc>
        <w:tc>
          <w:tcPr>
            <w:tcW w:w="1000" w:type="dxa"/>
            <w:vAlign w:val="bottom"/>
            <w:tcBorders>
              <w:right w:val="single" w:sz="8" w:color="auto"/>
            </w:tcBorders>
          </w:tcPr>
          <w:p>
            <w:pPr>
              <w:jc w:val="right"/>
              <w:ind w:right="394"/>
              <w:spacing w:after="0" w:line="202" w:lineRule="exact"/>
              <w:rPr>
                <w:sz w:val="20"/>
                <w:szCs w:val="20"/>
                <w:color w:val="auto"/>
              </w:rPr>
            </w:pPr>
            <w:r>
              <w:rPr>
                <w:rFonts w:ascii="Arial" w:cs="Arial" w:eastAsia="Arial" w:hAnsi="Arial"/>
                <w:sz w:val="18"/>
                <w:szCs w:val="18"/>
                <w:color w:val="auto"/>
              </w:rPr>
              <w:t>143.1</w:t>
            </w:r>
          </w:p>
        </w:tc>
        <w:tc>
          <w:tcPr>
            <w:tcW w:w="680" w:type="dxa"/>
            <w:vAlign w:val="bottom"/>
          </w:tcPr>
          <w:p>
            <w:pPr>
              <w:spacing w:after="0"/>
              <w:rPr>
                <w:sz w:val="17"/>
                <w:szCs w:val="17"/>
                <w:color w:val="auto"/>
              </w:rPr>
            </w:pPr>
          </w:p>
        </w:tc>
        <w:tc>
          <w:tcPr>
            <w:tcW w:w="1300" w:type="dxa"/>
            <w:vAlign w:val="bottom"/>
            <w:tcBorders>
              <w:right w:val="single" w:sz="8" w:color="auto"/>
            </w:tcBorders>
          </w:tcPr>
          <w:p>
            <w:pPr>
              <w:jc w:val="right"/>
              <w:ind w:right="477"/>
              <w:spacing w:after="0" w:line="202" w:lineRule="exact"/>
              <w:rPr>
                <w:sz w:val="20"/>
                <w:szCs w:val="20"/>
                <w:color w:val="auto"/>
              </w:rPr>
            </w:pPr>
            <w:r>
              <w:rPr>
                <w:rFonts w:ascii="Arial" w:cs="Arial" w:eastAsia="Arial" w:hAnsi="Arial"/>
                <w:sz w:val="18"/>
                <w:szCs w:val="18"/>
                <w:color w:val="auto"/>
              </w:rPr>
              <w:t>143.1</w:t>
            </w:r>
          </w:p>
        </w:tc>
        <w:tc>
          <w:tcPr>
            <w:tcW w:w="760" w:type="dxa"/>
            <w:vAlign w:val="bottom"/>
          </w:tcPr>
          <w:p>
            <w:pPr>
              <w:spacing w:after="0"/>
              <w:rPr>
                <w:sz w:val="17"/>
                <w:szCs w:val="17"/>
                <w:color w:val="auto"/>
              </w:rPr>
            </w:pPr>
          </w:p>
        </w:tc>
        <w:tc>
          <w:tcPr>
            <w:tcW w:w="1320" w:type="dxa"/>
            <w:vAlign w:val="bottom"/>
            <w:tcBorders>
              <w:right w:val="single" w:sz="8" w:color="auto"/>
            </w:tcBorders>
          </w:tcPr>
          <w:p>
            <w:pPr>
              <w:jc w:val="right"/>
              <w:ind w:right="477"/>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7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40" w:type="dxa"/>
            <w:vAlign w:val="bottom"/>
            <w:tcBorders>
              <w:right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International</w:t>
            </w:r>
          </w:p>
        </w:tc>
        <w:tc>
          <w:tcPr>
            <w:tcW w:w="540" w:type="dxa"/>
            <w:vAlign w:val="bottom"/>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jc w:val="right"/>
              <w:ind w:right="394"/>
              <w:spacing w:after="0" w:line="202" w:lineRule="exact"/>
              <w:rPr>
                <w:sz w:val="20"/>
                <w:szCs w:val="20"/>
                <w:color w:val="auto"/>
              </w:rPr>
            </w:pPr>
            <w:r>
              <w:rPr>
                <w:rFonts w:ascii="Arial" w:cs="Arial" w:eastAsia="Arial" w:hAnsi="Arial"/>
                <w:sz w:val="18"/>
                <w:szCs w:val="18"/>
                <w:color w:val="auto"/>
              </w:rPr>
              <w:t>41.5</w:t>
            </w:r>
          </w:p>
        </w:tc>
        <w:tc>
          <w:tcPr>
            <w:tcW w:w="680" w:type="dxa"/>
            <w:vAlign w:val="bottom"/>
            <w:shd w:val="clear" w:color="auto" w:fill="CCEEFF"/>
          </w:tcPr>
          <w:p>
            <w:pPr>
              <w:spacing w:after="0"/>
              <w:rPr>
                <w:sz w:val="17"/>
                <w:szCs w:val="17"/>
                <w:color w:val="auto"/>
              </w:rPr>
            </w:pPr>
          </w:p>
        </w:tc>
        <w:tc>
          <w:tcPr>
            <w:tcW w:w="1300" w:type="dxa"/>
            <w:vAlign w:val="bottom"/>
            <w:tcBorders>
              <w:right w:val="single" w:sz="8" w:color="auto"/>
            </w:tcBorders>
            <w:shd w:val="clear" w:color="auto" w:fill="CCEEFF"/>
          </w:tcPr>
          <w:p>
            <w:pPr>
              <w:jc w:val="right"/>
              <w:ind w:right="477"/>
              <w:spacing w:after="0" w:line="202" w:lineRule="exact"/>
              <w:rPr>
                <w:sz w:val="20"/>
                <w:szCs w:val="20"/>
                <w:color w:val="auto"/>
              </w:rPr>
            </w:pPr>
            <w:r>
              <w:rPr>
                <w:rFonts w:ascii="Arial" w:cs="Arial" w:eastAsia="Arial" w:hAnsi="Arial"/>
                <w:sz w:val="18"/>
                <w:szCs w:val="18"/>
                <w:color w:val="auto"/>
              </w:rPr>
              <w:t>41.5</w:t>
            </w:r>
          </w:p>
        </w:tc>
        <w:tc>
          <w:tcPr>
            <w:tcW w:w="76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477"/>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4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Fixed income</w:t>
            </w:r>
          </w:p>
        </w:tc>
        <w:tc>
          <w:tcPr>
            <w:tcW w:w="540" w:type="dxa"/>
            <w:vAlign w:val="bottom"/>
          </w:tcPr>
          <w:p>
            <w:pPr>
              <w:spacing w:after="0"/>
              <w:rPr>
                <w:sz w:val="17"/>
                <w:szCs w:val="17"/>
                <w:color w:val="auto"/>
              </w:rPr>
            </w:pPr>
          </w:p>
        </w:tc>
        <w:tc>
          <w:tcPr>
            <w:tcW w:w="1000" w:type="dxa"/>
            <w:vAlign w:val="bottom"/>
            <w:tcBorders>
              <w:right w:val="single" w:sz="8" w:color="auto"/>
            </w:tcBorders>
          </w:tcPr>
          <w:p>
            <w:pPr>
              <w:jc w:val="right"/>
              <w:ind w:right="394"/>
              <w:spacing w:after="0" w:line="202" w:lineRule="exact"/>
              <w:rPr>
                <w:sz w:val="20"/>
                <w:szCs w:val="20"/>
                <w:color w:val="auto"/>
              </w:rPr>
            </w:pPr>
            <w:r>
              <w:rPr>
                <w:rFonts w:ascii="Arial" w:cs="Arial" w:eastAsia="Arial" w:hAnsi="Arial"/>
                <w:sz w:val="18"/>
                <w:szCs w:val="18"/>
                <w:color w:val="auto"/>
              </w:rPr>
              <w:t>62.3</w:t>
            </w:r>
          </w:p>
        </w:tc>
        <w:tc>
          <w:tcPr>
            <w:tcW w:w="680" w:type="dxa"/>
            <w:vAlign w:val="bottom"/>
          </w:tcPr>
          <w:p>
            <w:pPr>
              <w:spacing w:after="0"/>
              <w:rPr>
                <w:sz w:val="17"/>
                <w:szCs w:val="17"/>
                <w:color w:val="auto"/>
              </w:rPr>
            </w:pPr>
          </w:p>
        </w:tc>
        <w:tc>
          <w:tcPr>
            <w:tcW w:w="1300" w:type="dxa"/>
            <w:vAlign w:val="bottom"/>
            <w:tcBorders>
              <w:right w:val="single" w:sz="8" w:color="auto"/>
            </w:tcBorders>
          </w:tcPr>
          <w:p>
            <w:pPr>
              <w:jc w:val="right"/>
              <w:ind w:right="477"/>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spacing w:after="0"/>
              <w:rPr>
                <w:sz w:val="17"/>
                <w:szCs w:val="17"/>
                <w:color w:val="auto"/>
              </w:rPr>
            </w:pPr>
          </w:p>
        </w:tc>
        <w:tc>
          <w:tcPr>
            <w:tcW w:w="1320" w:type="dxa"/>
            <w:vAlign w:val="bottom"/>
            <w:tcBorders>
              <w:right w:val="single" w:sz="8" w:color="auto"/>
            </w:tcBorders>
          </w:tcPr>
          <w:p>
            <w:pPr>
              <w:jc w:val="right"/>
              <w:ind w:right="477"/>
              <w:spacing w:after="0" w:line="202" w:lineRule="exact"/>
              <w:rPr>
                <w:sz w:val="20"/>
                <w:szCs w:val="20"/>
                <w:color w:val="auto"/>
              </w:rPr>
            </w:pPr>
            <w:r>
              <w:rPr>
                <w:rFonts w:ascii="Arial" w:cs="Arial" w:eastAsia="Arial" w:hAnsi="Arial"/>
                <w:sz w:val="18"/>
                <w:szCs w:val="18"/>
                <w:color w:val="auto"/>
              </w:rPr>
              <w:t>62.3</w:t>
            </w:r>
          </w:p>
        </w:tc>
        <w:tc>
          <w:tcPr>
            <w:tcW w:w="600" w:type="dxa"/>
            <w:vAlign w:val="bottom"/>
          </w:tcPr>
          <w:p>
            <w:pPr>
              <w:spacing w:after="0"/>
              <w:rPr>
                <w:sz w:val="17"/>
                <w:szCs w:val="17"/>
                <w:color w:val="auto"/>
              </w:rPr>
            </w:pPr>
          </w:p>
        </w:tc>
        <w:tc>
          <w:tcPr>
            <w:tcW w:w="7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4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Group annuity/insurance contracts</w:t>
            </w:r>
          </w:p>
        </w:tc>
        <w:tc>
          <w:tcPr>
            <w:tcW w:w="540" w:type="dxa"/>
            <w:vAlign w:val="bottom"/>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jc w:val="right"/>
              <w:ind w:right="394"/>
              <w:spacing w:after="0" w:line="202" w:lineRule="exact"/>
              <w:rPr>
                <w:sz w:val="20"/>
                <w:szCs w:val="20"/>
                <w:color w:val="auto"/>
              </w:rPr>
            </w:pPr>
            <w:r>
              <w:rPr>
                <w:rFonts w:ascii="Arial" w:cs="Arial" w:eastAsia="Arial" w:hAnsi="Arial"/>
                <w:sz w:val="18"/>
                <w:szCs w:val="18"/>
                <w:color w:val="auto"/>
              </w:rPr>
              <w:t>14.3</w:t>
            </w:r>
          </w:p>
        </w:tc>
        <w:tc>
          <w:tcPr>
            <w:tcW w:w="680" w:type="dxa"/>
            <w:vAlign w:val="bottom"/>
            <w:shd w:val="clear" w:color="auto" w:fill="CCEEFF"/>
          </w:tcPr>
          <w:p>
            <w:pPr>
              <w:spacing w:after="0"/>
              <w:rPr>
                <w:sz w:val="17"/>
                <w:szCs w:val="17"/>
                <w:color w:val="auto"/>
              </w:rPr>
            </w:pPr>
          </w:p>
        </w:tc>
        <w:tc>
          <w:tcPr>
            <w:tcW w:w="1300" w:type="dxa"/>
            <w:vAlign w:val="bottom"/>
            <w:tcBorders>
              <w:right w:val="single" w:sz="8" w:color="auto"/>
            </w:tcBorders>
            <w:shd w:val="clear" w:color="auto" w:fill="CCEEFF"/>
          </w:tcPr>
          <w:p>
            <w:pPr>
              <w:jc w:val="right"/>
              <w:ind w:right="477"/>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477"/>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3"/>
        </w:trPr>
        <w:tc>
          <w:tcPr>
            <w:tcW w:w="444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Commingled funds:</w:t>
            </w:r>
          </w:p>
        </w:tc>
        <w:tc>
          <w:tcPr>
            <w:tcW w:w="54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Borders>
              <w:right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Equity</w:t>
            </w:r>
          </w:p>
        </w:tc>
        <w:tc>
          <w:tcPr>
            <w:tcW w:w="540" w:type="dxa"/>
            <w:vAlign w:val="bottom"/>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jc w:val="right"/>
              <w:ind w:right="394"/>
              <w:spacing w:after="0" w:line="202" w:lineRule="exact"/>
              <w:rPr>
                <w:sz w:val="20"/>
                <w:szCs w:val="20"/>
                <w:color w:val="auto"/>
              </w:rPr>
            </w:pPr>
            <w:r>
              <w:rPr>
                <w:rFonts w:ascii="Arial" w:cs="Arial" w:eastAsia="Arial" w:hAnsi="Arial"/>
                <w:sz w:val="18"/>
                <w:szCs w:val="18"/>
                <w:color w:val="auto"/>
              </w:rPr>
              <w:t>76.7</w:t>
            </w:r>
          </w:p>
        </w:tc>
        <w:tc>
          <w:tcPr>
            <w:tcW w:w="680" w:type="dxa"/>
            <w:vAlign w:val="bottom"/>
            <w:shd w:val="clear" w:color="auto" w:fill="CCEEFF"/>
          </w:tcPr>
          <w:p>
            <w:pPr>
              <w:spacing w:after="0"/>
              <w:rPr>
                <w:sz w:val="17"/>
                <w:szCs w:val="17"/>
                <w:color w:val="auto"/>
              </w:rPr>
            </w:pPr>
          </w:p>
        </w:tc>
        <w:tc>
          <w:tcPr>
            <w:tcW w:w="1300" w:type="dxa"/>
            <w:vAlign w:val="bottom"/>
            <w:tcBorders>
              <w:right w:val="single" w:sz="8" w:color="auto"/>
            </w:tcBorders>
            <w:shd w:val="clear" w:color="auto" w:fill="CCEEFF"/>
          </w:tcPr>
          <w:p>
            <w:pPr>
              <w:jc w:val="right"/>
              <w:ind w:right="477"/>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477"/>
              <w:spacing w:after="0" w:line="202" w:lineRule="exact"/>
              <w:rPr>
                <w:sz w:val="20"/>
                <w:szCs w:val="20"/>
                <w:color w:val="auto"/>
              </w:rPr>
            </w:pPr>
            <w:r>
              <w:rPr>
                <w:rFonts w:ascii="Arial" w:cs="Arial" w:eastAsia="Arial" w:hAnsi="Arial"/>
                <w:sz w:val="18"/>
                <w:szCs w:val="18"/>
                <w:color w:val="auto"/>
              </w:rPr>
              <w:t>76.7</w:t>
            </w: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4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Fixed income</w:t>
            </w:r>
          </w:p>
        </w:tc>
        <w:tc>
          <w:tcPr>
            <w:tcW w:w="540" w:type="dxa"/>
            <w:vAlign w:val="bottom"/>
          </w:tcPr>
          <w:p>
            <w:pPr>
              <w:spacing w:after="0"/>
              <w:rPr>
                <w:sz w:val="17"/>
                <w:szCs w:val="17"/>
                <w:color w:val="auto"/>
              </w:rPr>
            </w:pPr>
          </w:p>
        </w:tc>
        <w:tc>
          <w:tcPr>
            <w:tcW w:w="1000" w:type="dxa"/>
            <w:vAlign w:val="bottom"/>
            <w:tcBorders>
              <w:right w:val="single" w:sz="8" w:color="auto"/>
            </w:tcBorders>
          </w:tcPr>
          <w:p>
            <w:pPr>
              <w:jc w:val="right"/>
              <w:ind w:right="394"/>
              <w:spacing w:after="0" w:line="202" w:lineRule="exact"/>
              <w:rPr>
                <w:sz w:val="20"/>
                <w:szCs w:val="20"/>
                <w:color w:val="auto"/>
              </w:rPr>
            </w:pPr>
            <w:r>
              <w:rPr>
                <w:rFonts w:ascii="Arial" w:cs="Arial" w:eastAsia="Arial" w:hAnsi="Arial"/>
                <w:sz w:val="18"/>
                <w:szCs w:val="18"/>
                <w:color w:val="auto"/>
              </w:rPr>
              <w:t>81.9</w:t>
            </w:r>
          </w:p>
        </w:tc>
        <w:tc>
          <w:tcPr>
            <w:tcW w:w="680" w:type="dxa"/>
            <w:vAlign w:val="bottom"/>
          </w:tcPr>
          <w:p>
            <w:pPr>
              <w:spacing w:after="0"/>
              <w:rPr>
                <w:sz w:val="17"/>
                <w:szCs w:val="17"/>
                <w:color w:val="auto"/>
              </w:rPr>
            </w:pPr>
          </w:p>
        </w:tc>
        <w:tc>
          <w:tcPr>
            <w:tcW w:w="1300" w:type="dxa"/>
            <w:vAlign w:val="bottom"/>
            <w:tcBorders>
              <w:right w:val="single" w:sz="8" w:color="auto"/>
            </w:tcBorders>
          </w:tcPr>
          <w:p>
            <w:pPr>
              <w:jc w:val="right"/>
              <w:ind w:right="477"/>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spacing w:after="0"/>
              <w:rPr>
                <w:sz w:val="17"/>
                <w:szCs w:val="17"/>
                <w:color w:val="auto"/>
              </w:rPr>
            </w:pPr>
          </w:p>
        </w:tc>
        <w:tc>
          <w:tcPr>
            <w:tcW w:w="1320" w:type="dxa"/>
            <w:vAlign w:val="bottom"/>
            <w:tcBorders>
              <w:right w:val="single" w:sz="8" w:color="auto"/>
            </w:tcBorders>
          </w:tcPr>
          <w:p>
            <w:pPr>
              <w:jc w:val="right"/>
              <w:ind w:right="477"/>
              <w:spacing w:after="0" w:line="202" w:lineRule="exact"/>
              <w:rPr>
                <w:sz w:val="20"/>
                <w:szCs w:val="20"/>
                <w:color w:val="auto"/>
              </w:rPr>
            </w:pPr>
            <w:r>
              <w:rPr>
                <w:rFonts w:ascii="Arial" w:cs="Arial" w:eastAsia="Arial" w:hAnsi="Arial"/>
                <w:sz w:val="18"/>
                <w:szCs w:val="18"/>
                <w:color w:val="auto"/>
              </w:rPr>
              <w:t>81.9</w:t>
            </w:r>
          </w:p>
        </w:tc>
        <w:tc>
          <w:tcPr>
            <w:tcW w:w="600" w:type="dxa"/>
            <w:vAlign w:val="bottom"/>
          </w:tcPr>
          <w:p>
            <w:pPr>
              <w:spacing w:after="0"/>
              <w:rPr>
                <w:sz w:val="17"/>
                <w:szCs w:val="17"/>
                <w:color w:val="auto"/>
              </w:rPr>
            </w:pPr>
          </w:p>
        </w:tc>
        <w:tc>
          <w:tcPr>
            <w:tcW w:w="7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40" w:type="dxa"/>
            <w:vAlign w:val="bottom"/>
            <w:tcBorders>
              <w:right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Multi-strategy hedge funds</w:t>
            </w:r>
          </w:p>
        </w:tc>
        <w:tc>
          <w:tcPr>
            <w:tcW w:w="540" w:type="dxa"/>
            <w:vAlign w:val="bottom"/>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jc w:val="right"/>
              <w:ind w:right="394"/>
              <w:spacing w:after="0" w:line="202" w:lineRule="exact"/>
              <w:rPr>
                <w:sz w:val="20"/>
                <w:szCs w:val="20"/>
                <w:color w:val="auto"/>
              </w:rPr>
            </w:pPr>
            <w:r>
              <w:rPr>
                <w:rFonts w:ascii="Arial" w:cs="Arial" w:eastAsia="Arial" w:hAnsi="Arial"/>
                <w:sz w:val="18"/>
                <w:szCs w:val="18"/>
                <w:color w:val="auto"/>
              </w:rPr>
              <w:t>14.8</w:t>
            </w:r>
          </w:p>
        </w:tc>
        <w:tc>
          <w:tcPr>
            <w:tcW w:w="680" w:type="dxa"/>
            <w:vAlign w:val="bottom"/>
            <w:shd w:val="clear" w:color="auto" w:fill="CCEEFF"/>
          </w:tcPr>
          <w:p>
            <w:pPr>
              <w:spacing w:after="0"/>
              <w:rPr>
                <w:sz w:val="17"/>
                <w:szCs w:val="17"/>
                <w:color w:val="auto"/>
              </w:rPr>
            </w:pPr>
          </w:p>
        </w:tc>
        <w:tc>
          <w:tcPr>
            <w:tcW w:w="1300" w:type="dxa"/>
            <w:vAlign w:val="bottom"/>
            <w:tcBorders>
              <w:right w:val="single" w:sz="8" w:color="auto"/>
            </w:tcBorders>
            <w:shd w:val="clear" w:color="auto" w:fill="CCEEFF"/>
          </w:tcPr>
          <w:p>
            <w:pPr>
              <w:jc w:val="right"/>
              <w:ind w:right="477"/>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477"/>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3"/>
        </w:trPr>
        <w:tc>
          <w:tcPr>
            <w:tcW w:w="4440" w:type="dxa"/>
            <w:vAlign w:val="bottom"/>
            <w:tcBorders>
              <w:bottom w:val="single" w:sz="8" w:color="auto"/>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Real estate</w:t>
            </w: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jc w:val="right"/>
              <w:ind w:right="394"/>
              <w:spacing w:after="0" w:line="202" w:lineRule="exact"/>
              <w:rPr>
                <w:sz w:val="20"/>
                <w:szCs w:val="20"/>
                <w:color w:val="auto"/>
              </w:rPr>
            </w:pPr>
            <w:r>
              <w:rPr>
                <w:rFonts w:ascii="Arial" w:cs="Arial" w:eastAsia="Arial" w:hAnsi="Arial"/>
                <w:sz w:val="18"/>
                <w:szCs w:val="18"/>
                <w:color w:val="auto"/>
              </w:rPr>
              <w:t>15.7</w:t>
            </w:r>
          </w:p>
        </w:tc>
        <w:tc>
          <w:tcPr>
            <w:tcW w:w="680" w:type="dxa"/>
            <w:vAlign w:val="bottom"/>
            <w:tcBorders>
              <w:bottom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jc w:val="right"/>
              <w:ind w:right="477"/>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jc w:val="right"/>
              <w:ind w:right="477"/>
              <w:spacing w:after="0" w:line="202"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7"/>
              <w:spacing w:after="0" w:line="202"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3"/>
        </w:trPr>
        <w:tc>
          <w:tcPr>
            <w:tcW w:w="4440" w:type="dxa"/>
            <w:vAlign w:val="bottom"/>
            <w:tcBorders>
              <w:bottom w:val="single" w:sz="8" w:color="auto"/>
              <w:right w:val="single" w:sz="8" w:color="auto"/>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CCEEFF"/>
          </w:tcPr>
          <w:p>
            <w:pPr>
              <w:ind w:left="42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right w:val="single" w:sz="8" w:color="auto"/>
            </w:tcBorders>
            <w:shd w:val="clear" w:color="auto" w:fill="CCEEFF"/>
          </w:tcPr>
          <w:p>
            <w:pPr>
              <w:jc w:val="right"/>
              <w:ind w:right="394"/>
              <w:spacing w:after="0" w:line="196" w:lineRule="exact"/>
              <w:rPr>
                <w:sz w:val="20"/>
                <w:szCs w:val="20"/>
                <w:color w:val="auto"/>
              </w:rPr>
            </w:pPr>
            <w:r>
              <w:rPr>
                <w:rFonts w:ascii="Arial" w:cs="Arial" w:eastAsia="Arial" w:hAnsi="Arial"/>
                <w:sz w:val="18"/>
                <w:szCs w:val="18"/>
                <w:color w:val="auto"/>
              </w:rPr>
              <w:t>503.9</w:t>
            </w:r>
          </w:p>
        </w:tc>
        <w:tc>
          <w:tcPr>
            <w:tcW w:w="680" w:type="dxa"/>
            <w:vAlign w:val="bottom"/>
            <w:tcBorders>
              <w:bottom w:val="single" w:sz="8" w:color="auto"/>
            </w:tcBorders>
            <w:shd w:val="clear" w:color="auto" w:fill="CCEEFF"/>
          </w:tcPr>
          <w:p>
            <w:pPr>
              <w:jc w:val="right"/>
              <w:ind w:right="2"/>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shd w:val="clear" w:color="auto" w:fill="CCEEFF"/>
          </w:tcPr>
          <w:p>
            <w:pPr>
              <w:jc w:val="right"/>
              <w:ind w:right="477"/>
              <w:spacing w:after="0" w:line="196" w:lineRule="exact"/>
              <w:rPr>
                <w:sz w:val="20"/>
                <w:szCs w:val="20"/>
                <w:color w:val="auto"/>
              </w:rPr>
            </w:pPr>
            <w:r>
              <w:rPr>
                <w:rFonts w:ascii="Arial" w:cs="Arial" w:eastAsia="Arial" w:hAnsi="Arial"/>
                <w:sz w:val="18"/>
                <w:szCs w:val="18"/>
                <w:color w:val="auto"/>
              </w:rPr>
              <w:t>235.8</w:t>
            </w:r>
          </w:p>
        </w:tc>
        <w:tc>
          <w:tcPr>
            <w:tcW w:w="760" w:type="dxa"/>
            <w:vAlign w:val="bottom"/>
            <w:tcBorders>
              <w:bottom w:val="single" w:sz="8" w:color="auto"/>
            </w:tcBorders>
            <w:shd w:val="clear" w:color="auto" w:fill="CCEEFF"/>
          </w:tcPr>
          <w:p>
            <w:pPr>
              <w:jc w:val="right"/>
              <w:ind w:right="59"/>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shd w:val="clear" w:color="auto" w:fill="CCEEFF"/>
          </w:tcPr>
          <w:p>
            <w:pPr>
              <w:jc w:val="right"/>
              <w:ind w:right="477"/>
              <w:spacing w:after="0" w:line="196" w:lineRule="exact"/>
              <w:rPr>
                <w:sz w:val="20"/>
                <w:szCs w:val="20"/>
                <w:color w:val="auto"/>
              </w:rPr>
            </w:pPr>
            <w:r>
              <w:rPr>
                <w:rFonts w:ascii="Arial" w:cs="Arial" w:eastAsia="Arial" w:hAnsi="Arial"/>
                <w:sz w:val="18"/>
                <w:szCs w:val="18"/>
                <w:color w:val="auto"/>
              </w:rPr>
              <w:t>223.3</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7"/>
              <w:spacing w:after="0" w:line="196" w:lineRule="exact"/>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Level 3 measurements as of December 31, 2010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w w:val="97"/>
              </w:rPr>
              <w:t>Commingled Funds</w:t>
            </w:r>
          </w:p>
        </w:tc>
        <w:tc>
          <w:tcPr>
            <w:tcW w:w="6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4"/>
        </w:trPr>
        <w:tc>
          <w:tcPr>
            <w:tcW w:w="504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Borders>
              <w:right w:val="single" w:sz="8" w:color="auto"/>
            </w:tcBorders>
          </w:tcPr>
          <w:p>
            <w:pPr>
              <w:jc w:val="right"/>
              <w:ind w:right="459"/>
              <w:spacing w:after="0"/>
              <w:rPr>
                <w:sz w:val="20"/>
                <w:szCs w:val="20"/>
                <w:color w:val="auto"/>
              </w:rPr>
            </w:pPr>
            <w:r>
              <w:rPr>
                <w:rFonts w:ascii="Arial" w:cs="Arial" w:eastAsia="Arial" w:hAnsi="Arial"/>
                <w:sz w:val="14"/>
                <w:szCs w:val="14"/>
                <w:color w:val="auto"/>
              </w:rPr>
              <w:t>Group</w:t>
            </w:r>
          </w:p>
        </w:tc>
        <w:tc>
          <w:tcPr>
            <w:tcW w:w="60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04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Borders>
              <w:right w:val="single" w:sz="8" w:color="auto"/>
            </w:tcBorders>
          </w:tcPr>
          <w:p>
            <w:pPr>
              <w:jc w:val="right"/>
              <w:ind w:right="459"/>
              <w:spacing w:after="0" w:line="149" w:lineRule="exact"/>
              <w:rPr>
                <w:sz w:val="20"/>
                <w:szCs w:val="20"/>
                <w:color w:val="auto"/>
              </w:rPr>
            </w:pPr>
            <w:r>
              <w:rPr>
                <w:rFonts w:ascii="Arial" w:cs="Arial" w:eastAsia="Arial" w:hAnsi="Arial"/>
                <w:sz w:val="14"/>
                <w:szCs w:val="14"/>
                <w:color w:val="auto"/>
                <w:w w:val="93"/>
              </w:rPr>
              <w:t>annuity/</w:t>
            </w:r>
          </w:p>
        </w:tc>
        <w:tc>
          <w:tcPr>
            <w:tcW w:w="600" w:type="dxa"/>
            <w:vAlign w:val="bottom"/>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Borders>
              <w:right w:val="single" w:sz="8" w:color="auto"/>
            </w:tcBorders>
            <w:vMerge w:val="restart"/>
          </w:tcPr>
          <w:p>
            <w:pPr>
              <w:jc w:val="right"/>
              <w:ind w:right="536"/>
              <w:spacing w:after="0"/>
              <w:rPr>
                <w:sz w:val="20"/>
                <w:szCs w:val="20"/>
                <w:color w:val="auto"/>
              </w:rPr>
            </w:pPr>
            <w:r>
              <w:rPr>
                <w:rFonts w:ascii="Arial" w:cs="Arial" w:eastAsia="Arial" w:hAnsi="Arial"/>
                <w:sz w:val="14"/>
                <w:szCs w:val="14"/>
                <w:color w:val="auto"/>
              </w:rPr>
              <w:t>Real</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600" w:type="dxa"/>
            <w:vAlign w:val="bottom"/>
            <w:tcBorders>
              <w:right w:val="single" w:sz="8" w:color="auto"/>
            </w:tcBorders>
            <w:gridSpan w:val="2"/>
          </w:tcPr>
          <w:p>
            <w:pPr>
              <w:jc w:val="right"/>
              <w:ind w:right="459"/>
              <w:spacing w:after="0" w:line="135" w:lineRule="exact"/>
              <w:rPr>
                <w:sz w:val="20"/>
                <w:szCs w:val="20"/>
                <w:color w:val="auto"/>
              </w:rPr>
            </w:pPr>
            <w:r>
              <w:rPr>
                <w:rFonts w:ascii="Arial" w:cs="Arial" w:eastAsia="Arial" w:hAnsi="Arial"/>
                <w:sz w:val="14"/>
                <w:szCs w:val="14"/>
                <w:color w:val="auto"/>
              </w:rPr>
              <w:t>insurance</w:t>
            </w:r>
          </w:p>
        </w:tc>
        <w:tc>
          <w:tcPr>
            <w:tcW w:w="600" w:type="dxa"/>
            <w:vAlign w:val="bottom"/>
          </w:tcPr>
          <w:p>
            <w:pPr>
              <w:spacing w:after="0"/>
              <w:rPr>
                <w:sz w:val="11"/>
                <w:szCs w:val="11"/>
                <w:color w:val="auto"/>
              </w:rPr>
            </w:pPr>
          </w:p>
        </w:tc>
        <w:tc>
          <w:tcPr>
            <w:tcW w:w="1720" w:type="dxa"/>
            <w:vAlign w:val="bottom"/>
            <w:tcBorders>
              <w:right w:val="single" w:sz="8" w:color="auto"/>
            </w:tcBorders>
          </w:tcPr>
          <w:p>
            <w:pPr>
              <w:jc w:val="right"/>
              <w:ind w:right="441"/>
              <w:spacing w:after="0" w:line="135" w:lineRule="exact"/>
              <w:rPr>
                <w:sz w:val="20"/>
                <w:szCs w:val="20"/>
                <w:color w:val="auto"/>
              </w:rPr>
            </w:pPr>
            <w:r>
              <w:rPr>
                <w:rFonts w:ascii="Arial" w:cs="Arial" w:eastAsia="Arial" w:hAnsi="Arial"/>
                <w:sz w:val="14"/>
                <w:szCs w:val="14"/>
                <w:color w:val="auto"/>
              </w:rPr>
              <w:t>Multi-strategy</w:t>
            </w:r>
          </w:p>
        </w:tc>
        <w:tc>
          <w:tcPr>
            <w:tcW w:w="680" w:type="dxa"/>
            <w:vAlign w:val="bottom"/>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040" w:type="dxa"/>
            <w:vAlign w:val="bottom"/>
            <w:tcBorders>
              <w:bottom w:val="single" w:sz="8" w:color="auto"/>
              <w:right w:val="single" w:sz="8" w:color="auto"/>
            </w:tcBorders>
            <w:vMerge w:val="continue"/>
          </w:tcPr>
          <w:p>
            <w:pPr>
              <w:spacing w:after="0"/>
              <w:rPr>
                <w:sz w:val="14"/>
                <w:szCs w:val="14"/>
                <w:color w:val="auto"/>
              </w:rPr>
            </w:pPr>
          </w:p>
        </w:tc>
        <w:tc>
          <w:tcPr>
            <w:tcW w:w="1600" w:type="dxa"/>
            <w:vAlign w:val="bottom"/>
            <w:tcBorders>
              <w:bottom w:val="single" w:sz="8" w:color="auto"/>
              <w:right w:val="single" w:sz="8" w:color="auto"/>
            </w:tcBorders>
            <w:gridSpan w:val="2"/>
          </w:tcPr>
          <w:p>
            <w:pPr>
              <w:jc w:val="right"/>
              <w:ind w:right="459"/>
              <w:spacing w:after="0"/>
              <w:rPr>
                <w:sz w:val="20"/>
                <w:szCs w:val="20"/>
                <w:color w:val="auto"/>
              </w:rPr>
            </w:pPr>
            <w:r>
              <w:rPr>
                <w:rFonts w:ascii="Arial" w:cs="Arial" w:eastAsia="Arial" w:hAnsi="Arial"/>
                <w:sz w:val="14"/>
                <w:szCs w:val="14"/>
                <w:color w:val="auto"/>
              </w:rPr>
              <w:t>contracts</w:t>
            </w:r>
          </w:p>
        </w:tc>
        <w:tc>
          <w:tcPr>
            <w:tcW w:w="600" w:type="dxa"/>
            <w:vAlign w:val="bottom"/>
            <w:tcBorders>
              <w:bottom w:val="single" w:sz="8" w:color="auto"/>
            </w:tcBorders>
          </w:tcPr>
          <w:p>
            <w:pPr>
              <w:spacing w:after="0"/>
              <w:rPr>
                <w:sz w:val="14"/>
                <w:szCs w:val="14"/>
                <w:color w:val="auto"/>
              </w:rPr>
            </w:pPr>
          </w:p>
        </w:tc>
        <w:tc>
          <w:tcPr>
            <w:tcW w:w="1720" w:type="dxa"/>
            <w:vAlign w:val="bottom"/>
            <w:tcBorders>
              <w:bottom w:val="single" w:sz="8" w:color="auto"/>
              <w:right w:val="single" w:sz="8" w:color="auto"/>
            </w:tcBorders>
          </w:tcPr>
          <w:p>
            <w:pPr>
              <w:jc w:val="right"/>
              <w:ind w:right="441"/>
              <w:spacing w:after="0"/>
              <w:rPr>
                <w:sz w:val="20"/>
                <w:szCs w:val="20"/>
                <w:color w:val="auto"/>
              </w:rPr>
            </w:pPr>
            <w:r>
              <w:rPr>
                <w:rFonts w:ascii="Arial" w:cs="Arial" w:eastAsia="Arial" w:hAnsi="Arial"/>
                <w:sz w:val="14"/>
                <w:szCs w:val="14"/>
                <w:color w:val="auto"/>
              </w:rPr>
              <w:t>hedge funds</w:t>
            </w:r>
          </w:p>
        </w:tc>
        <w:tc>
          <w:tcPr>
            <w:tcW w:w="1640" w:type="dxa"/>
            <w:vAlign w:val="bottom"/>
            <w:tcBorders>
              <w:bottom w:val="single" w:sz="8" w:color="auto"/>
              <w:right w:val="single" w:sz="8" w:color="auto"/>
            </w:tcBorders>
            <w:gridSpan w:val="2"/>
          </w:tcPr>
          <w:p>
            <w:pPr>
              <w:jc w:val="right"/>
              <w:ind w:right="536"/>
              <w:spacing w:after="0"/>
              <w:rPr>
                <w:sz w:val="20"/>
                <w:szCs w:val="20"/>
                <w:color w:val="auto"/>
              </w:rPr>
            </w:pPr>
            <w:r>
              <w:rPr>
                <w:rFonts w:ascii="Arial" w:cs="Arial" w:eastAsia="Arial" w:hAnsi="Arial"/>
                <w:sz w:val="14"/>
                <w:szCs w:val="14"/>
                <w:color w:val="auto"/>
              </w:rPr>
              <w:t>estate</w:t>
            </w: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5040" w:type="dxa"/>
            <w:vAlign w:val="bottom"/>
            <w:tcBorders>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shd w:val="clear" w:color="auto" w:fill="CCEEFF"/>
          </w:tcPr>
          <w:p>
            <w:pPr>
              <w:jc w:val="right"/>
              <w:ind w:right="459"/>
              <w:spacing w:after="0" w:line="196" w:lineRule="exact"/>
              <w:rPr>
                <w:sz w:val="20"/>
                <w:szCs w:val="20"/>
                <w:color w:val="auto"/>
              </w:rPr>
            </w:pPr>
            <w:r>
              <w:rPr>
                <w:rFonts w:ascii="Arial" w:cs="Arial" w:eastAsia="Arial" w:hAnsi="Arial"/>
                <w:sz w:val="18"/>
                <w:szCs w:val="18"/>
                <w:color w:val="auto"/>
              </w:rPr>
              <w:t>14.6</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shd w:val="clear" w:color="auto" w:fill="CCEEFF"/>
          </w:tcPr>
          <w:p>
            <w:pPr>
              <w:jc w:val="right"/>
              <w:ind w:right="441"/>
              <w:spacing w:after="0" w:line="196" w:lineRule="exact"/>
              <w:rPr>
                <w:sz w:val="20"/>
                <w:szCs w:val="20"/>
                <w:color w:val="auto"/>
              </w:rPr>
            </w:pPr>
            <w:r>
              <w:rPr>
                <w:rFonts w:ascii="Arial" w:cs="Arial" w:eastAsia="Arial" w:hAnsi="Arial"/>
                <w:sz w:val="18"/>
                <w:szCs w:val="18"/>
                <w:color w:val="auto"/>
              </w:rPr>
              <w:t>12.9</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shd w:val="clear" w:color="auto" w:fill="CCEEFF"/>
          </w:tcPr>
          <w:p>
            <w:pPr>
              <w:jc w:val="right"/>
              <w:ind w:right="536"/>
              <w:spacing w:after="0" w:line="196" w:lineRule="exact"/>
              <w:rPr>
                <w:sz w:val="20"/>
                <w:szCs w:val="20"/>
                <w:color w:val="auto"/>
              </w:rPr>
            </w:pPr>
            <w:r>
              <w:rPr>
                <w:rFonts w:ascii="Arial" w:cs="Arial" w:eastAsia="Arial" w:hAnsi="Arial"/>
                <w:sz w:val="18"/>
                <w:szCs w:val="18"/>
                <w:color w:val="auto"/>
              </w:rPr>
              <w:t>8.2</w:t>
            </w:r>
          </w:p>
        </w:tc>
        <w:tc>
          <w:tcPr>
            <w:tcW w:w="82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$ 35.7</w:t>
            </w:r>
          </w:p>
        </w:tc>
        <w:tc>
          <w:tcPr>
            <w:tcW w:w="0" w:type="dxa"/>
            <w:vAlign w:val="bottom"/>
          </w:tcPr>
          <w:p>
            <w:pPr>
              <w:spacing w:after="0"/>
              <w:rPr>
                <w:sz w:val="1"/>
                <w:szCs w:val="1"/>
                <w:color w:val="auto"/>
              </w:rPr>
            </w:pPr>
          </w:p>
        </w:tc>
      </w:tr>
      <w:tr>
        <w:trPr>
          <w:trHeight w:val="203"/>
        </w:trPr>
        <w:tc>
          <w:tcPr>
            <w:tcW w:w="504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Actual return on assets related to assets still held</w:t>
            </w:r>
          </w:p>
        </w:tc>
        <w:tc>
          <w:tcPr>
            <w:tcW w:w="580" w:type="dxa"/>
            <w:vAlign w:val="bottom"/>
          </w:tcPr>
          <w:p>
            <w:pPr>
              <w:spacing w:after="0"/>
              <w:rPr>
                <w:sz w:val="17"/>
                <w:szCs w:val="17"/>
                <w:color w:val="auto"/>
              </w:rPr>
            </w:pPr>
          </w:p>
        </w:tc>
        <w:tc>
          <w:tcPr>
            <w:tcW w:w="1020" w:type="dxa"/>
            <w:vAlign w:val="bottom"/>
            <w:tcBorders>
              <w:right w:val="single" w:sz="8" w:color="auto"/>
            </w:tcBorders>
          </w:tcPr>
          <w:p>
            <w:pPr>
              <w:jc w:val="right"/>
              <w:ind w:right="399"/>
              <w:spacing w:after="0" w:line="202" w:lineRule="exact"/>
              <w:rPr>
                <w:sz w:val="20"/>
                <w:szCs w:val="20"/>
                <w:color w:val="auto"/>
              </w:rPr>
            </w:pPr>
            <w:r>
              <w:rPr>
                <w:rFonts w:ascii="Arial" w:cs="Arial" w:eastAsia="Arial" w:hAnsi="Arial"/>
                <w:sz w:val="18"/>
                <w:szCs w:val="18"/>
                <w:color w:val="auto"/>
              </w:rPr>
              <w:t>(0.3)</w:t>
            </w:r>
          </w:p>
        </w:tc>
        <w:tc>
          <w:tcPr>
            <w:tcW w:w="600" w:type="dxa"/>
            <w:vAlign w:val="bottom"/>
          </w:tcPr>
          <w:p>
            <w:pPr>
              <w:spacing w:after="0"/>
              <w:rPr>
                <w:sz w:val="17"/>
                <w:szCs w:val="17"/>
                <w:color w:val="auto"/>
              </w:rPr>
            </w:pPr>
          </w:p>
        </w:tc>
        <w:tc>
          <w:tcPr>
            <w:tcW w:w="1720" w:type="dxa"/>
            <w:vAlign w:val="bottom"/>
            <w:tcBorders>
              <w:right w:val="single" w:sz="8" w:color="auto"/>
            </w:tcBorders>
          </w:tcPr>
          <w:p>
            <w:pPr>
              <w:jc w:val="right"/>
              <w:ind w:right="441"/>
              <w:spacing w:after="0" w:line="202" w:lineRule="exact"/>
              <w:rPr>
                <w:sz w:val="20"/>
                <w:szCs w:val="20"/>
                <w:color w:val="auto"/>
              </w:rPr>
            </w:pPr>
            <w:r>
              <w:rPr>
                <w:rFonts w:ascii="Arial" w:cs="Arial" w:eastAsia="Arial" w:hAnsi="Arial"/>
                <w:sz w:val="18"/>
                <w:szCs w:val="18"/>
                <w:color w:val="auto"/>
              </w:rPr>
              <w:t>1.9</w:t>
            </w:r>
          </w:p>
        </w:tc>
        <w:tc>
          <w:tcPr>
            <w:tcW w:w="680" w:type="dxa"/>
            <w:vAlign w:val="bottom"/>
          </w:tcPr>
          <w:p>
            <w:pPr>
              <w:spacing w:after="0"/>
              <w:rPr>
                <w:sz w:val="17"/>
                <w:szCs w:val="17"/>
                <w:color w:val="auto"/>
              </w:rPr>
            </w:pPr>
          </w:p>
        </w:tc>
        <w:tc>
          <w:tcPr>
            <w:tcW w:w="960" w:type="dxa"/>
            <w:vAlign w:val="bottom"/>
            <w:tcBorders>
              <w:right w:val="single" w:sz="8" w:color="auto"/>
            </w:tcBorders>
          </w:tcPr>
          <w:p>
            <w:pPr>
              <w:jc w:val="right"/>
              <w:ind w:right="536"/>
              <w:spacing w:after="0" w:line="202" w:lineRule="exact"/>
              <w:rPr>
                <w:sz w:val="20"/>
                <w:szCs w:val="20"/>
                <w:color w:val="auto"/>
              </w:rPr>
            </w:pPr>
            <w:r>
              <w:rPr>
                <w:rFonts w:ascii="Arial" w:cs="Arial" w:eastAsia="Arial" w:hAnsi="Arial"/>
                <w:sz w:val="18"/>
                <w:szCs w:val="18"/>
                <w:color w:val="auto"/>
              </w:rPr>
              <w:t>2.0</w:t>
            </w:r>
          </w:p>
        </w:tc>
        <w:tc>
          <w:tcPr>
            <w:tcW w:w="8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5040" w:type="dxa"/>
            <w:vAlign w:val="bottom"/>
            <w:tcBorders>
              <w:bottom w:val="single" w:sz="8" w:color="auto"/>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Purchases, sales and settlements</w:t>
            </w:r>
          </w:p>
        </w:tc>
        <w:tc>
          <w:tcPr>
            <w:tcW w:w="5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right w:val="single" w:sz="8" w:color="auto"/>
            </w:tcBorders>
            <w:shd w:val="clear" w:color="auto" w:fill="CCEEFF"/>
          </w:tcPr>
          <w:p>
            <w:pPr>
              <w:jc w:val="right"/>
              <w:ind w:right="459"/>
              <w:spacing w:after="0" w:line="202"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right w:val="single" w:sz="8" w:color="auto"/>
            </w:tcBorders>
            <w:shd w:val="clear" w:color="auto" w:fill="CCEEFF"/>
          </w:tcPr>
          <w:p>
            <w:pPr>
              <w:jc w:val="right"/>
              <w:ind w:right="441"/>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right w:val="single" w:sz="8" w:color="auto"/>
            </w:tcBorders>
            <w:shd w:val="clear" w:color="auto" w:fill="CCEEFF"/>
          </w:tcPr>
          <w:p>
            <w:pPr>
              <w:jc w:val="right"/>
              <w:ind w:right="536"/>
              <w:spacing w:after="0" w:line="202" w:lineRule="exact"/>
              <w:rPr>
                <w:sz w:val="20"/>
                <w:szCs w:val="20"/>
                <w:color w:val="auto"/>
              </w:rPr>
            </w:pPr>
            <w:r>
              <w:rPr>
                <w:rFonts w:ascii="Arial" w:cs="Arial" w:eastAsia="Arial" w:hAnsi="Arial"/>
                <w:sz w:val="18"/>
                <w:szCs w:val="18"/>
                <w:color w:val="auto"/>
              </w:rPr>
              <w:t>5.5</w:t>
            </w:r>
          </w:p>
        </w:tc>
        <w:tc>
          <w:tcPr>
            <w:tcW w:w="820" w:type="dxa"/>
            <w:vAlign w:val="bottom"/>
            <w:tcBorders>
              <w:bottom w:val="single" w:sz="8" w:color="auto"/>
            </w:tcBorders>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3"/>
        </w:trPr>
        <w:tc>
          <w:tcPr>
            <w:tcW w:w="504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Ending balance</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ind w:right="459"/>
              <w:spacing w:after="0" w:line="196" w:lineRule="exact"/>
              <w:rPr>
                <w:sz w:val="20"/>
                <w:szCs w:val="20"/>
                <w:color w:val="auto"/>
              </w:rPr>
            </w:pPr>
            <w:r>
              <w:rPr>
                <w:rFonts w:ascii="Arial" w:cs="Arial" w:eastAsia="Arial" w:hAnsi="Arial"/>
                <w:sz w:val="18"/>
                <w:szCs w:val="18"/>
                <w:color w:val="auto"/>
              </w:rPr>
              <w:t>14.3</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720" w:type="dxa"/>
            <w:vAlign w:val="bottom"/>
            <w:tcBorders>
              <w:bottom w:val="single" w:sz="8" w:color="auto"/>
              <w:right w:val="single" w:sz="8" w:color="auto"/>
            </w:tcBorders>
          </w:tcPr>
          <w:p>
            <w:pPr>
              <w:jc w:val="right"/>
              <w:ind w:right="441"/>
              <w:spacing w:after="0" w:line="196" w:lineRule="exact"/>
              <w:rPr>
                <w:sz w:val="20"/>
                <w:szCs w:val="20"/>
                <w:color w:val="auto"/>
              </w:rPr>
            </w:pPr>
            <w:r>
              <w:rPr>
                <w:rFonts w:ascii="Arial" w:cs="Arial" w:eastAsia="Arial" w:hAnsi="Arial"/>
                <w:sz w:val="18"/>
                <w:szCs w:val="18"/>
                <w:color w:val="auto"/>
              </w:rPr>
              <w:t>14.8</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tcPr>
          <w:p>
            <w:pPr>
              <w:jc w:val="right"/>
              <w:ind w:right="536"/>
              <w:spacing w:after="0" w:line="196" w:lineRule="exact"/>
              <w:rPr>
                <w:sz w:val="20"/>
                <w:szCs w:val="20"/>
                <w:color w:val="auto"/>
              </w:rPr>
            </w:pPr>
            <w:r>
              <w:rPr>
                <w:rFonts w:ascii="Arial" w:cs="Arial" w:eastAsia="Arial" w:hAnsi="Arial"/>
                <w:sz w:val="18"/>
                <w:szCs w:val="18"/>
                <w:color w:val="auto"/>
                <w:w w:val="91"/>
              </w:rPr>
              <w:t>15.7</w:t>
            </w:r>
          </w:p>
        </w:tc>
        <w:tc>
          <w:tcPr>
            <w:tcW w:w="820" w:type="dxa"/>
            <w:vAlign w:val="bottom"/>
            <w:tcBorders>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auto"/>
              </w:rPr>
              <w:t>$ 44.8</w:t>
            </w: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defined benefit trusts own a variety of assets including equity, fixed income and real estate securities as well as group annuity/insurance contracts and fund-of-hedge funds. Equity securities are traded on national stock exchanges and are valued at daily closing prices. Fixed income securities are valued at daily closing prices or institutional mid-evaluation prices provided by independent industry-recognized pricing sources. Real estate securities are valued based on recent market appraisals of underlying property as well as valuation methodologies to determine the most probable cash price in a competitive market. Valuations of group annuity/insurance contracts and fund-of-hedge funds are based on daily closing prices of underlying securities or institutional evaluation prices consistent with industry practices.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Our investment strategy is to optimize investment returns through a diversified portfolio of investments, taking into consideration underlying plan liabilities and asset volatility. Master trusts were established to hold the assets of our domestic defined benefit plans. The U.S. defined benefit asset allocation policy of these trusts allows for an equity allocation of 45% to 75%, a fixed income allocation of 25% to 50%, a cash allocation of up to 25% and other investments up to 20%. Asset allocations are based on the underlying liability structure and local regulations. All retirement asset allocations are reviewed periodically to ensure the allocation meets the needs of the liability structure.</w:t>
      </w:r>
    </w:p>
    <w:p>
      <w:pPr>
        <w:spacing w:after="0" w:line="157" w:lineRule="exact"/>
        <w:rPr>
          <w:sz w:val="20"/>
          <w:szCs w:val="20"/>
          <w:color w:val="auto"/>
        </w:rPr>
      </w:pPr>
    </w:p>
    <w:p>
      <w:pPr>
        <w:ind w:right="600"/>
        <w:spacing w:after="0" w:line="239" w:lineRule="auto"/>
        <w:rPr>
          <w:sz w:val="20"/>
          <w:szCs w:val="20"/>
          <w:color w:val="auto"/>
        </w:rPr>
      </w:pPr>
      <w:r>
        <w:rPr>
          <w:rFonts w:ascii="Arial" w:cs="Arial" w:eastAsia="Arial" w:hAnsi="Arial"/>
          <w:sz w:val="18"/>
          <w:szCs w:val="18"/>
          <w:color w:val="auto"/>
        </w:rPr>
        <w:t>Our expected 7.8% blended long-term rate of return on plan assets is determined based on long-term historical performance of plan assets, current asset allocation and projected long-term rates of return from pension investment consultants.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 Contributions</w:t>
      </w:r>
    </w:p>
    <w:p>
      <w:pPr>
        <w:spacing w:after="0" w:line="180"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We sponsor a number of defined contribution plans. Contributions are determined under various formulas. Cash contributions related to these plans amounted to $17.6 million, $14.8 million and $13.0 million in 2011, 2010 and 2009,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Future Retirement Benefit Payments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retirement benefit payments, which reflect expected future service, are expected to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9220"/>
        <w:spacing w:after="0"/>
        <w:rPr>
          <w:sz w:val="20"/>
          <w:szCs w:val="20"/>
          <w:color w:val="auto"/>
        </w:rPr>
      </w:pPr>
      <w:r>
        <w:rPr>
          <w:rFonts w:ascii="Arial" w:cs="Arial" w:eastAsia="Arial" w:hAnsi="Arial"/>
          <w:sz w:val="14"/>
          <w:szCs w:val="14"/>
          <w:color w:val="auto"/>
        </w:rPr>
        <w:t>Postretirement Benefits</w:t>
      </w:r>
    </w:p>
    <w:tbl>
      <w:tblPr>
        <w:tblLayout w:type="fixed"/>
        <w:tblInd w:w="0" w:type="dxa"/>
        <w:tblCellMar>
          <w:top w:w="0" w:type="dxa"/>
          <w:left w:w="0" w:type="dxa"/>
          <w:bottom w:w="0" w:type="dxa"/>
          <w:right w:w="0" w:type="dxa"/>
        </w:tblCellMar>
      </w:tblPr>
      <w:tr>
        <w:trPr>
          <w:trHeight w:val="141"/>
        </w:trPr>
        <w:tc>
          <w:tcPr>
            <w:tcW w:w="502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Borders>
              <w:top w:val="single" w:sz="8" w:color="auto"/>
            </w:tcBorders>
          </w:tcPr>
          <w:p>
            <w:pPr>
              <w:spacing w:after="0"/>
              <w:rPr>
                <w:sz w:val="12"/>
                <w:szCs w:val="12"/>
                <w:color w:val="auto"/>
              </w:rPr>
            </w:pPr>
          </w:p>
        </w:tc>
        <w:tc>
          <w:tcPr>
            <w:tcW w:w="1520" w:type="dxa"/>
            <w:vAlign w:val="bottom"/>
            <w:tcBorders>
              <w:top w:val="single" w:sz="8" w:color="auto"/>
              <w:right w:val="single" w:sz="8" w:color="auto"/>
            </w:tcBorders>
          </w:tcPr>
          <w:p>
            <w:pPr>
              <w:spacing w:after="0"/>
              <w:rPr>
                <w:sz w:val="12"/>
                <w:szCs w:val="12"/>
                <w:color w:val="auto"/>
              </w:rPr>
            </w:pPr>
          </w:p>
        </w:tc>
        <w:tc>
          <w:tcPr>
            <w:tcW w:w="2540" w:type="dxa"/>
            <w:vAlign w:val="bottom"/>
            <w:tcBorders>
              <w:top w:val="single" w:sz="8" w:color="auto"/>
              <w:right w:val="single" w:sz="8" w:color="auto"/>
            </w:tcBorders>
            <w:gridSpan w:val="2"/>
          </w:tcPr>
          <w:p>
            <w:pPr>
              <w:jc w:val="right"/>
              <w:ind w:right="595"/>
              <w:spacing w:after="0" w:line="141" w:lineRule="exact"/>
              <w:rPr>
                <w:sz w:val="20"/>
                <w:szCs w:val="20"/>
                <w:color w:val="auto"/>
              </w:rPr>
            </w:pPr>
            <w:r>
              <w:rPr>
                <w:rFonts w:ascii="Arial" w:cs="Arial" w:eastAsia="Arial" w:hAnsi="Arial"/>
                <w:sz w:val="14"/>
                <w:szCs w:val="14"/>
                <w:color w:val="auto"/>
              </w:rPr>
              <w:t>Before Medicare</w:t>
            </w:r>
          </w:p>
        </w:tc>
        <w:tc>
          <w:tcPr>
            <w:tcW w:w="5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Borders>
              <w:bottom w:val="single" w:sz="8" w:color="auto"/>
              <w:right w:val="single" w:sz="8" w:color="auto"/>
            </w:tcBorders>
            <w:vMerge w:val="continue"/>
          </w:tcPr>
          <w:p>
            <w:pPr>
              <w:spacing w:after="0"/>
              <w:rPr>
                <w:sz w:val="12"/>
                <w:szCs w:val="12"/>
                <w:color w:val="auto"/>
              </w:rPr>
            </w:pPr>
          </w:p>
        </w:tc>
        <w:tc>
          <w:tcPr>
            <w:tcW w:w="2640" w:type="dxa"/>
            <w:vAlign w:val="bottom"/>
            <w:tcBorders>
              <w:bottom w:val="single" w:sz="8" w:color="auto"/>
              <w:right w:val="single" w:sz="8" w:color="auto"/>
            </w:tcBorders>
            <w:gridSpan w:val="2"/>
          </w:tcPr>
          <w:p>
            <w:pPr>
              <w:ind w:left="780"/>
              <w:spacing w:after="0" w:line="149" w:lineRule="exact"/>
              <w:rPr>
                <w:sz w:val="20"/>
                <w:szCs w:val="20"/>
                <w:color w:val="auto"/>
              </w:rPr>
            </w:pPr>
            <w:r>
              <w:rPr>
                <w:rFonts w:ascii="Arial" w:cs="Arial" w:eastAsia="Arial" w:hAnsi="Arial"/>
                <w:sz w:val="14"/>
                <w:szCs w:val="14"/>
                <w:color w:val="auto"/>
              </w:rPr>
              <w:t>Pension Benefits</w:t>
            </w:r>
          </w:p>
        </w:tc>
        <w:tc>
          <w:tcPr>
            <w:tcW w:w="1160" w:type="dxa"/>
            <w:vAlign w:val="bottom"/>
            <w:tcBorders>
              <w:bottom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jc w:val="right"/>
              <w:ind w:right="595"/>
              <w:spacing w:after="0" w:line="149" w:lineRule="exact"/>
              <w:rPr>
                <w:sz w:val="20"/>
                <w:szCs w:val="20"/>
                <w:color w:val="auto"/>
              </w:rPr>
            </w:pPr>
            <w:r>
              <w:rPr>
                <w:rFonts w:ascii="Arial" w:cs="Arial" w:eastAsia="Arial" w:hAnsi="Arial"/>
                <w:sz w:val="14"/>
                <w:szCs w:val="14"/>
                <w:color w:val="auto"/>
              </w:rPr>
              <w:t>Subsidy</w:t>
            </w:r>
          </w:p>
        </w:tc>
        <w:tc>
          <w:tcPr>
            <w:tcW w:w="1220" w:type="dxa"/>
            <w:vAlign w:val="bottom"/>
            <w:tcBorders>
              <w:bottom w:val="single" w:sz="8" w:color="auto"/>
            </w:tcBorders>
            <w:gridSpan w:val="2"/>
          </w:tcPr>
          <w:p>
            <w:pPr>
              <w:ind w:left="40"/>
              <w:spacing w:after="0" w:line="149" w:lineRule="exact"/>
              <w:rPr>
                <w:sz w:val="20"/>
                <w:szCs w:val="20"/>
                <w:color w:val="auto"/>
              </w:rPr>
            </w:pPr>
            <w:r>
              <w:rPr>
                <w:rFonts w:ascii="Arial" w:cs="Arial" w:eastAsia="Arial" w:hAnsi="Arial"/>
                <w:sz w:val="14"/>
                <w:szCs w:val="14"/>
                <w:color w:val="auto"/>
              </w:rPr>
              <w:t>Medicare Subsidy</w:t>
            </w:r>
          </w:p>
        </w:tc>
        <w:tc>
          <w:tcPr>
            <w:tcW w:w="0" w:type="dxa"/>
            <w:vAlign w:val="bottom"/>
          </w:tcPr>
          <w:p>
            <w:pPr>
              <w:spacing w:after="0"/>
              <w:rPr>
                <w:sz w:val="1"/>
                <w:szCs w:val="1"/>
                <w:color w:val="auto"/>
              </w:rPr>
            </w:pPr>
          </w:p>
        </w:tc>
      </w:tr>
      <w:tr>
        <w:trPr>
          <w:trHeight w:val="196"/>
        </w:trPr>
        <w:tc>
          <w:tcPr>
            <w:tcW w:w="5020" w:type="dxa"/>
            <w:vAlign w:val="bottom"/>
            <w:tcBorders>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2012</w:t>
            </w:r>
          </w:p>
        </w:tc>
        <w:tc>
          <w:tcPr>
            <w:tcW w:w="1120" w:type="dxa"/>
            <w:vAlign w:val="bottom"/>
            <w:shd w:val="clear" w:color="auto" w:fill="CCEEFF"/>
          </w:tcPr>
          <w:p>
            <w:pPr>
              <w:ind w:left="760"/>
              <w:spacing w:after="0" w:line="196" w:lineRule="exact"/>
              <w:rPr>
                <w:sz w:val="20"/>
                <w:szCs w:val="20"/>
                <w:color w:val="auto"/>
              </w:rPr>
            </w:pPr>
            <w:r>
              <w:rPr>
                <w:rFonts w:ascii="Arial" w:cs="Arial" w:eastAsia="Arial" w:hAnsi="Arial"/>
                <w:sz w:val="18"/>
                <w:szCs w:val="18"/>
                <w:color w:val="auto"/>
              </w:rPr>
              <w:t>$</w:t>
            </w:r>
          </w:p>
        </w:tc>
        <w:tc>
          <w:tcPr>
            <w:tcW w:w="1520" w:type="dxa"/>
            <w:vAlign w:val="bottom"/>
            <w:tcBorders>
              <w:right w:val="single" w:sz="8" w:color="auto"/>
            </w:tcBorders>
            <w:shd w:val="clear" w:color="auto" w:fill="CCEEFF"/>
          </w:tcPr>
          <w:p>
            <w:pPr>
              <w:jc w:val="right"/>
              <w:ind w:right="752"/>
              <w:spacing w:after="0" w:line="196" w:lineRule="exact"/>
              <w:rPr>
                <w:sz w:val="20"/>
                <w:szCs w:val="20"/>
                <w:color w:val="auto"/>
              </w:rPr>
            </w:pPr>
            <w:r>
              <w:rPr>
                <w:rFonts w:ascii="Arial" w:cs="Arial" w:eastAsia="Arial" w:hAnsi="Arial"/>
                <w:sz w:val="18"/>
                <w:szCs w:val="18"/>
                <w:color w:val="auto"/>
              </w:rPr>
              <w:t>29.2</w:t>
            </w:r>
          </w:p>
        </w:tc>
        <w:tc>
          <w:tcPr>
            <w:tcW w:w="1160" w:type="dxa"/>
            <w:vAlign w:val="bottom"/>
            <w:shd w:val="clear" w:color="auto" w:fill="CCEEFF"/>
          </w:tcPr>
          <w:p>
            <w:pPr>
              <w:jc w:val="right"/>
              <w:ind w:right="122"/>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shd w:val="clear" w:color="auto" w:fill="CCEEFF"/>
          </w:tcPr>
          <w:p>
            <w:pPr>
              <w:jc w:val="right"/>
              <w:ind w:right="595"/>
              <w:spacing w:after="0" w:line="196" w:lineRule="exact"/>
              <w:rPr>
                <w:sz w:val="20"/>
                <w:szCs w:val="20"/>
                <w:color w:val="auto"/>
              </w:rPr>
            </w:pPr>
            <w:r>
              <w:rPr>
                <w:rFonts w:ascii="Arial" w:cs="Arial" w:eastAsia="Arial" w:hAnsi="Arial"/>
                <w:sz w:val="18"/>
                <w:szCs w:val="18"/>
                <w:color w:val="auto"/>
              </w:rPr>
              <w:t>7.2</w:t>
            </w:r>
          </w:p>
        </w:tc>
        <w:tc>
          <w:tcPr>
            <w:tcW w:w="50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3"/>
        </w:trPr>
        <w:tc>
          <w:tcPr>
            <w:tcW w:w="50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2013</w:t>
            </w:r>
          </w:p>
        </w:tc>
        <w:tc>
          <w:tcPr>
            <w:tcW w:w="1120" w:type="dxa"/>
            <w:vAlign w:val="bottom"/>
          </w:tcPr>
          <w:p>
            <w:pPr>
              <w:spacing w:after="0"/>
              <w:rPr>
                <w:sz w:val="17"/>
                <w:szCs w:val="17"/>
                <w:color w:val="auto"/>
              </w:rPr>
            </w:pPr>
          </w:p>
        </w:tc>
        <w:tc>
          <w:tcPr>
            <w:tcW w:w="1520" w:type="dxa"/>
            <w:vAlign w:val="bottom"/>
            <w:tcBorders>
              <w:right w:val="single" w:sz="8" w:color="auto"/>
            </w:tcBorders>
          </w:tcPr>
          <w:p>
            <w:pPr>
              <w:jc w:val="right"/>
              <w:ind w:right="752"/>
              <w:spacing w:after="0" w:line="202" w:lineRule="exact"/>
              <w:rPr>
                <w:sz w:val="20"/>
                <w:szCs w:val="20"/>
                <w:color w:val="auto"/>
              </w:rPr>
            </w:pPr>
            <w:r>
              <w:rPr>
                <w:rFonts w:ascii="Arial" w:cs="Arial" w:eastAsia="Arial" w:hAnsi="Arial"/>
                <w:sz w:val="18"/>
                <w:szCs w:val="18"/>
                <w:color w:val="auto"/>
              </w:rPr>
              <w:t>30.6</w:t>
            </w:r>
          </w:p>
        </w:tc>
        <w:tc>
          <w:tcPr>
            <w:tcW w:w="1160" w:type="dxa"/>
            <w:vAlign w:val="bottom"/>
          </w:tcPr>
          <w:p>
            <w:pPr>
              <w:spacing w:after="0"/>
              <w:rPr>
                <w:sz w:val="17"/>
                <w:szCs w:val="17"/>
                <w:color w:val="auto"/>
              </w:rPr>
            </w:pPr>
          </w:p>
        </w:tc>
        <w:tc>
          <w:tcPr>
            <w:tcW w:w="1380" w:type="dxa"/>
            <w:vAlign w:val="bottom"/>
            <w:tcBorders>
              <w:right w:val="single" w:sz="8" w:color="auto"/>
            </w:tcBorders>
          </w:tcPr>
          <w:p>
            <w:pPr>
              <w:jc w:val="right"/>
              <w:ind w:right="595"/>
              <w:spacing w:after="0" w:line="202" w:lineRule="exact"/>
              <w:rPr>
                <w:sz w:val="20"/>
                <w:szCs w:val="20"/>
                <w:color w:val="auto"/>
              </w:rPr>
            </w:pPr>
            <w:r>
              <w:rPr>
                <w:rFonts w:ascii="Arial" w:cs="Arial" w:eastAsia="Arial" w:hAnsi="Arial"/>
                <w:sz w:val="18"/>
                <w:szCs w:val="18"/>
                <w:color w:val="auto"/>
              </w:rPr>
              <w:t>6.7</w:t>
            </w:r>
          </w:p>
        </w:tc>
        <w:tc>
          <w:tcPr>
            <w:tcW w:w="50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2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2014</w:t>
            </w:r>
          </w:p>
        </w:tc>
        <w:tc>
          <w:tcPr>
            <w:tcW w:w="1120" w:type="dxa"/>
            <w:vAlign w:val="bottom"/>
            <w:shd w:val="clear" w:color="auto" w:fill="CCEEFF"/>
          </w:tcPr>
          <w:p>
            <w:pPr>
              <w:spacing w:after="0"/>
              <w:rPr>
                <w:sz w:val="17"/>
                <w:szCs w:val="17"/>
                <w:color w:val="auto"/>
              </w:rPr>
            </w:pPr>
          </w:p>
        </w:tc>
        <w:tc>
          <w:tcPr>
            <w:tcW w:w="1520" w:type="dxa"/>
            <w:vAlign w:val="bottom"/>
            <w:tcBorders>
              <w:right w:val="single" w:sz="8" w:color="auto"/>
            </w:tcBorders>
            <w:shd w:val="clear" w:color="auto" w:fill="CCEEFF"/>
          </w:tcPr>
          <w:p>
            <w:pPr>
              <w:jc w:val="right"/>
              <w:ind w:right="752"/>
              <w:spacing w:after="0" w:line="202" w:lineRule="exact"/>
              <w:rPr>
                <w:sz w:val="20"/>
                <w:szCs w:val="20"/>
                <w:color w:val="auto"/>
              </w:rPr>
            </w:pPr>
            <w:r>
              <w:rPr>
                <w:rFonts w:ascii="Arial" w:cs="Arial" w:eastAsia="Arial" w:hAnsi="Arial"/>
                <w:sz w:val="18"/>
                <w:szCs w:val="18"/>
                <w:color w:val="auto"/>
              </w:rPr>
              <w:t>32.2</w:t>
            </w:r>
          </w:p>
        </w:tc>
        <w:tc>
          <w:tcPr>
            <w:tcW w:w="1160" w:type="dxa"/>
            <w:vAlign w:val="bottom"/>
            <w:shd w:val="clear" w:color="auto" w:fill="CCEEFF"/>
          </w:tcPr>
          <w:p>
            <w:pPr>
              <w:spacing w:after="0"/>
              <w:rPr>
                <w:sz w:val="17"/>
                <w:szCs w:val="17"/>
                <w:color w:val="auto"/>
              </w:rPr>
            </w:pPr>
          </w:p>
        </w:tc>
        <w:tc>
          <w:tcPr>
            <w:tcW w:w="1380" w:type="dxa"/>
            <w:vAlign w:val="bottom"/>
            <w:tcBorders>
              <w:right w:val="single" w:sz="8" w:color="auto"/>
            </w:tcBorders>
            <w:shd w:val="clear" w:color="auto" w:fill="CCEEFF"/>
          </w:tcPr>
          <w:p>
            <w:pPr>
              <w:jc w:val="right"/>
              <w:ind w:right="595"/>
              <w:spacing w:after="0" w:line="202" w:lineRule="exact"/>
              <w:rPr>
                <w:sz w:val="20"/>
                <w:szCs w:val="20"/>
                <w:color w:val="auto"/>
              </w:rPr>
            </w:pPr>
            <w:r>
              <w:rPr>
                <w:rFonts w:ascii="Arial" w:cs="Arial" w:eastAsia="Arial" w:hAnsi="Arial"/>
                <w:sz w:val="18"/>
                <w:szCs w:val="18"/>
                <w:color w:val="auto"/>
              </w:rPr>
              <w:t>6.8</w:t>
            </w: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2015</w:t>
            </w:r>
          </w:p>
        </w:tc>
        <w:tc>
          <w:tcPr>
            <w:tcW w:w="1120" w:type="dxa"/>
            <w:vAlign w:val="bottom"/>
          </w:tcPr>
          <w:p>
            <w:pPr>
              <w:spacing w:after="0"/>
              <w:rPr>
                <w:sz w:val="17"/>
                <w:szCs w:val="17"/>
                <w:color w:val="auto"/>
              </w:rPr>
            </w:pPr>
          </w:p>
        </w:tc>
        <w:tc>
          <w:tcPr>
            <w:tcW w:w="1520" w:type="dxa"/>
            <w:vAlign w:val="bottom"/>
            <w:tcBorders>
              <w:right w:val="single" w:sz="8" w:color="auto"/>
            </w:tcBorders>
          </w:tcPr>
          <w:p>
            <w:pPr>
              <w:jc w:val="right"/>
              <w:ind w:right="752"/>
              <w:spacing w:after="0" w:line="202" w:lineRule="exact"/>
              <w:rPr>
                <w:sz w:val="20"/>
                <w:szCs w:val="20"/>
                <w:color w:val="auto"/>
              </w:rPr>
            </w:pPr>
            <w:r>
              <w:rPr>
                <w:rFonts w:ascii="Arial" w:cs="Arial" w:eastAsia="Arial" w:hAnsi="Arial"/>
                <w:sz w:val="18"/>
                <w:szCs w:val="18"/>
                <w:color w:val="auto"/>
              </w:rPr>
              <w:t>33.9</w:t>
            </w:r>
          </w:p>
        </w:tc>
        <w:tc>
          <w:tcPr>
            <w:tcW w:w="1160" w:type="dxa"/>
            <w:vAlign w:val="bottom"/>
          </w:tcPr>
          <w:p>
            <w:pPr>
              <w:spacing w:after="0"/>
              <w:rPr>
                <w:sz w:val="17"/>
                <w:szCs w:val="17"/>
                <w:color w:val="auto"/>
              </w:rPr>
            </w:pPr>
          </w:p>
        </w:tc>
        <w:tc>
          <w:tcPr>
            <w:tcW w:w="1380" w:type="dxa"/>
            <w:vAlign w:val="bottom"/>
            <w:tcBorders>
              <w:right w:val="single" w:sz="8" w:color="auto"/>
            </w:tcBorders>
          </w:tcPr>
          <w:p>
            <w:pPr>
              <w:jc w:val="right"/>
              <w:ind w:right="595"/>
              <w:spacing w:after="0" w:line="202" w:lineRule="exact"/>
              <w:rPr>
                <w:sz w:val="20"/>
                <w:szCs w:val="20"/>
                <w:color w:val="auto"/>
              </w:rPr>
            </w:pPr>
            <w:r>
              <w:rPr>
                <w:rFonts w:ascii="Arial" w:cs="Arial" w:eastAsia="Arial" w:hAnsi="Arial"/>
                <w:sz w:val="18"/>
                <w:szCs w:val="18"/>
                <w:color w:val="auto"/>
              </w:rPr>
              <w:t>6.7</w:t>
            </w:r>
          </w:p>
        </w:tc>
        <w:tc>
          <w:tcPr>
            <w:tcW w:w="50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2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2016</w:t>
            </w:r>
          </w:p>
        </w:tc>
        <w:tc>
          <w:tcPr>
            <w:tcW w:w="1120" w:type="dxa"/>
            <w:vAlign w:val="bottom"/>
            <w:shd w:val="clear" w:color="auto" w:fill="CCEEFF"/>
          </w:tcPr>
          <w:p>
            <w:pPr>
              <w:spacing w:after="0"/>
              <w:rPr>
                <w:sz w:val="17"/>
                <w:szCs w:val="17"/>
                <w:color w:val="auto"/>
              </w:rPr>
            </w:pPr>
          </w:p>
        </w:tc>
        <w:tc>
          <w:tcPr>
            <w:tcW w:w="1520" w:type="dxa"/>
            <w:vAlign w:val="bottom"/>
            <w:tcBorders>
              <w:right w:val="single" w:sz="8" w:color="auto"/>
            </w:tcBorders>
            <w:shd w:val="clear" w:color="auto" w:fill="CCEEFF"/>
          </w:tcPr>
          <w:p>
            <w:pPr>
              <w:jc w:val="right"/>
              <w:ind w:right="752"/>
              <w:spacing w:after="0" w:line="202" w:lineRule="exact"/>
              <w:rPr>
                <w:sz w:val="20"/>
                <w:szCs w:val="20"/>
                <w:color w:val="auto"/>
              </w:rPr>
            </w:pPr>
            <w:r>
              <w:rPr>
                <w:rFonts w:ascii="Arial" w:cs="Arial" w:eastAsia="Arial" w:hAnsi="Arial"/>
                <w:sz w:val="18"/>
                <w:szCs w:val="18"/>
                <w:color w:val="auto"/>
              </w:rPr>
              <w:t>35.7</w:t>
            </w:r>
          </w:p>
        </w:tc>
        <w:tc>
          <w:tcPr>
            <w:tcW w:w="1160" w:type="dxa"/>
            <w:vAlign w:val="bottom"/>
            <w:shd w:val="clear" w:color="auto" w:fill="CCEEFF"/>
          </w:tcPr>
          <w:p>
            <w:pPr>
              <w:spacing w:after="0"/>
              <w:rPr>
                <w:sz w:val="17"/>
                <w:szCs w:val="17"/>
                <w:color w:val="auto"/>
              </w:rPr>
            </w:pPr>
          </w:p>
        </w:tc>
        <w:tc>
          <w:tcPr>
            <w:tcW w:w="1380" w:type="dxa"/>
            <w:vAlign w:val="bottom"/>
            <w:tcBorders>
              <w:right w:val="single" w:sz="8" w:color="auto"/>
            </w:tcBorders>
            <w:shd w:val="clear" w:color="auto" w:fill="CCEEFF"/>
          </w:tcPr>
          <w:p>
            <w:pPr>
              <w:jc w:val="right"/>
              <w:ind w:right="595"/>
              <w:spacing w:after="0" w:line="202" w:lineRule="exact"/>
              <w:rPr>
                <w:sz w:val="20"/>
                <w:szCs w:val="20"/>
                <w:color w:val="auto"/>
              </w:rPr>
            </w:pPr>
            <w:r>
              <w:rPr>
                <w:rFonts w:ascii="Arial" w:cs="Arial" w:eastAsia="Arial" w:hAnsi="Arial"/>
                <w:sz w:val="18"/>
                <w:szCs w:val="18"/>
                <w:color w:val="auto"/>
              </w:rPr>
              <w:t>6.6</w:t>
            </w: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020" w:type="dxa"/>
            <w:vAlign w:val="bottom"/>
            <w:tcBorders>
              <w:bottom w:val="single" w:sz="8" w:color="auto"/>
              <w:right w:val="single" w:sz="8" w:color="auto"/>
            </w:tcBorders>
          </w:tcPr>
          <w:p>
            <w:pPr>
              <w:spacing w:after="0" w:line="202" w:lineRule="exact"/>
              <w:rPr>
                <w:sz w:val="20"/>
                <w:szCs w:val="20"/>
                <w:color w:val="auto"/>
              </w:rPr>
            </w:pPr>
            <w:r>
              <w:rPr>
                <w:rFonts w:ascii="Arial" w:cs="Arial" w:eastAsia="Arial" w:hAnsi="Arial"/>
                <w:sz w:val="18"/>
                <w:szCs w:val="18"/>
                <w:color w:val="auto"/>
              </w:rPr>
              <w:t>Years 2017-2021</w:t>
            </w:r>
          </w:p>
        </w:tc>
        <w:tc>
          <w:tcPr>
            <w:tcW w:w="1120" w:type="dxa"/>
            <w:vAlign w:val="bottom"/>
            <w:tcBorders>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right"/>
              <w:ind w:right="752"/>
              <w:spacing w:after="0" w:line="202" w:lineRule="exact"/>
              <w:rPr>
                <w:sz w:val="20"/>
                <w:szCs w:val="20"/>
                <w:color w:val="auto"/>
              </w:rPr>
            </w:pPr>
            <w:r>
              <w:rPr>
                <w:rFonts w:ascii="Arial" w:cs="Arial" w:eastAsia="Arial" w:hAnsi="Arial"/>
                <w:sz w:val="18"/>
                <w:szCs w:val="18"/>
                <w:color w:val="auto"/>
              </w:rPr>
              <w:t>200.4</w:t>
            </w:r>
          </w:p>
        </w:tc>
        <w:tc>
          <w:tcPr>
            <w:tcW w:w="116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right"/>
              <w:ind w:right="595"/>
              <w:spacing w:after="0" w:line="202" w:lineRule="exact"/>
              <w:rPr>
                <w:sz w:val="20"/>
                <w:szCs w:val="20"/>
                <w:color w:val="auto"/>
              </w:rPr>
            </w:pPr>
            <w:r>
              <w:rPr>
                <w:rFonts w:ascii="Arial" w:cs="Arial" w:eastAsia="Arial" w:hAnsi="Arial"/>
                <w:sz w:val="18"/>
                <w:szCs w:val="18"/>
                <w:color w:val="auto"/>
              </w:rPr>
              <w:t>33.7</w:t>
            </w:r>
          </w:p>
        </w:tc>
        <w:tc>
          <w:tcPr>
            <w:tcW w:w="5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right="780"/>
        <w:spacing w:after="0" w:line="299" w:lineRule="auto"/>
        <w:rPr>
          <w:sz w:val="20"/>
          <w:szCs w:val="20"/>
          <w:color w:val="auto"/>
        </w:rPr>
      </w:pPr>
      <w:r>
        <w:rPr>
          <w:rFonts w:ascii="Arial" w:cs="Arial" w:eastAsia="Arial" w:hAnsi="Arial"/>
          <w:sz w:val="16"/>
          <w:szCs w:val="16"/>
          <w:color w:val="auto"/>
        </w:rPr>
        <w:t>Estimated future retirement benefit payments above are estimates and could change significantly based on differences between actuarial assumptions and actual events and decisions related to lump sum distribution options that are available to participants in certain plans.</w:t>
      </w:r>
    </w:p>
    <w:p>
      <w:pPr>
        <w:spacing w:after="0" w:line="87"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(loss) income before income taxes and noncontrolling interests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405"/>
        </w:trPr>
        <w:tc>
          <w:tcPr>
            <w:tcW w:w="5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i w:val="1"/>
                <w:iCs w:val="1"/>
                <w:color w:val="auto"/>
              </w:rPr>
              <w:t>(In millions)</w:t>
            </w:r>
          </w:p>
        </w:tc>
        <w:tc>
          <w:tcPr>
            <w:tcW w:w="2880" w:type="dxa"/>
            <w:vAlign w:val="bottom"/>
            <w:tcBorders>
              <w:top w:val="single" w:sz="8" w:color="auto"/>
              <w:bottom w:val="single" w:sz="8" w:color="auto"/>
              <w:right w:val="single" w:sz="8" w:color="auto"/>
            </w:tcBorders>
          </w:tcPr>
          <w:p>
            <w:pPr>
              <w:spacing w:after="0"/>
              <w:rPr>
                <w:sz w:val="24"/>
                <w:szCs w:val="24"/>
                <w:color w:val="auto"/>
              </w:rPr>
            </w:pPr>
          </w:p>
        </w:tc>
        <w:tc>
          <w:tcPr>
            <w:tcW w:w="1140" w:type="dxa"/>
            <w:vAlign w:val="bottom"/>
            <w:tcBorders>
              <w:top w:val="single" w:sz="8" w:color="auto"/>
              <w:bottom w:val="single" w:sz="8" w:color="auto"/>
              <w:right w:val="single" w:sz="8" w:color="auto"/>
            </w:tcBorders>
          </w:tcPr>
          <w:p>
            <w:pPr>
              <w:jc w:val="right"/>
              <w:ind w:right="257"/>
              <w:spacing w:after="0"/>
              <w:rPr>
                <w:sz w:val="20"/>
                <w:szCs w:val="20"/>
                <w:color w:val="auto"/>
              </w:rPr>
            </w:pPr>
            <w:r>
              <w:rPr>
                <w:rFonts w:ascii="Arial" w:cs="Arial" w:eastAsia="Arial" w:hAnsi="Arial"/>
                <w:sz w:val="14"/>
                <w:szCs w:val="14"/>
                <w:i w:val="1"/>
                <w:iCs w:val="1"/>
                <w:color w:val="auto"/>
              </w:rPr>
              <w:t>2011</w:t>
            </w:r>
          </w:p>
        </w:tc>
        <w:tc>
          <w:tcPr>
            <w:tcW w:w="112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color w:val="auto"/>
              </w:rPr>
              <w:t>2010</w:t>
            </w:r>
          </w:p>
        </w:tc>
        <w:tc>
          <w:tcPr>
            <w:tcW w:w="10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4"/>
                <w:szCs w:val="14"/>
                <w:color w:val="auto"/>
              </w:rPr>
              <w:t>2009</w:t>
            </w:r>
          </w:p>
        </w:tc>
      </w:tr>
      <w:tr>
        <w:trPr>
          <w:trHeight w:val="196"/>
        </w:trPr>
        <w:tc>
          <w:tcPr>
            <w:tcW w:w="5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Domestic operations</w:t>
            </w:r>
          </w:p>
        </w:tc>
        <w:tc>
          <w:tcPr>
            <w:tcW w:w="2880" w:type="dxa"/>
            <w:vAlign w:val="bottom"/>
            <w:tcBorders>
              <w:right w:val="single" w:sz="8" w:color="auto"/>
            </w:tcBorders>
            <w:shd w:val="clear" w:color="auto" w:fill="CCEEFF"/>
          </w:tcPr>
          <w:p>
            <w:pPr>
              <w:spacing w:after="0"/>
              <w:rPr>
                <w:sz w:val="17"/>
                <w:szCs w:val="17"/>
                <w:color w:val="auto"/>
              </w:rPr>
            </w:pPr>
          </w:p>
        </w:tc>
        <w:tc>
          <w:tcPr>
            <w:tcW w:w="1140" w:type="dxa"/>
            <w:vAlign w:val="bottom"/>
            <w:tcBorders>
              <w:right w:val="single" w:sz="8" w:color="auto"/>
            </w:tcBorders>
            <w:shd w:val="clear" w:color="auto" w:fill="CCEEFF"/>
          </w:tcPr>
          <w:p>
            <w:pPr>
              <w:jc w:val="right"/>
              <w:ind w:right="197"/>
              <w:spacing w:after="0" w:line="196" w:lineRule="exact"/>
              <w:rPr>
                <w:sz w:val="20"/>
                <w:szCs w:val="20"/>
                <w:color w:val="auto"/>
              </w:rPr>
            </w:pPr>
            <w:r>
              <w:rPr>
                <w:rFonts w:ascii="Arial" w:cs="Arial" w:eastAsia="Arial" w:hAnsi="Arial"/>
                <w:sz w:val="18"/>
                <w:szCs w:val="18"/>
                <w:color w:val="auto"/>
              </w:rPr>
              <w:t>$(73.1)</w:t>
            </w:r>
          </w:p>
        </w:tc>
        <w:tc>
          <w:tcPr>
            <w:tcW w:w="1120" w:type="dxa"/>
            <w:vAlign w:val="bottom"/>
            <w:shd w:val="clear" w:color="auto" w:fill="CCEEFF"/>
          </w:tcPr>
          <w:p>
            <w:pPr>
              <w:jc w:val="right"/>
              <w:ind w:right="277"/>
              <w:spacing w:after="0" w:line="196" w:lineRule="exact"/>
              <w:rPr>
                <w:sz w:val="20"/>
                <w:szCs w:val="20"/>
                <w:color w:val="auto"/>
              </w:rPr>
            </w:pPr>
            <w:r>
              <w:rPr>
                <w:rFonts w:ascii="Arial" w:cs="Arial" w:eastAsia="Arial" w:hAnsi="Arial"/>
                <w:sz w:val="18"/>
                <w:szCs w:val="18"/>
                <w:color w:val="auto"/>
              </w:rPr>
              <w:t>$ 43.2</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$(68.8)</w:t>
            </w:r>
          </w:p>
        </w:tc>
      </w:tr>
      <w:tr>
        <w:trPr>
          <w:trHeight w:val="203"/>
        </w:trPr>
        <w:tc>
          <w:tcPr>
            <w:tcW w:w="52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Foreign operations</w:t>
            </w:r>
          </w:p>
        </w:tc>
        <w:tc>
          <w:tcPr>
            <w:tcW w:w="288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jc w:val="right"/>
              <w:ind w:right="257"/>
              <w:spacing w:after="0" w:line="202" w:lineRule="exact"/>
              <w:rPr>
                <w:sz w:val="20"/>
                <w:szCs w:val="20"/>
                <w:color w:val="auto"/>
              </w:rPr>
            </w:pPr>
            <w:r>
              <w:rPr>
                <w:rFonts w:ascii="Arial" w:cs="Arial" w:eastAsia="Arial" w:hAnsi="Arial"/>
                <w:sz w:val="18"/>
                <w:szCs w:val="18"/>
                <w:color w:val="auto"/>
              </w:rPr>
              <w:t>29.5</w:t>
            </w:r>
          </w:p>
        </w:tc>
        <w:tc>
          <w:tcPr>
            <w:tcW w:w="1120" w:type="dxa"/>
            <w:vAlign w:val="bottom"/>
            <w:tcBorders>
              <w:bottom w:val="single" w:sz="8" w:color="auto"/>
            </w:tcBorders>
          </w:tcPr>
          <w:p>
            <w:pPr>
              <w:jc w:val="right"/>
              <w:ind w:right="277"/>
              <w:spacing w:after="0" w:line="202" w:lineRule="exact"/>
              <w:rPr>
                <w:sz w:val="20"/>
                <w:szCs w:val="20"/>
                <w:color w:val="auto"/>
              </w:rPr>
            </w:pPr>
            <w:r>
              <w:rPr>
                <w:rFonts w:ascii="Arial" w:cs="Arial" w:eastAsia="Arial" w:hAnsi="Arial"/>
                <w:sz w:val="18"/>
                <w:szCs w:val="18"/>
                <w:color w:val="auto"/>
              </w:rPr>
              <w:t>39.9</w:t>
            </w:r>
          </w:p>
        </w:tc>
        <w:tc>
          <w:tcPr>
            <w:tcW w:w="1000" w:type="dxa"/>
            <w:vAlign w:val="bottom"/>
            <w:tcBorders>
              <w:bottom w:val="single" w:sz="8" w:color="auto"/>
            </w:tcBorders>
          </w:tcPr>
          <w:p>
            <w:pPr>
              <w:jc w:val="right"/>
              <w:ind w:right="17"/>
              <w:spacing w:after="0" w:line="202" w:lineRule="exact"/>
              <w:rPr>
                <w:sz w:val="20"/>
                <w:szCs w:val="20"/>
                <w:color w:val="auto"/>
              </w:rPr>
            </w:pPr>
            <w:r>
              <w:rPr>
                <w:rFonts w:ascii="Arial" w:cs="Arial" w:eastAsia="Arial" w:hAnsi="Arial"/>
                <w:sz w:val="18"/>
                <w:szCs w:val="18"/>
                <w:color w:val="auto"/>
              </w:rPr>
              <w:t>38.7</w:t>
            </w:r>
          </w:p>
        </w:tc>
      </w:tr>
      <w:tr>
        <w:trPr>
          <w:trHeight w:val="203"/>
        </w:trPr>
        <w:tc>
          <w:tcPr>
            <w:tcW w:w="5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(Loss) income before income taxes and noncontrolling interests</w:t>
            </w:r>
          </w:p>
        </w:tc>
        <w:tc>
          <w:tcPr>
            <w:tcW w:w="2880" w:type="dxa"/>
            <w:vAlign w:val="bottom"/>
            <w:tcBorders>
              <w:bottom w:val="single" w:sz="8" w:color="auto"/>
              <w:right w:val="single" w:sz="8" w:color="auto"/>
            </w:tcBorders>
            <w:shd w:val="clear" w:color="auto" w:fill="CCEEFF"/>
          </w:tcPr>
          <w:p>
            <w:pPr>
              <w:spacing w:after="0"/>
              <w:rPr>
                <w:sz w:val="17"/>
                <w:szCs w:val="17"/>
                <w:color w:val="auto"/>
              </w:rPr>
            </w:pPr>
          </w:p>
        </w:tc>
        <w:tc>
          <w:tcPr>
            <w:tcW w:w="1140" w:type="dxa"/>
            <w:vAlign w:val="bottom"/>
            <w:tcBorders>
              <w:bottom w:val="single" w:sz="8" w:color="auto"/>
              <w:right w:val="single" w:sz="8" w:color="auto"/>
            </w:tcBorders>
            <w:shd w:val="clear" w:color="auto" w:fill="CCEEFF"/>
          </w:tcPr>
          <w:p>
            <w:pPr>
              <w:jc w:val="right"/>
              <w:ind w:right="197"/>
              <w:spacing w:after="0" w:line="196" w:lineRule="exact"/>
              <w:rPr>
                <w:sz w:val="20"/>
                <w:szCs w:val="20"/>
                <w:color w:val="auto"/>
              </w:rPr>
            </w:pPr>
            <w:r>
              <w:rPr>
                <w:rFonts w:ascii="Arial" w:cs="Arial" w:eastAsia="Arial" w:hAnsi="Arial"/>
                <w:sz w:val="18"/>
                <w:szCs w:val="18"/>
                <w:color w:val="auto"/>
              </w:rPr>
              <w:t>$(43.6)</w:t>
            </w:r>
          </w:p>
        </w:tc>
        <w:tc>
          <w:tcPr>
            <w:tcW w:w="1120" w:type="dxa"/>
            <w:vAlign w:val="bottom"/>
            <w:tcBorders>
              <w:bottom w:val="single" w:sz="8" w:color="auto"/>
            </w:tcBorders>
            <w:shd w:val="clear" w:color="auto" w:fill="CCEEFF"/>
          </w:tcPr>
          <w:p>
            <w:pPr>
              <w:jc w:val="right"/>
              <w:ind w:right="277"/>
              <w:spacing w:after="0" w:line="196" w:lineRule="exact"/>
              <w:rPr>
                <w:sz w:val="20"/>
                <w:szCs w:val="20"/>
                <w:color w:val="auto"/>
              </w:rPr>
            </w:pPr>
            <w:r>
              <w:rPr>
                <w:rFonts w:ascii="Arial" w:cs="Arial" w:eastAsia="Arial" w:hAnsi="Arial"/>
                <w:sz w:val="18"/>
                <w:szCs w:val="18"/>
                <w:color w:val="auto"/>
              </w:rPr>
              <w:t>$ 83.1</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$(30.1)</w:t>
            </w:r>
          </w:p>
        </w:tc>
      </w:tr>
      <w:tr>
        <w:trPr>
          <w:trHeight w:val="363"/>
        </w:trPr>
        <w:tc>
          <w:tcPr>
            <w:tcW w:w="5280" w:type="dxa"/>
            <w:vAlign w:val="bottom"/>
          </w:tcPr>
          <w:p>
            <w:pPr>
              <w:spacing w:after="0"/>
              <w:rPr>
                <w:sz w:val="24"/>
                <w:szCs w:val="24"/>
                <w:color w:val="auto"/>
              </w:rPr>
            </w:pPr>
          </w:p>
        </w:tc>
        <w:tc>
          <w:tcPr>
            <w:tcW w:w="2880" w:type="dxa"/>
            <w:vAlign w:val="bottom"/>
          </w:tcPr>
          <w:p>
            <w:pPr>
              <w:jc w:val="right"/>
              <w:ind w:right="2252"/>
              <w:spacing w:after="0"/>
              <w:rPr>
                <w:sz w:val="20"/>
                <w:szCs w:val="20"/>
                <w:color w:val="auto"/>
              </w:rPr>
            </w:pPr>
            <w:r>
              <w:rPr>
                <w:rFonts w:ascii="Arial" w:cs="Arial" w:eastAsia="Arial" w:hAnsi="Arial"/>
                <w:sz w:val="18"/>
                <w:szCs w:val="18"/>
                <w:color w:val="auto"/>
              </w:rPr>
              <w:t>76</w:t>
            </w: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income taxes at the 35% federal statutory income tax rate to income taxes from continuing operations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405"/>
        </w:trPr>
        <w:tc>
          <w:tcPr>
            <w:tcW w:w="69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i w:val="1"/>
                <w:iCs w:val="1"/>
                <w:color w:val="auto"/>
              </w:rPr>
              <w:t>(In millions)</w:t>
            </w:r>
          </w:p>
        </w:tc>
        <w:tc>
          <w:tcPr>
            <w:tcW w:w="7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right w:val="single" w:sz="8" w:color="auto"/>
            </w:tcBorders>
          </w:tcPr>
          <w:p>
            <w:pPr>
              <w:jc w:val="right"/>
              <w:ind w:right="614"/>
              <w:spacing w:after="0"/>
              <w:rPr>
                <w:sz w:val="20"/>
                <w:szCs w:val="20"/>
                <w:color w:val="auto"/>
              </w:rPr>
            </w:pPr>
            <w:r>
              <w:rPr>
                <w:rFonts w:ascii="Arial" w:cs="Arial" w:eastAsia="Arial" w:hAnsi="Arial"/>
                <w:sz w:val="14"/>
                <w:szCs w:val="14"/>
                <w:i w:val="1"/>
                <w:iCs w:val="1"/>
                <w:color w:val="auto"/>
              </w:rPr>
              <w:t>2011</w:t>
            </w:r>
          </w:p>
        </w:tc>
        <w:tc>
          <w:tcPr>
            <w:tcW w:w="15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color w:val="auto"/>
              </w:rPr>
              <w:t>2010</w:t>
            </w:r>
          </w:p>
        </w:tc>
        <w:tc>
          <w:tcPr>
            <w:tcW w:w="38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color w:val="auto"/>
              </w:rPr>
              <w:t>2009</w:t>
            </w:r>
          </w:p>
        </w:tc>
      </w:tr>
      <w:tr>
        <w:trPr>
          <w:trHeight w:val="196"/>
        </w:trPr>
        <w:tc>
          <w:tcPr>
            <w:tcW w:w="6920" w:type="dxa"/>
            <w:vAlign w:val="bottom"/>
            <w:tcBorders>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Income tax (benefit) expense computed at federal statutory income tax rate</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shd w:val="clear" w:color="auto" w:fill="CCEEFF"/>
          </w:tcPr>
          <w:p>
            <w:pPr>
              <w:jc w:val="right"/>
              <w:ind w:right="554"/>
              <w:spacing w:after="0" w:line="196" w:lineRule="exact"/>
              <w:rPr>
                <w:sz w:val="20"/>
                <w:szCs w:val="20"/>
                <w:color w:val="auto"/>
              </w:rPr>
            </w:pPr>
            <w:r>
              <w:rPr>
                <w:rFonts w:ascii="Arial" w:cs="Arial" w:eastAsia="Arial" w:hAnsi="Arial"/>
                <w:sz w:val="18"/>
                <w:szCs w:val="18"/>
                <w:color w:val="auto"/>
                <w:w w:val="97"/>
              </w:rPr>
              <w:t>(15.3)</w:t>
            </w:r>
          </w:p>
        </w:tc>
        <w:tc>
          <w:tcPr>
            <w:tcW w:w="1560" w:type="dxa"/>
            <w:vAlign w:val="bottom"/>
            <w:shd w:val="clear" w:color="auto" w:fill="CCEEFF"/>
          </w:tcPr>
          <w:p>
            <w:pPr>
              <w:jc w:val="right"/>
              <w:ind w:right="374"/>
              <w:spacing w:after="0" w:line="196" w:lineRule="exact"/>
              <w:rPr>
                <w:sz w:val="20"/>
                <w:szCs w:val="20"/>
                <w:color w:val="auto"/>
              </w:rPr>
            </w:pPr>
            <w:r>
              <w:rPr>
                <w:rFonts w:ascii="Arial" w:cs="Arial" w:eastAsia="Arial" w:hAnsi="Arial"/>
                <w:sz w:val="18"/>
                <w:szCs w:val="18"/>
                <w:color w:val="auto"/>
              </w:rPr>
              <w:t>$ 29.1</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4"/>
              <w:spacing w:after="0" w:line="196" w:lineRule="exact"/>
              <w:rPr>
                <w:sz w:val="20"/>
                <w:szCs w:val="20"/>
                <w:color w:val="auto"/>
              </w:rPr>
            </w:pPr>
            <w:r>
              <w:rPr>
                <w:rFonts w:ascii="Arial" w:cs="Arial" w:eastAsia="Arial" w:hAnsi="Arial"/>
                <w:sz w:val="18"/>
                <w:szCs w:val="18"/>
                <w:color w:val="auto"/>
                <w:w w:val="93"/>
              </w:rPr>
              <w:t>(10.5)</w:t>
            </w:r>
          </w:p>
        </w:tc>
      </w:tr>
      <w:tr>
        <w:trPr>
          <w:trHeight w:val="203"/>
        </w:trPr>
        <w:tc>
          <w:tcPr>
            <w:tcW w:w="69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Other income taxes, net of federal tax benefit</w:t>
            </w:r>
          </w:p>
        </w:tc>
        <w:tc>
          <w:tcPr>
            <w:tcW w:w="760" w:type="dxa"/>
            <w:vAlign w:val="bottom"/>
          </w:tcPr>
          <w:p>
            <w:pPr>
              <w:spacing w:after="0"/>
              <w:rPr>
                <w:sz w:val="17"/>
                <w:szCs w:val="17"/>
                <w:color w:val="auto"/>
              </w:rPr>
            </w:pPr>
          </w:p>
        </w:tc>
        <w:tc>
          <w:tcPr>
            <w:tcW w:w="1120" w:type="dxa"/>
            <w:vAlign w:val="bottom"/>
            <w:tcBorders>
              <w:right w:val="single" w:sz="8" w:color="auto"/>
            </w:tcBorders>
          </w:tcPr>
          <w:p>
            <w:pPr>
              <w:jc w:val="right"/>
              <w:ind w:right="554"/>
              <w:spacing w:after="0" w:line="202" w:lineRule="exact"/>
              <w:rPr>
                <w:sz w:val="20"/>
                <w:szCs w:val="20"/>
                <w:color w:val="auto"/>
              </w:rPr>
            </w:pPr>
            <w:r>
              <w:rPr>
                <w:rFonts w:ascii="Arial" w:cs="Arial" w:eastAsia="Arial" w:hAnsi="Arial"/>
                <w:sz w:val="18"/>
                <w:szCs w:val="18"/>
                <w:color w:val="auto"/>
              </w:rPr>
              <w:t>(1.8)</w:t>
            </w:r>
          </w:p>
        </w:tc>
        <w:tc>
          <w:tcPr>
            <w:tcW w:w="156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(2.2)</w:t>
            </w:r>
          </w:p>
        </w:tc>
        <w:tc>
          <w:tcPr>
            <w:tcW w:w="380" w:type="dxa"/>
            <w:vAlign w:val="bottom"/>
          </w:tcPr>
          <w:p>
            <w:pPr>
              <w:spacing w:after="0"/>
              <w:rPr>
                <w:sz w:val="17"/>
                <w:szCs w:val="17"/>
                <w:color w:val="auto"/>
              </w:rPr>
            </w:pPr>
          </w:p>
        </w:tc>
        <w:tc>
          <w:tcPr>
            <w:tcW w:w="68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(2.2)</w:t>
            </w:r>
          </w:p>
        </w:tc>
      </w:tr>
      <w:tr>
        <w:trPr>
          <w:trHeight w:val="203"/>
        </w:trPr>
        <w:tc>
          <w:tcPr>
            <w:tcW w:w="692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Foreign taxes at a different rate than U.S. federal statutory income tax rate</w:t>
            </w:r>
          </w:p>
        </w:tc>
        <w:tc>
          <w:tcPr>
            <w:tcW w:w="7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554"/>
              <w:spacing w:after="0" w:line="202" w:lineRule="exact"/>
              <w:rPr>
                <w:sz w:val="20"/>
                <w:szCs w:val="20"/>
                <w:color w:val="auto"/>
              </w:rPr>
            </w:pPr>
            <w:r>
              <w:rPr>
                <w:rFonts w:ascii="Arial" w:cs="Arial" w:eastAsia="Arial" w:hAnsi="Arial"/>
                <w:sz w:val="18"/>
                <w:szCs w:val="18"/>
                <w:color w:val="auto"/>
              </w:rPr>
              <w:t>(5.3)</w:t>
            </w:r>
          </w:p>
        </w:tc>
        <w:tc>
          <w:tcPr>
            <w:tcW w:w="1560" w:type="dxa"/>
            <w:vAlign w:val="bottom"/>
            <w:shd w:val="clear" w:color="auto" w:fill="CCEEFF"/>
          </w:tcPr>
          <w:p>
            <w:pPr>
              <w:jc w:val="right"/>
              <w:ind w:right="314"/>
              <w:spacing w:after="0" w:line="202" w:lineRule="exact"/>
              <w:rPr>
                <w:sz w:val="20"/>
                <w:szCs w:val="20"/>
                <w:color w:val="auto"/>
              </w:rPr>
            </w:pPr>
            <w:r>
              <w:rPr>
                <w:rFonts w:ascii="Arial" w:cs="Arial" w:eastAsia="Arial" w:hAnsi="Arial"/>
                <w:sz w:val="18"/>
                <w:szCs w:val="18"/>
                <w:color w:val="auto"/>
              </w:rPr>
              <w:t>(2.3)</w:t>
            </w: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(4.7)</w:t>
            </w:r>
          </w:p>
        </w:tc>
      </w:tr>
      <w:tr>
        <w:trPr>
          <w:trHeight w:val="203"/>
        </w:trPr>
        <w:tc>
          <w:tcPr>
            <w:tcW w:w="69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Tax effect on foreign dividends</w:t>
            </w:r>
          </w:p>
        </w:tc>
        <w:tc>
          <w:tcPr>
            <w:tcW w:w="760" w:type="dxa"/>
            <w:vAlign w:val="bottom"/>
          </w:tcPr>
          <w:p>
            <w:pPr>
              <w:spacing w:after="0"/>
              <w:rPr>
                <w:sz w:val="17"/>
                <w:szCs w:val="17"/>
                <w:color w:val="auto"/>
              </w:rPr>
            </w:pPr>
          </w:p>
        </w:tc>
        <w:tc>
          <w:tcPr>
            <w:tcW w:w="1120" w:type="dxa"/>
            <w:vAlign w:val="bottom"/>
            <w:tcBorders>
              <w:right w:val="single" w:sz="8" w:color="auto"/>
            </w:tcBorders>
          </w:tcPr>
          <w:p>
            <w:pPr>
              <w:jc w:val="right"/>
              <w:ind w:right="614"/>
              <w:spacing w:after="0" w:line="202" w:lineRule="exact"/>
              <w:rPr>
                <w:sz w:val="20"/>
                <w:szCs w:val="20"/>
                <w:color w:val="auto"/>
              </w:rPr>
            </w:pPr>
            <w:r>
              <w:rPr>
                <w:rFonts w:ascii="Arial" w:cs="Arial" w:eastAsia="Arial" w:hAnsi="Arial"/>
                <w:sz w:val="18"/>
                <w:szCs w:val="18"/>
                <w:color w:val="auto"/>
              </w:rPr>
              <w:t>10.2</w:t>
            </w:r>
          </w:p>
        </w:tc>
        <w:tc>
          <w:tcPr>
            <w:tcW w:w="1560" w:type="dxa"/>
            <w:vAlign w:val="bottom"/>
          </w:tcPr>
          <w:p>
            <w:pPr>
              <w:jc w:val="right"/>
              <w:ind w:right="374"/>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68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22.1</w:t>
            </w:r>
          </w:p>
        </w:tc>
      </w:tr>
      <w:tr>
        <w:trPr>
          <w:trHeight w:val="203"/>
        </w:trPr>
        <w:tc>
          <w:tcPr>
            <w:tcW w:w="692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Tax benefit on income attributable to domestic production activities</w:t>
            </w:r>
          </w:p>
        </w:tc>
        <w:tc>
          <w:tcPr>
            <w:tcW w:w="7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554"/>
              <w:spacing w:after="0" w:line="202" w:lineRule="exact"/>
              <w:rPr>
                <w:sz w:val="20"/>
                <w:szCs w:val="20"/>
                <w:color w:val="auto"/>
              </w:rPr>
            </w:pPr>
            <w:r>
              <w:rPr>
                <w:rFonts w:ascii="Arial" w:cs="Arial" w:eastAsia="Arial" w:hAnsi="Arial"/>
                <w:sz w:val="18"/>
                <w:szCs w:val="18"/>
                <w:color w:val="auto"/>
              </w:rPr>
              <w:t>(2.6)</w:t>
            </w:r>
          </w:p>
        </w:tc>
        <w:tc>
          <w:tcPr>
            <w:tcW w:w="1560" w:type="dxa"/>
            <w:vAlign w:val="bottom"/>
            <w:shd w:val="clear" w:color="auto" w:fill="CCEEFF"/>
          </w:tcPr>
          <w:p>
            <w:pPr>
              <w:jc w:val="right"/>
              <w:ind w:right="374"/>
              <w:spacing w:after="0" w:line="202" w:lineRule="exact"/>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(0.5)</w:t>
            </w:r>
          </w:p>
        </w:tc>
      </w:tr>
      <w:tr>
        <w:trPr>
          <w:trHeight w:val="203"/>
        </w:trPr>
        <w:tc>
          <w:tcPr>
            <w:tcW w:w="69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Net adjustments for uncertain tax positions</w:t>
            </w:r>
          </w:p>
        </w:tc>
        <w:tc>
          <w:tcPr>
            <w:tcW w:w="760" w:type="dxa"/>
            <w:vAlign w:val="bottom"/>
          </w:tcPr>
          <w:p>
            <w:pPr>
              <w:spacing w:after="0"/>
              <w:rPr>
                <w:sz w:val="17"/>
                <w:szCs w:val="17"/>
                <w:color w:val="auto"/>
              </w:rPr>
            </w:pPr>
          </w:p>
        </w:tc>
        <w:tc>
          <w:tcPr>
            <w:tcW w:w="1120" w:type="dxa"/>
            <w:vAlign w:val="bottom"/>
            <w:tcBorders>
              <w:right w:val="single" w:sz="8" w:color="auto"/>
            </w:tcBorders>
          </w:tcPr>
          <w:p>
            <w:pPr>
              <w:jc w:val="right"/>
              <w:ind w:right="554"/>
              <w:spacing w:after="0" w:line="202" w:lineRule="exact"/>
              <w:rPr>
                <w:sz w:val="20"/>
                <w:szCs w:val="20"/>
                <w:color w:val="auto"/>
              </w:rPr>
            </w:pPr>
            <w:r>
              <w:rPr>
                <w:rFonts w:ascii="Arial" w:cs="Arial" w:eastAsia="Arial" w:hAnsi="Arial"/>
                <w:sz w:val="18"/>
                <w:szCs w:val="18"/>
                <w:color w:val="auto"/>
              </w:rPr>
              <w:t>(9.7)</w:t>
            </w:r>
          </w:p>
        </w:tc>
        <w:tc>
          <w:tcPr>
            <w:tcW w:w="156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(8.0)</w:t>
            </w:r>
          </w:p>
        </w:tc>
        <w:tc>
          <w:tcPr>
            <w:tcW w:w="380" w:type="dxa"/>
            <w:vAlign w:val="bottom"/>
          </w:tcPr>
          <w:p>
            <w:pPr>
              <w:spacing w:after="0"/>
              <w:rPr>
                <w:sz w:val="17"/>
                <w:szCs w:val="17"/>
                <w:color w:val="auto"/>
              </w:rPr>
            </w:pPr>
          </w:p>
        </w:tc>
        <w:tc>
          <w:tcPr>
            <w:tcW w:w="68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7.2</w:t>
            </w:r>
          </w:p>
        </w:tc>
      </w:tr>
      <w:tr>
        <w:trPr>
          <w:trHeight w:val="203"/>
        </w:trPr>
        <w:tc>
          <w:tcPr>
            <w:tcW w:w="692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effect of rate changes on deferred taxes</w:t>
            </w:r>
          </w:p>
        </w:tc>
        <w:tc>
          <w:tcPr>
            <w:tcW w:w="7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554"/>
              <w:spacing w:after="0" w:line="202" w:lineRule="exact"/>
              <w:rPr>
                <w:sz w:val="20"/>
                <w:szCs w:val="20"/>
                <w:color w:val="auto"/>
              </w:rPr>
            </w:pPr>
            <w:r>
              <w:rPr>
                <w:rFonts w:ascii="Arial" w:cs="Arial" w:eastAsia="Arial" w:hAnsi="Arial"/>
                <w:sz w:val="18"/>
                <w:szCs w:val="18"/>
                <w:color w:val="auto"/>
              </w:rPr>
              <w:t>(2.9)</w:t>
            </w:r>
          </w:p>
        </w:tc>
        <w:tc>
          <w:tcPr>
            <w:tcW w:w="1560" w:type="dxa"/>
            <w:vAlign w:val="bottom"/>
            <w:shd w:val="clear" w:color="auto" w:fill="CCEEFF"/>
          </w:tcPr>
          <w:p>
            <w:pPr>
              <w:jc w:val="right"/>
              <w:ind w:right="314"/>
              <w:spacing w:after="0" w:line="202" w:lineRule="exact"/>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74"/>
              <w:spacing w:after="0" w:line="202" w:lineRule="exact"/>
              <w:rPr>
                <w:sz w:val="20"/>
                <w:szCs w:val="20"/>
                <w:color w:val="auto"/>
              </w:rPr>
            </w:pPr>
            <w:r>
              <w:rPr>
                <w:rFonts w:ascii="Arial" w:cs="Arial" w:eastAsia="Arial" w:hAnsi="Arial"/>
                <w:sz w:val="18"/>
                <w:szCs w:val="18"/>
                <w:color w:val="auto"/>
              </w:rPr>
              <w:t>0.6</w:t>
            </w:r>
          </w:p>
        </w:tc>
      </w:tr>
      <w:tr>
        <w:trPr>
          <w:trHeight w:val="203"/>
        </w:trPr>
        <w:tc>
          <w:tcPr>
            <w:tcW w:w="69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Valuation allowance increases</w:t>
            </w:r>
          </w:p>
        </w:tc>
        <w:tc>
          <w:tcPr>
            <w:tcW w:w="760" w:type="dxa"/>
            <w:vAlign w:val="bottom"/>
          </w:tcPr>
          <w:p>
            <w:pPr>
              <w:spacing w:after="0"/>
              <w:rPr>
                <w:sz w:val="17"/>
                <w:szCs w:val="17"/>
                <w:color w:val="auto"/>
              </w:rPr>
            </w:pPr>
          </w:p>
        </w:tc>
        <w:tc>
          <w:tcPr>
            <w:tcW w:w="1120" w:type="dxa"/>
            <w:vAlign w:val="bottom"/>
            <w:tcBorders>
              <w:right w:val="single" w:sz="8" w:color="auto"/>
            </w:tcBorders>
          </w:tcPr>
          <w:p>
            <w:pPr>
              <w:jc w:val="right"/>
              <w:ind w:right="614"/>
              <w:spacing w:after="0" w:line="202" w:lineRule="exact"/>
              <w:rPr>
                <w:sz w:val="20"/>
                <w:szCs w:val="20"/>
                <w:color w:val="auto"/>
              </w:rPr>
            </w:pPr>
            <w:r>
              <w:rPr>
                <w:rFonts w:ascii="Arial" w:cs="Arial" w:eastAsia="Arial" w:hAnsi="Arial"/>
                <w:sz w:val="18"/>
                <w:szCs w:val="18"/>
                <w:color w:val="auto"/>
              </w:rPr>
              <w:t>16.8</w:t>
            </w:r>
          </w:p>
        </w:tc>
        <w:tc>
          <w:tcPr>
            <w:tcW w:w="1560" w:type="dxa"/>
            <w:vAlign w:val="bottom"/>
          </w:tcPr>
          <w:p>
            <w:pPr>
              <w:jc w:val="right"/>
              <w:ind w:right="374"/>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68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w:t>
            </w:r>
          </w:p>
        </w:tc>
      </w:tr>
      <w:tr>
        <w:trPr>
          <w:trHeight w:val="203"/>
        </w:trPr>
        <w:tc>
          <w:tcPr>
            <w:tcW w:w="6920" w:type="dxa"/>
            <w:vAlign w:val="bottom"/>
            <w:tcBorders>
              <w:bottom w:val="single" w:sz="8" w:color="auto"/>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Miscellaneous other, net</w:t>
            </w:r>
          </w:p>
        </w:tc>
        <w:tc>
          <w:tcPr>
            <w:tcW w:w="7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right w:val="single" w:sz="8" w:color="auto"/>
            </w:tcBorders>
            <w:shd w:val="clear" w:color="auto" w:fill="CCEEFF"/>
          </w:tcPr>
          <w:p>
            <w:pPr>
              <w:jc w:val="right"/>
              <w:ind w:right="614"/>
              <w:spacing w:after="0" w:line="202" w:lineRule="exact"/>
              <w:rPr>
                <w:sz w:val="20"/>
                <w:szCs w:val="20"/>
                <w:color w:val="auto"/>
              </w:rPr>
            </w:pPr>
            <w:r>
              <w:rPr>
                <w:rFonts w:ascii="Arial" w:cs="Arial" w:eastAsia="Arial" w:hAnsi="Arial"/>
                <w:sz w:val="18"/>
                <w:szCs w:val="18"/>
                <w:color w:val="auto"/>
              </w:rPr>
              <w:t>1.6</w:t>
            </w:r>
          </w:p>
        </w:tc>
        <w:tc>
          <w:tcPr>
            <w:tcW w:w="1560" w:type="dxa"/>
            <w:vAlign w:val="bottom"/>
            <w:tcBorders>
              <w:bottom w:val="single" w:sz="8" w:color="auto"/>
            </w:tcBorders>
            <w:shd w:val="clear" w:color="auto" w:fill="CCEEFF"/>
          </w:tcPr>
          <w:p>
            <w:pPr>
              <w:jc w:val="right"/>
              <w:ind w:right="374"/>
              <w:spacing w:after="0" w:line="202" w:lineRule="exact"/>
              <w:rPr>
                <w:sz w:val="20"/>
                <w:szCs w:val="20"/>
                <w:color w:val="auto"/>
              </w:rPr>
            </w:pPr>
            <w:r>
              <w:rPr>
                <w:rFonts w:ascii="Arial" w:cs="Arial" w:eastAsia="Arial" w:hAnsi="Arial"/>
                <w:sz w:val="18"/>
                <w:szCs w:val="18"/>
                <w:color w:val="auto"/>
              </w:rPr>
              <w:t>1.5</w:t>
            </w:r>
          </w:p>
        </w:tc>
        <w:tc>
          <w:tcPr>
            <w:tcW w:w="3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(3.9)</w:t>
            </w:r>
          </w:p>
        </w:tc>
      </w:tr>
      <w:tr>
        <w:trPr>
          <w:trHeight w:val="203"/>
        </w:trPr>
        <w:tc>
          <w:tcPr>
            <w:tcW w:w="69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Income tax (benefit) provision as reported</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554"/>
              <w:spacing w:after="0" w:line="196" w:lineRule="exact"/>
              <w:rPr>
                <w:sz w:val="20"/>
                <w:szCs w:val="20"/>
                <w:color w:val="auto"/>
              </w:rPr>
            </w:pPr>
            <w:r>
              <w:rPr>
                <w:rFonts w:ascii="Arial" w:cs="Arial" w:eastAsia="Arial" w:hAnsi="Arial"/>
                <w:sz w:val="18"/>
                <w:szCs w:val="18"/>
                <w:color w:val="auto"/>
              </w:rPr>
              <w:t>(9.0)</w:t>
            </w:r>
          </w:p>
        </w:tc>
        <w:tc>
          <w:tcPr>
            <w:tcW w:w="1560" w:type="dxa"/>
            <w:vAlign w:val="bottom"/>
            <w:tcBorders>
              <w:bottom w:val="single" w:sz="8" w:color="auto"/>
            </w:tcBorders>
          </w:tcPr>
          <w:p>
            <w:pPr>
              <w:jc w:val="right"/>
              <w:ind w:right="374"/>
              <w:spacing w:after="0" w:line="196" w:lineRule="exact"/>
              <w:rPr>
                <w:sz w:val="20"/>
                <w:szCs w:val="20"/>
                <w:color w:val="auto"/>
              </w:rPr>
            </w:pPr>
            <w:r>
              <w:rPr>
                <w:rFonts w:ascii="Arial" w:cs="Arial" w:eastAsia="Arial" w:hAnsi="Arial"/>
                <w:sz w:val="18"/>
                <w:szCs w:val="18"/>
                <w:color w:val="auto"/>
              </w:rPr>
              <w:t>$ 18.1</w:t>
            </w:r>
          </w:p>
        </w:tc>
        <w:tc>
          <w:tcPr>
            <w:tcW w:w="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74"/>
              <w:spacing w:after="0" w:line="196" w:lineRule="exact"/>
              <w:rPr>
                <w:sz w:val="20"/>
                <w:szCs w:val="20"/>
                <w:color w:val="auto"/>
              </w:rPr>
            </w:pPr>
            <w:r>
              <w:rPr>
                <w:rFonts w:ascii="Arial" w:cs="Arial" w:eastAsia="Arial" w:hAnsi="Arial"/>
                <w:sz w:val="18"/>
                <w:szCs w:val="18"/>
                <w:color w:val="auto"/>
              </w:rPr>
              <w:t>8.1</w:t>
            </w:r>
          </w:p>
        </w:tc>
      </w:tr>
      <w:tr>
        <w:trPr>
          <w:trHeight w:val="203"/>
        </w:trPr>
        <w:tc>
          <w:tcPr>
            <w:tcW w:w="6920" w:type="dxa"/>
            <w:vAlign w:val="bottom"/>
            <w:tcBorders>
              <w:bottom w:val="single" w:sz="8" w:color="auto"/>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Effective income tax rate</w:t>
            </w:r>
          </w:p>
        </w:tc>
        <w:tc>
          <w:tcPr>
            <w:tcW w:w="7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right w:val="single" w:sz="8" w:color="auto"/>
            </w:tcBorders>
            <w:shd w:val="clear" w:color="auto" w:fill="CCEEFF"/>
          </w:tcPr>
          <w:p>
            <w:pPr>
              <w:jc w:val="right"/>
              <w:ind w:right="454"/>
              <w:spacing w:after="0" w:line="202" w:lineRule="exact"/>
              <w:rPr>
                <w:sz w:val="20"/>
                <w:szCs w:val="20"/>
                <w:color w:val="auto"/>
              </w:rPr>
            </w:pPr>
            <w:r>
              <w:rPr>
                <w:rFonts w:ascii="Arial" w:cs="Arial" w:eastAsia="Arial" w:hAnsi="Arial"/>
                <w:sz w:val="18"/>
                <w:szCs w:val="18"/>
                <w:color w:val="auto"/>
              </w:rPr>
              <w:t>20.6%</w:t>
            </w:r>
          </w:p>
        </w:tc>
        <w:tc>
          <w:tcPr>
            <w:tcW w:w="1560" w:type="dxa"/>
            <w:vAlign w:val="bottom"/>
            <w:tcBorders>
              <w:bottom w:val="single" w:sz="8" w:color="auto"/>
            </w:tcBorders>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21.8%</w:t>
            </w:r>
          </w:p>
        </w:tc>
        <w:tc>
          <w:tcPr>
            <w:tcW w:w="3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(26.9)%</w:t>
            </w:r>
          </w:p>
        </w:tc>
      </w:tr>
    </w:tbl>
    <w:p>
      <w:pPr>
        <w:spacing w:after="0" w:line="16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effective tax rate in 2011 was unfavorably impacted due to the recording of valuation allowances related to state and foreign net operating loss carryforwards and an income tax expense on foreign dividends, $9.1 million of which related to foreign dividends received in preparation for the Separation. The 2011 effective rate was favorably impacted by a tax benefit related to conclusion of foreign and state income tax audits and enacted changes in state tax laws. The effective tax rate in 2010 was favorably impacted by a tax benefit related to the final settlement of a U.S. federal income tax audit covering the 2004 to 2007 years.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(UTBs)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(In millions)</w:t>
            </w:r>
          </w:p>
        </w:tc>
        <w:tc>
          <w:tcPr>
            <w:tcW w:w="1520" w:type="dxa"/>
            <w:vAlign w:val="bottom"/>
            <w:tcBorders>
              <w:top w:val="single" w:sz="8" w:color="auto"/>
              <w:bottom w:val="single" w:sz="8" w:color="auto"/>
              <w:right w:val="single" w:sz="8" w:color="auto"/>
            </w:tcBorders>
          </w:tcPr>
          <w:p>
            <w:pPr>
              <w:jc w:val="right"/>
              <w:ind w:right="434"/>
              <w:spacing w:after="0"/>
              <w:rPr>
                <w:sz w:val="20"/>
                <w:szCs w:val="20"/>
                <w:color w:val="auto"/>
              </w:rPr>
            </w:pPr>
            <w:r>
              <w:rPr>
                <w:rFonts w:ascii="Arial" w:cs="Arial" w:eastAsia="Arial" w:hAnsi="Arial"/>
                <w:sz w:val="14"/>
                <w:szCs w:val="14"/>
                <w:i w:val="1"/>
                <w:iCs w:val="1"/>
                <w:color w:val="auto"/>
              </w:rPr>
              <w:t>2011</w:t>
            </w:r>
          </w:p>
        </w:tc>
        <w:tc>
          <w:tcPr>
            <w:tcW w:w="15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color w:val="auto"/>
              </w:rPr>
              <w:t>2010</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color w:val="auto"/>
              </w:rPr>
              <w:t>2009</w:t>
            </w:r>
          </w:p>
        </w:tc>
      </w:tr>
      <w:tr>
        <w:trPr>
          <w:trHeight w:val="196"/>
        </w:trPr>
        <w:tc>
          <w:tcPr>
            <w:tcW w:w="7340" w:type="dxa"/>
            <w:vAlign w:val="bottom"/>
            <w:tcBorders>
              <w:right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Unrecognized tax benefits — beginning of year</w:t>
            </w:r>
          </w:p>
        </w:tc>
        <w:tc>
          <w:tcPr>
            <w:tcW w:w="1520" w:type="dxa"/>
            <w:vAlign w:val="bottom"/>
            <w:tcBorders>
              <w:right w:val="single" w:sz="8" w:color="auto"/>
            </w:tcBorders>
            <w:shd w:val="clear" w:color="auto" w:fill="CCEEFF"/>
          </w:tcPr>
          <w:p>
            <w:pPr>
              <w:jc w:val="right"/>
              <w:ind w:right="434"/>
              <w:spacing w:after="0" w:line="196" w:lineRule="exact"/>
              <w:rPr>
                <w:sz w:val="20"/>
                <w:szCs w:val="20"/>
                <w:color w:val="auto"/>
              </w:rPr>
            </w:pPr>
            <w:r>
              <w:rPr>
                <w:rFonts w:ascii="Arial" w:cs="Arial" w:eastAsia="Arial" w:hAnsi="Arial"/>
                <w:sz w:val="18"/>
                <w:szCs w:val="18"/>
                <w:color w:val="auto"/>
              </w:rPr>
              <w:t>$ 38.8</w:t>
            </w:r>
          </w:p>
        </w:tc>
        <w:tc>
          <w:tcPr>
            <w:tcW w:w="1520" w:type="dxa"/>
            <w:vAlign w:val="bottom"/>
            <w:shd w:val="clear" w:color="auto" w:fill="CCEEFF"/>
          </w:tcPr>
          <w:p>
            <w:pPr>
              <w:jc w:val="right"/>
              <w:ind w:right="434"/>
              <w:spacing w:after="0" w:line="196" w:lineRule="exact"/>
              <w:rPr>
                <w:sz w:val="20"/>
                <w:szCs w:val="20"/>
                <w:color w:val="auto"/>
              </w:rPr>
            </w:pPr>
            <w:r>
              <w:rPr>
                <w:rFonts w:ascii="Arial" w:cs="Arial" w:eastAsia="Arial" w:hAnsi="Arial"/>
                <w:sz w:val="18"/>
                <w:szCs w:val="18"/>
                <w:color w:val="auto"/>
              </w:rPr>
              <w:t>$ 56.3</w:t>
            </w:r>
          </w:p>
        </w:tc>
        <w:tc>
          <w:tcPr>
            <w:tcW w:w="1040" w:type="dxa"/>
            <w:vAlign w:val="bottom"/>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$ 43.9</w:t>
            </w:r>
          </w:p>
        </w:tc>
      </w:tr>
      <w:tr>
        <w:trPr>
          <w:trHeight w:val="203"/>
        </w:trPr>
        <w:tc>
          <w:tcPr>
            <w:tcW w:w="73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Gross additions — current year tax positions</w:t>
            </w:r>
          </w:p>
        </w:tc>
        <w:tc>
          <w:tcPr>
            <w:tcW w:w="1520" w:type="dxa"/>
            <w:vAlign w:val="bottom"/>
            <w:tcBorders>
              <w:right w:val="single" w:sz="8" w:color="auto"/>
            </w:tcBorders>
          </w:tcPr>
          <w:p>
            <w:pPr>
              <w:jc w:val="right"/>
              <w:ind w:right="434"/>
              <w:spacing w:after="0" w:line="202" w:lineRule="exact"/>
              <w:rPr>
                <w:sz w:val="20"/>
                <w:szCs w:val="20"/>
                <w:color w:val="auto"/>
              </w:rPr>
            </w:pPr>
            <w:r>
              <w:rPr>
                <w:rFonts w:ascii="Arial" w:cs="Arial" w:eastAsia="Arial" w:hAnsi="Arial"/>
                <w:sz w:val="18"/>
                <w:szCs w:val="18"/>
                <w:color w:val="auto"/>
              </w:rPr>
              <w:t>2.3</w:t>
            </w:r>
          </w:p>
        </w:tc>
        <w:tc>
          <w:tcPr>
            <w:tcW w:w="1520" w:type="dxa"/>
            <w:vAlign w:val="bottom"/>
          </w:tcPr>
          <w:p>
            <w:pPr>
              <w:jc w:val="right"/>
              <w:ind w:right="434"/>
              <w:spacing w:after="0" w:line="202" w:lineRule="exact"/>
              <w:rPr>
                <w:sz w:val="20"/>
                <w:szCs w:val="20"/>
                <w:color w:val="auto"/>
              </w:rPr>
            </w:pPr>
            <w:r>
              <w:rPr>
                <w:rFonts w:ascii="Arial" w:cs="Arial" w:eastAsia="Arial" w:hAnsi="Arial"/>
                <w:sz w:val="18"/>
                <w:szCs w:val="18"/>
                <w:color w:val="auto"/>
              </w:rPr>
              <w:t>2.8</w:t>
            </w:r>
          </w:p>
        </w:tc>
        <w:tc>
          <w:tcPr>
            <w:tcW w:w="10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3.4</w:t>
            </w:r>
          </w:p>
        </w:tc>
      </w:tr>
      <w:tr>
        <w:trPr>
          <w:trHeight w:val="203"/>
        </w:trPr>
        <w:tc>
          <w:tcPr>
            <w:tcW w:w="7340" w:type="dxa"/>
            <w:vAlign w:val="bottom"/>
            <w:tcBorders>
              <w:right w:val="single" w:sz="8" w:color="auto"/>
            </w:tcBorders>
            <w:shd w:val="clear" w:color="auto" w:fill="CCEEFF"/>
          </w:tcPr>
          <w:p>
            <w:pPr>
              <w:ind w:left="120"/>
              <w:spacing w:after="0" w:line="202" w:lineRule="exact"/>
              <w:rPr>
                <w:sz w:val="20"/>
                <w:szCs w:val="20"/>
                <w:color w:val="auto"/>
              </w:rPr>
            </w:pPr>
            <w:r>
              <w:rPr>
                <w:rFonts w:ascii="Arial" w:cs="Arial" w:eastAsia="Arial" w:hAnsi="Arial"/>
                <w:sz w:val="18"/>
                <w:szCs w:val="18"/>
                <w:color w:val="auto"/>
              </w:rPr>
              <w:t>Gross additions — prior year tax positions</w:t>
            </w:r>
          </w:p>
        </w:tc>
        <w:tc>
          <w:tcPr>
            <w:tcW w:w="1520" w:type="dxa"/>
            <w:vAlign w:val="bottom"/>
            <w:tcBorders>
              <w:right w:val="single" w:sz="8" w:color="auto"/>
            </w:tcBorders>
            <w:shd w:val="clear" w:color="auto" w:fill="CCEEFF"/>
          </w:tcPr>
          <w:p>
            <w:pPr>
              <w:jc w:val="right"/>
              <w:ind w:right="434"/>
              <w:spacing w:after="0" w:line="202" w:lineRule="exact"/>
              <w:rPr>
                <w:sz w:val="20"/>
                <w:szCs w:val="20"/>
                <w:color w:val="auto"/>
              </w:rPr>
            </w:pPr>
            <w:r>
              <w:rPr>
                <w:rFonts w:ascii="Arial" w:cs="Arial" w:eastAsia="Arial" w:hAnsi="Arial"/>
                <w:sz w:val="18"/>
                <w:szCs w:val="18"/>
                <w:color w:val="auto"/>
              </w:rPr>
              <w:t>7.2</w:t>
            </w:r>
          </w:p>
        </w:tc>
        <w:tc>
          <w:tcPr>
            <w:tcW w:w="1520" w:type="dxa"/>
            <w:vAlign w:val="bottom"/>
            <w:shd w:val="clear" w:color="auto" w:fill="CCEEFF"/>
          </w:tcPr>
          <w:p>
            <w:pPr>
              <w:jc w:val="right"/>
              <w:ind w:right="434"/>
              <w:spacing w:after="0" w:line="202" w:lineRule="exact"/>
              <w:rPr>
                <w:sz w:val="20"/>
                <w:szCs w:val="20"/>
                <w:color w:val="auto"/>
              </w:rPr>
            </w:pPr>
            <w:r>
              <w:rPr>
                <w:rFonts w:ascii="Arial" w:cs="Arial" w:eastAsia="Arial" w:hAnsi="Arial"/>
                <w:sz w:val="18"/>
                <w:szCs w:val="18"/>
                <w:color w:val="auto"/>
              </w:rPr>
              <w:t>1.5</w:t>
            </w:r>
          </w:p>
        </w:tc>
        <w:tc>
          <w:tcPr>
            <w:tcW w:w="104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12.3</w:t>
            </w:r>
          </w:p>
        </w:tc>
      </w:tr>
      <w:tr>
        <w:trPr>
          <w:trHeight w:val="203"/>
        </w:trPr>
        <w:tc>
          <w:tcPr>
            <w:tcW w:w="73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Gross reductions — prior year tax positions</w:t>
            </w:r>
          </w:p>
        </w:tc>
        <w:tc>
          <w:tcPr>
            <w:tcW w:w="1520" w:type="dxa"/>
            <w:vAlign w:val="bottom"/>
            <w:tcBorders>
              <w:right w:val="single" w:sz="8" w:color="auto"/>
            </w:tcBorders>
          </w:tcPr>
          <w:p>
            <w:pPr>
              <w:jc w:val="right"/>
              <w:ind w:right="374"/>
              <w:spacing w:after="0" w:line="202" w:lineRule="exact"/>
              <w:rPr>
                <w:sz w:val="20"/>
                <w:szCs w:val="20"/>
                <w:color w:val="auto"/>
              </w:rPr>
            </w:pPr>
            <w:r>
              <w:rPr>
                <w:rFonts w:ascii="Arial" w:cs="Arial" w:eastAsia="Arial" w:hAnsi="Arial"/>
                <w:sz w:val="18"/>
                <w:szCs w:val="18"/>
                <w:color w:val="auto"/>
              </w:rPr>
              <w:t>(12.0)</w:t>
            </w:r>
          </w:p>
        </w:tc>
        <w:tc>
          <w:tcPr>
            <w:tcW w:w="1520" w:type="dxa"/>
            <w:vAlign w:val="bottom"/>
          </w:tcPr>
          <w:p>
            <w:pPr>
              <w:jc w:val="right"/>
              <w:ind w:right="374"/>
              <w:spacing w:after="0" w:line="202" w:lineRule="exact"/>
              <w:rPr>
                <w:sz w:val="20"/>
                <w:szCs w:val="20"/>
                <w:color w:val="auto"/>
              </w:rPr>
            </w:pPr>
            <w:r>
              <w:rPr>
                <w:rFonts w:ascii="Arial" w:cs="Arial" w:eastAsia="Arial" w:hAnsi="Arial"/>
                <w:sz w:val="18"/>
                <w:szCs w:val="18"/>
                <w:color w:val="auto"/>
              </w:rPr>
              <w:t>(1.0)</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03"/>
        </w:trPr>
        <w:tc>
          <w:tcPr>
            <w:tcW w:w="7340" w:type="dxa"/>
            <w:vAlign w:val="bottom"/>
            <w:tcBorders>
              <w:right w:val="single" w:sz="8" w:color="auto"/>
            </w:tcBorders>
            <w:shd w:val="clear" w:color="auto" w:fill="CCEEFF"/>
          </w:tcPr>
          <w:p>
            <w:pPr>
              <w:ind w:left="120"/>
              <w:spacing w:after="0" w:line="202" w:lineRule="exact"/>
              <w:rPr>
                <w:sz w:val="20"/>
                <w:szCs w:val="20"/>
                <w:color w:val="auto"/>
              </w:rPr>
            </w:pPr>
            <w:r>
              <w:rPr>
                <w:rFonts w:ascii="Arial" w:cs="Arial" w:eastAsia="Arial" w:hAnsi="Arial"/>
                <w:sz w:val="18"/>
                <w:szCs w:val="18"/>
                <w:color w:val="auto"/>
              </w:rPr>
              <w:t>Gross reductions — settlements with taxing authorities</w:t>
            </w:r>
          </w:p>
        </w:tc>
        <w:tc>
          <w:tcPr>
            <w:tcW w:w="1520" w:type="dxa"/>
            <w:vAlign w:val="bottom"/>
            <w:tcBorders>
              <w:right w:val="single" w:sz="8" w:color="auto"/>
            </w:tcBorders>
            <w:shd w:val="clear" w:color="auto" w:fill="CCEEFF"/>
          </w:tcPr>
          <w:p>
            <w:pPr>
              <w:jc w:val="right"/>
              <w:ind w:right="374"/>
              <w:spacing w:after="0" w:line="202" w:lineRule="exact"/>
              <w:rPr>
                <w:sz w:val="20"/>
                <w:szCs w:val="20"/>
                <w:color w:val="auto"/>
              </w:rPr>
            </w:pPr>
            <w:r>
              <w:rPr>
                <w:rFonts w:ascii="Arial" w:cs="Arial" w:eastAsia="Arial" w:hAnsi="Arial"/>
                <w:sz w:val="18"/>
                <w:szCs w:val="18"/>
                <w:color w:val="auto"/>
              </w:rPr>
              <w:t>(0.4)</w:t>
            </w:r>
          </w:p>
        </w:tc>
        <w:tc>
          <w:tcPr>
            <w:tcW w:w="1520" w:type="dxa"/>
            <w:vAlign w:val="bottom"/>
            <w:shd w:val="clear" w:color="auto" w:fill="CCEEFF"/>
          </w:tcPr>
          <w:p>
            <w:pPr>
              <w:jc w:val="right"/>
              <w:ind w:right="374"/>
              <w:spacing w:after="0" w:line="202" w:lineRule="exact"/>
              <w:rPr>
                <w:sz w:val="20"/>
                <w:szCs w:val="20"/>
                <w:color w:val="auto"/>
              </w:rPr>
            </w:pPr>
            <w:r>
              <w:rPr>
                <w:rFonts w:ascii="Arial" w:cs="Arial" w:eastAsia="Arial" w:hAnsi="Arial"/>
                <w:sz w:val="18"/>
                <w:szCs w:val="18"/>
                <w:color w:val="auto"/>
              </w:rPr>
              <w:t>(19.9)</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r>
      <w:tr>
        <w:trPr>
          <w:trHeight w:val="203"/>
        </w:trPr>
        <w:tc>
          <w:tcPr>
            <w:tcW w:w="73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Impact of change in foreign exchange rates</w:t>
            </w:r>
          </w:p>
        </w:tc>
        <w:tc>
          <w:tcPr>
            <w:tcW w:w="1520" w:type="dxa"/>
            <w:vAlign w:val="bottom"/>
            <w:tcBorders>
              <w:right w:val="single" w:sz="8" w:color="auto"/>
            </w:tcBorders>
          </w:tcPr>
          <w:p>
            <w:pPr>
              <w:jc w:val="right"/>
              <w:ind w:right="374"/>
              <w:spacing w:after="0" w:line="202" w:lineRule="exact"/>
              <w:rPr>
                <w:sz w:val="20"/>
                <w:szCs w:val="20"/>
                <w:color w:val="auto"/>
              </w:rPr>
            </w:pPr>
            <w:r>
              <w:rPr>
                <w:rFonts w:ascii="Arial" w:cs="Arial" w:eastAsia="Arial" w:hAnsi="Arial"/>
                <w:sz w:val="18"/>
                <w:szCs w:val="18"/>
                <w:color w:val="auto"/>
              </w:rPr>
              <w:t>(0.5)</w:t>
            </w:r>
          </w:p>
        </w:tc>
        <w:tc>
          <w:tcPr>
            <w:tcW w:w="1520" w:type="dxa"/>
            <w:vAlign w:val="bottom"/>
          </w:tcPr>
          <w:p>
            <w:pPr>
              <w:jc w:val="right"/>
              <w:ind w:right="434"/>
              <w:spacing w:after="0" w:line="202" w:lineRule="exact"/>
              <w:rPr>
                <w:sz w:val="20"/>
                <w:szCs w:val="20"/>
                <w:color w:val="auto"/>
              </w:rPr>
            </w:pPr>
            <w:r>
              <w:rPr>
                <w:rFonts w:ascii="Arial" w:cs="Arial" w:eastAsia="Arial" w:hAnsi="Arial"/>
                <w:sz w:val="18"/>
                <w:szCs w:val="18"/>
                <w:color w:val="auto"/>
              </w:rPr>
              <w:t>1.2</w:t>
            </w:r>
          </w:p>
        </w:tc>
        <w:tc>
          <w:tcPr>
            <w:tcW w:w="10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0.9</w:t>
            </w:r>
          </w:p>
        </w:tc>
      </w:tr>
      <w:tr>
        <w:trPr>
          <w:trHeight w:val="203"/>
        </w:trPr>
        <w:tc>
          <w:tcPr>
            <w:tcW w:w="7340" w:type="dxa"/>
            <w:vAlign w:val="bottom"/>
            <w:tcBorders>
              <w:bottom w:val="single" w:sz="8" w:color="auto"/>
              <w:right w:val="single" w:sz="8" w:color="auto"/>
            </w:tcBorders>
            <w:shd w:val="clear" w:color="auto" w:fill="CCEEFF"/>
          </w:tcPr>
          <w:p>
            <w:pPr>
              <w:ind w:left="120"/>
              <w:spacing w:after="0" w:line="202" w:lineRule="exact"/>
              <w:rPr>
                <w:sz w:val="20"/>
                <w:szCs w:val="20"/>
                <w:color w:val="auto"/>
              </w:rPr>
            </w:pPr>
            <w:r>
              <w:rPr>
                <w:rFonts w:ascii="Arial" w:cs="Arial" w:eastAsia="Arial" w:hAnsi="Arial"/>
                <w:sz w:val="18"/>
                <w:szCs w:val="18"/>
                <w:color w:val="auto"/>
              </w:rPr>
              <w:t>Impact due to expiration of statutes of limitations</w:t>
            </w:r>
          </w:p>
        </w:tc>
        <w:tc>
          <w:tcPr>
            <w:tcW w:w="1520" w:type="dxa"/>
            <w:vAlign w:val="bottom"/>
            <w:tcBorders>
              <w:bottom w:val="single" w:sz="8" w:color="auto"/>
              <w:right w:val="single" w:sz="8" w:color="auto"/>
            </w:tcBorders>
            <w:shd w:val="clear" w:color="auto" w:fill="CCEEFF"/>
          </w:tcPr>
          <w:p>
            <w:pPr>
              <w:jc w:val="right"/>
              <w:ind w:right="434"/>
              <w:spacing w:after="0" w:line="202"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374"/>
              <w:spacing w:after="0" w:line="202" w:lineRule="exact"/>
              <w:rPr>
                <w:sz w:val="20"/>
                <w:szCs w:val="20"/>
                <w:color w:val="auto"/>
              </w:rPr>
            </w:pPr>
            <w:r>
              <w:rPr>
                <w:rFonts w:ascii="Arial" w:cs="Arial" w:eastAsia="Arial" w:hAnsi="Arial"/>
                <w:sz w:val="18"/>
                <w:szCs w:val="18"/>
                <w:color w:val="auto"/>
              </w:rPr>
              <w:t>(2.1)</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(0.7)</w:t>
            </w:r>
          </w:p>
        </w:tc>
      </w:tr>
      <w:tr>
        <w:trPr>
          <w:trHeight w:val="203"/>
        </w:trPr>
        <w:tc>
          <w:tcPr>
            <w:tcW w:w="734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Unrecognized tax benefits — end of year</w:t>
            </w:r>
          </w:p>
        </w:tc>
        <w:tc>
          <w:tcPr>
            <w:tcW w:w="1520" w:type="dxa"/>
            <w:vAlign w:val="bottom"/>
            <w:tcBorders>
              <w:bottom w:val="single" w:sz="8" w:color="auto"/>
              <w:right w:val="single" w:sz="8" w:color="auto"/>
            </w:tcBorders>
          </w:tcPr>
          <w:p>
            <w:pPr>
              <w:jc w:val="right"/>
              <w:ind w:right="434"/>
              <w:spacing w:after="0" w:line="196" w:lineRule="exact"/>
              <w:rPr>
                <w:sz w:val="20"/>
                <w:szCs w:val="20"/>
                <w:color w:val="auto"/>
              </w:rPr>
            </w:pPr>
            <w:r>
              <w:rPr>
                <w:rFonts w:ascii="Arial" w:cs="Arial" w:eastAsia="Arial" w:hAnsi="Arial"/>
                <w:sz w:val="18"/>
                <w:szCs w:val="18"/>
                <w:color w:val="auto"/>
              </w:rPr>
              <w:t>$ 35.4</w:t>
            </w:r>
          </w:p>
        </w:tc>
        <w:tc>
          <w:tcPr>
            <w:tcW w:w="1520" w:type="dxa"/>
            <w:vAlign w:val="bottom"/>
            <w:tcBorders>
              <w:bottom w:val="single" w:sz="8" w:color="auto"/>
            </w:tcBorders>
          </w:tcPr>
          <w:p>
            <w:pPr>
              <w:jc w:val="right"/>
              <w:ind w:right="434"/>
              <w:spacing w:after="0" w:line="196" w:lineRule="exact"/>
              <w:rPr>
                <w:sz w:val="20"/>
                <w:szCs w:val="20"/>
                <w:color w:val="auto"/>
              </w:rPr>
            </w:pPr>
            <w:r>
              <w:rPr>
                <w:rFonts w:ascii="Arial" w:cs="Arial" w:eastAsia="Arial" w:hAnsi="Arial"/>
                <w:sz w:val="18"/>
                <w:szCs w:val="18"/>
                <w:color w:val="auto"/>
              </w:rPr>
              <w:t>$ 38.8</w:t>
            </w:r>
          </w:p>
        </w:tc>
        <w:tc>
          <w:tcPr>
            <w:tcW w:w="10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$ 56.3</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amount of UTBs that, if recognized as of December 31, 2011, would affect the Company’s effective tax rate was $31.5 million.</w:t>
      </w:r>
    </w:p>
    <w:p>
      <w:pPr>
        <w:spacing w:after="0" w:line="15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It is reasonably possible that, within the next twelve months, total UTBs may decrease in the range of $3 million to $15 million primarily as a result of the conclusion of U.S. federal, state and foreign income tax proceedings.</w:t>
      </w:r>
    </w:p>
    <w:p>
      <w:pPr>
        <w:spacing w:after="0" w:line="155"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We classify interest and penalty accruals related to UTBs as income tax expense. In 2011, we recognized an interest and penalty benefit of approximately $1.4 million, primarily driven by audit resolutions. In 2010 and 2009, we recognized interest benefit of $0.8 million and interest expense of $3.0 million, respectively. At December 31, 2011 and 2010, we had accruals for the payment of interest and penalties of $11.9 million and $13.3 million, respectively.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We file income tax returns in the U.S. federal jurisdiction, and various states and foreign jurisdictions. The U.S. Internal Revenue Service (“IRS”) is currently examining the Company’s 2008 and 2009 federal income tax returns. We have tax years that remain open and subject to examination by tax authorities in Canada for years after 2005.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Income taxes in 2011, 2010 and 2009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405"/>
        </w:trPr>
        <w:tc>
          <w:tcPr>
            <w:tcW w:w="80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i w:val="1"/>
                <w:iCs w:val="1"/>
                <w:color w:val="auto"/>
              </w:rPr>
              <w:t>(In millions)</w:t>
            </w:r>
          </w:p>
        </w:tc>
        <w:tc>
          <w:tcPr>
            <w:tcW w:w="4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right w:val="single" w:sz="8" w:color="auto"/>
            </w:tcBorders>
          </w:tcPr>
          <w:p>
            <w:pPr>
              <w:jc w:val="right"/>
              <w:ind w:right="355"/>
              <w:spacing w:after="0"/>
              <w:rPr>
                <w:sz w:val="20"/>
                <w:szCs w:val="20"/>
                <w:color w:val="auto"/>
              </w:rPr>
            </w:pPr>
            <w:r>
              <w:rPr>
                <w:rFonts w:ascii="Arial" w:cs="Arial" w:eastAsia="Arial" w:hAnsi="Arial"/>
                <w:sz w:val="14"/>
                <w:szCs w:val="14"/>
                <w:i w:val="1"/>
                <w:iCs w:val="1"/>
                <w:color w:val="auto"/>
              </w:rPr>
              <w:t>2011</w:t>
            </w:r>
          </w:p>
        </w:tc>
        <w:tc>
          <w:tcPr>
            <w:tcW w:w="120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color w:val="auto"/>
              </w:rPr>
              <w:t>2010</w:t>
            </w:r>
          </w:p>
        </w:tc>
        <w:tc>
          <w:tcPr>
            <w:tcW w:w="32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4"/>
                <w:szCs w:val="14"/>
                <w:color w:val="auto"/>
              </w:rPr>
              <w:t>2009</w:t>
            </w:r>
          </w:p>
        </w:tc>
      </w:tr>
      <w:tr>
        <w:trPr>
          <w:trHeight w:val="196"/>
        </w:trPr>
        <w:tc>
          <w:tcPr>
            <w:tcW w:w="8060" w:type="dxa"/>
            <w:vAlign w:val="bottom"/>
            <w:tcBorders>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4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03"/>
        </w:trPr>
        <w:tc>
          <w:tcPr>
            <w:tcW w:w="806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Federal</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tcPr>
          <w:p>
            <w:pPr>
              <w:jc w:val="right"/>
              <w:ind w:right="355"/>
              <w:spacing w:after="0" w:line="202" w:lineRule="exact"/>
              <w:rPr>
                <w:sz w:val="20"/>
                <w:szCs w:val="20"/>
                <w:color w:val="auto"/>
              </w:rPr>
            </w:pPr>
            <w:r>
              <w:rPr>
                <w:rFonts w:ascii="Arial" w:cs="Arial" w:eastAsia="Arial" w:hAnsi="Arial"/>
                <w:sz w:val="18"/>
                <w:szCs w:val="18"/>
                <w:color w:val="auto"/>
              </w:rPr>
              <w:t>26.0</w:t>
            </w:r>
          </w:p>
        </w:tc>
        <w:tc>
          <w:tcPr>
            <w:tcW w:w="120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$(36.5)</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15.8</w:t>
            </w:r>
          </w:p>
        </w:tc>
      </w:tr>
      <w:tr>
        <w:trPr>
          <w:trHeight w:val="203"/>
        </w:trPr>
        <w:tc>
          <w:tcPr>
            <w:tcW w:w="8060" w:type="dxa"/>
            <w:vAlign w:val="bottom"/>
            <w:tcBorders>
              <w:right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Foreign</w:t>
            </w:r>
          </w:p>
        </w:tc>
        <w:tc>
          <w:tcPr>
            <w:tcW w:w="4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ind w:right="355"/>
              <w:spacing w:after="0" w:line="202" w:lineRule="exact"/>
              <w:rPr>
                <w:sz w:val="20"/>
                <w:szCs w:val="20"/>
                <w:color w:val="auto"/>
              </w:rPr>
            </w:pPr>
            <w:r>
              <w:rPr>
                <w:rFonts w:ascii="Arial" w:cs="Arial" w:eastAsia="Arial" w:hAnsi="Arial"/>
                <w:sz w:val="18"/>
                <w:szCs w:val="18"/>
                <w:color w:val="auto"/>
              </w:rPr>
              <w:t>8.9</w:t>
            </w:r>
          </w:p>
        </w:tc>
        <w:tc>
          <w:tcPr>
            <w:tcW w:w="1200" w:type="dxa"/>
            <w:vAlign w:val="bottom"/>
            <w:shd w:val="clear" w:color="auto" w:fill="CCEEFF"/>
          </w:tcPr>
          <w:p>
            <w:pPr>
              <w:jc w:val="right"/>
              <w:ind w:right="215"/>
              <w:spacing w:after="0" w:line="202" w:lineRule="exact"/>
              <w:rPr>
                <w:sz w:val="20"/>
                <w:szCs w:val="20"/>
                <w:color w:val="auto"/>
              </w:rPr>
            </w:pPr>
            <w:r>
              <w:rPr>
                <w:rFonts w:ascii="Arial" w:cs="Arial" w:eastAsia="Arial" w:hAnsi="Arial"/>
                <w:sz w:val="18"/>
                <w:szCs w:val="18"/>
                <w:color w:val="auto"/>
              </w:rPr>
              <w:t>25.5</w:t>
            </w: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23.0</w:t>
            </w:r>
          </w:p>
        </w:tc>
      </w:tr>
      <w:tr>
        <w:trPr>
          <w:trHeight w:val="203"/>
        </w:trPr>
        <w:tc>
          <w:tcPr>
            <w:tcW w:w="806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State and other</w:t>
            </w:r>
          </w:p>
        </w:tc>
        <w:tc>
          <w:tcPr>
            <w:tcW w:w="480" w:type="dxa"/>
            <w:vAlign w:val="bottom"/>
          </w:tcPr>
          <w:p>
            <w:pPr>
              <w:spacing w:after="0"/>
              <w:rPr>
                <w:sz w:val="17"/>
                <w:szCs w:val="17"/>
                <w:color w:val="auto"/>
              </w:rPr>
            </w:pPr>
          </w:p>
        </w:tc>
        <w:tc>
          <w:tcPr>
            <w:tcW w:w="840" w:type="dxa"/>
            <w:vAlign w:val="bottom"/>
            <w:tcBorders>
              <w:right w:val="single" w:sz="8" w:color="auto"/>
            </w:tcBorders>
          </w:tcPr>
          <w:p>
            <w:pPr>
              <w:jc w:val="right"/>
              <w:ind w:right="355"/>
              <w:spacing w:after="0" w:line="202" w:lineRule="exact"/>
              <w:rPr>
                <w:sz w:val="20"/>
                <w:szCs w:val="20"/>
                <w:color w:val="auto"/>
              </w:rPr>
            </w:pPr>
            <w:r>
              <w:rPr>
                <w:rFonts w:ascii="Arial" w:cs="Arial" w:eastAsia="Arial" w:hAnsi="Arial"/>
                <w:sz w:val="18"/>
                <w:szCs w:val="18"/>
                <w:color w:val="auto"/>
              </w:rPr>
              <w:t>16.9</w:t>
            </w:r>
          </w:p>
        </w:tc>
        <w:tc>
          <w:tcPr>
            <w:tcW w:w="120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(0.9)</w:t>
            </w:r>
          </w:p>
        </w:tc>
        <w:tc>
          <w:tcPr>
            <w:tcW w:w="3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r>
      <w:tr>
        <w:trPr>
          <w:trHeight w:val="203"/>
        </w:trPr>
        <w:tc>
          <w:tcPr>
            <w:tcW w:w="806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Deferred</w:t>
            </w:r>
          </w:p>
        </w:tc>
        <w:tc>
          <w:tcPr>
            <w:tcW w:w="4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03"/>
        </w:trPr>
        <w:tc>
          <w:tcPr>
            <w:tcW w:w="806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Federal, state and other</w:t>
            </w:r>
          </w:p>
        </w:tc>
        <w:tc>
          <w:tcPr>
            <w:tcW w:w="480" w:type="dxa"/>
            <w:vAlign w:val="bottom"/>
          </w:tcPr>
          <w:p>
            <w:pPr>
              <w:spacing w:after="0"/>
              <w:rPr>
                <w:sz w:val="17"/>
                <w:szCs w:val="17"/>
                <w:color w:val="auto"/>
              </w:rPr>
            </w:pPr>
          </w:p>
        </w:tc>
        <w:tc>
          <w:tcPr>
            <w:tcW w:w="840" w:type="dxa"/>
            <w:vAlign w:val="bottom"/>
            <w:tcBorders>
              <w:right w:val="single" w:sz="8" w:color="auto"/>
            </w:tcBorders>
          </w:tcPr>
          <w:p>
            <w:pPr>
              <w:jc w:val="right"/>
              <w:ind w:right="295"/>
              <w:spacing w:after="0" w:line="202" w:lineRule="exact"/>
              <w:rPr>
                <w:sz w:val="20"/>
                <w:szCs w:val="20"/>
                <w:color w:val="auto"/>
              </w:rPr>
            </w:pPr>
            <w:r>
              <w:rPr>
                <w:rFonts w:ascii="Arial" w:cs="Arial" w:eastAsia="Arial" w:hAnsi="Arial"/>
                <w:sz w:val="18"/>
                <w:szCs w:val="18"/>
                <w:color w:val="auto"/>
                <w:w w:val="93"/>
              </w:rPr>
              <w:t>(66.8)</w:t>
            </w:r>
          </w:p>
        </w:tc>
        <w:tc>
          <w:tcPr>
            <w:tcW w:w="120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33.6</w:t>
            </w:r>
          </w:p>
        </w:tc>
        <w:tc>
          <w:tcPr>
            <w:tcW w:w="3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7"/>
              </w:rPr>
              <w:t>(24.4)</w:t>
            </w:r>
          </w:p>
        </w:tc>
      </w:tr>
      <w:tr>
        <w:trPr>
          <w:trHeight w:val="203"/>
        </w:trPr>
        <w:tc>
          <w:tcPr>
            <w:tcW w:w="8060" w:type="dxa"/>
            <w:vAlign w:val="bottom"/>
            <w:tcBorders>
              <w:bottom w:val="single" w:sz="8" w:color="auto"/>
              <w:right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Foreign</w:t>
            </w:r>
          </w:p>
        </w:tc>
        <w:tc>
          <w:tcPr>
            <w:tcW w:w="4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right w:val="single" w:sz="8" w:color="auto"/>
            </w:tcBorders>
            <w:shd w:val="clear" w:color="auto" w:fill="CCEEFF"/>
          </w:tcPr>
          <w:p>
            <w:pPr>
              <w:jc w:val="right"/>
              <w:ind w:right="355"/>
              <w:spacing w:after="0" w:line="202" w:lineRule="exact"/>
              <w:rPr>
                <w:sz w:val="20"/>
                <w:szCs w:val="20"/>
                <w:color w:val="auto"/>
              </w:rPr>
            </w:pPr>
            <w:r>
              <w:rPr>
                <w:rFonts w:ascii="Arial" w:cs="Arial" w:eastAsia="Arial" w:hAnsi="Arial"/>
                <w:sz w:val="18"/>
                <w:szCs w:val="18"/>
                <w:color w:val="auto"/>
              </w:rPr>
              <w:t>6.0</w:t>
            </w:r>
          </w:p>
        </w:tc>
        <w:tc>
          <w:tcPr>
            <w:tcW w:w="1200" w:type="dxa"/>
            <w:vAlign w:val="bottom"/>
            <w:tcBorders>
              <w:bottom w:val="single" w:sz="8" w:color="auto"/>
            </w:tcBorders>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(3.6)</w:t>
            </w:r>
          </w:p>
        </w:tc>
        <w:tc>
          <w:tcPr>
            <w:tcW w:w="3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80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Total income tax (benefit) provision</w:t>
            </w: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295"/>
              <w:spacing w:after="0" w:line="196" w:lineRule="exact"/>
              <w:rPr>
                <w:sz w:val="20"/>
                <w:szCs w:val="20"/>
                <w:color w:val="auto"/>
              </w:rPr>
            </w:pPr>
            <w:r>
              <w:rPr>
                <w:rFonts w:ascii="Arial" w:cs="Arial" w:eastAsia="Arial" w:hAnsi="Arial"/>
                <w:sz w:val="18"/>
                <w:szCs w:val="18"/>
                <w:color w:val="auto"/>
              </w:rPr>
              <w:t>(9.0)</w:t>
            </w:r>
          </w:p>
        </w:tc>
        <w:tc>
          <w:tcPr>
            <w:tcW w:w="1200" w:type="dxa"/>
            <w:vAlign w:val="bottom"/>
            <w:tcBorders>
              <w:bottom w:val="single" w:sz="8" w:color="auto"/>
            </w:tcBorders>
          </w:tcPr>
          <w:p>
            <w:pPr>
              <w:jc w:val="right"/>
              <w:ind w:right="215"/>
              <w:spacing w:after="0" w:line="196" w:lineRule="exact"/>
              <w:rPr>
                <w:sz w:val="20"/>
                <w:szCs w:val="20"/>
                <w:color w:val="auto"/>
              </w:rPr>
            </w:pPr>
            <w:r>
              <w:rPr>
                <w:rFonts w:ascii="Arial" w:cs="Arial" w:eastAsia="Arial" w:hAnsi="Arial"/>
                <w:sz w:val="18"/>
                <w:szCs w:val="18"/>
                <w:color w:val="auto"/>
              </w:rPr>
              <w:t>$ 18.1</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15"/>
              <w:spacing w:after="0" w:line="196" w:lineRule="exact"/>
              <w:rPr>
                <w:sz w:val="20"/>
                <w:szCs w:val="20"/>
                <w:color w:val="auto"/>
              </w:rPr>
            </w:pPr>
            <w:r>
              <w:rPr>
                <w:rFonts w:ascii="Arial" w:cs="Arial" w:eastAsia="Arial" w:hAnsi="Arial"/>
                <w:sz w:val="18"/>
                <w:szCs w:val="18"/>
                <w:color w:val="auto"/>
              </w:rPr>
              <w:t>8.1</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deferred tax assets (liabilities) as of December 31, 2011 and 2010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405"/>
        </w:trPr>
        <w:tc>
          <w:tcPr>
            <w:tcW w:w="85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i w:val="1"/>
                <w:iCs w:val="1"/>
                <w:color w:val="auto"/>
              </w:rPr>
              <w:t>(In millions)</w:t>
            </w:r>
          </w:p>
        </w:tc>
        <w:tc>
          <w:tcPr>
            <w:tcW w:w="62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right w:val="single" w:sz="8" w:color="auto"/>
            </w:tcBorders>
          </w:tcPr>
          <w:p>
            <w:pPr>
              <w:jc w:val="right"/>
              <w:ind w:right="473"/>
              <w:spacing w:after="0"/>
              <w:rPr>
                <w:sz w:val="20"/>
                <w:szCs w:val="20"/>
                <w:color w:val="auto"/>
              </w:rPr>
            </w:pPr>
            <w:r>
              <w:rPr>
                <w:rFonts w:ascii="Arial" w:cs="Arial" w:eastAsia="Arial" w:hAnsi="Arial"/>
                <w:sz w:val="14"/>
                <w:szCs w:val="14"/>
                <w:i w:val="1"/>
                <w:iCs w:val="1"/>
                <w:color w:val="auto"/>
              </w:rPr>
              <w:t>2011</w:t>
            </w:r>
          </w:p>
        </w:tc>
        <w:tc>
          <w:tcPr>
            <w:tcW w:w="60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color w:val="auto"/>
              </w:rPr>
              <w:t>2010</w:t>
            </w:r>
          </w:p>
        </w:tc>
      </w:tr>
      <w:tr>
        <w:trPr>
          <w:trHeight w:val="196"/>
        </w:trPr>
        <w:tc>
          <w:tcPr>
            <w:tcW w:w="8520" w:type="dxa"/>
            <w:vAlign w:val="bottom"/>
            <w:tcBorders>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6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3"/>
        </w:trPr>
        <w:tc>
          <w:tcPr>
            <w:tcW w:w="852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Compensation and benefits</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473"/>
              <w:spacing w:after="0" w:line="202" w:lineRule="exact"/>
              <w:rPr>
                <w:sz w:val="20"/>
                <w:szCs w:val="20"/>
                <w:color w:val="auto"/>
              </w:rPr>
            </w:pPr>
            <w:r>
              <w:rPr>
                <w:rFonts w:ascii="Arial" w:cs="Arial" w:eastAsia="Arial" w:hAnsi="Arial"/>
                <w:sz w:val="18"/>
                <w:szCs w:val="18"/>
                <w:color w:val="auto"/>
              </w:rPr>
              <w:t>23.8</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19.9</w:t>
            </w:r>
          </w:p>
        </w:tc>
      </w:tr>
      <w:tr>
        <w:trPr>
          <w:trHeight w:val="203"/>
        </w:trPr>
        <w:tc>
          <w:tcPr>
            <w:tcW w:w="8520" w:type="dxa"/>
            <w:vAlign w:val="bottom"/>
            <w:tcBorders>
              <w:right w:val="single" w:sz="8" w:color="auto"/>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Defined benefit plans</w:t>
            </w:r>
          </w:p>
        </w:tc>
        <w:tc>
          <w:tcPr>
            <w:tcW w:w="6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473"/>
              <w:spacing w:after="0" w:line="202" w:lineRule="exact"/>
              <w:rPr>
                <w:sz w:val="20"/>
                <w:szCs w:val="20"/>
                <w:color w:val="auto"/>
              </w:rPr>
            </w:pPr>
            <w:r>
              <w:rPr>
                <w:rFonts w:ascii="Arial" w:cs="Arial" w:eastAsia="Arial" w:hAnsi="Arial"/>
                <w:sz w:val="18"/>
                <w:szCs w:val="18"/>
                <w:color w:val="auto"/>
              </w:rPr>
              <w:t>97.0</w:t>
            </w: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55.4</w:t>
            </w:r>
          </w:p>
        </w:tc>
      </w:tr>
      <w:tr>
        <w:trPr>
          <w:trHeight w:val="203"/>
        </w:trPr>
        <w:tc>
          <w:tcPr>
            <w:tcW w:w="852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Capitalized inventories</w:t>
            </w:r>
          </w:p>
        </w:tc>
        <w:tc>
          <w:tcPr>
            <w:tcW w:w="620" w:type="dxa"/>
            <w:vAlign w:val="bottom"/>
          </w:tcPr>
          <w:p>
            <w:pPr>
              <w:spacing w:after="0"/>
              <w:rPr>
                <w:sz w:val="17"/>
                <w:szCs w:val="17"/>
                <w:color w:val="auto"/>
              </w:rPr>
            </w:pPr>
          </w:p>
        </w:tc>
        <w:tc>
          <w:tcPr>
            <w:tcW w:w="1060" w:type="dxa"/>
            <w:vAlign w:val="bottom"/>
            <w:tcBorders>
              <w:right w:val="single" w:sz="8" w:color="auto"/>
            </w:tcBorders>
          </w:tcPr>
          <w:p>
            <w:pPr>
              <w:jc w:val="right"/>
              <w:ind w:right="473"/>
              <w:spacing w:after="0" w:line="202" w:lineRule="exact"/>
              <w:rPr>
                <w:sz w:val="20"/>
                <w:szCs w:val="20"/>
                <w:color w:val="auto"/>
              </w:rPr>
            </w:pPr>
            <w:r>
              <w:rPr>
                <w:rFonts w:ascii="Arial" w:cs="Arial" w:eastAsia="Arial" w:hAnsi="Arial"/>
                <w:sz w:val="18"/>
                <w:szCs w:val="18"/>
                <w:color w:val="auto"/>
              </w:rPr>
              <w:t>8.4</w:t>
            </w:r>
          </w:p>
        </w:tc>
        <w:tc>
          <w:tcPr>
            <w:tcW w:w="600" w:type="dxa"/>
            <w:vAlign w:val="bottom"/>
          </w:tcPr>
          <w:p>
            <w:pPr>
              <w:spacing w:after="0"/>
              <w:rPr>
                <w:sz w:val="17"/>
                <w:szCs w:val="17"/>
                <w:color w:val="auto"/>
              </w:rPr>
            </w:pP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5.1</w:t>
            </w:r>
          </w:p>
        </w:tc>
      </w:tr>
      <w:tr>
        <w:trPr>
          <w:trHeight w:val="203"/>
        </w:trPr>
        <w:tc>
          <w:tcPr>
            <w:tcW w:w="8520" w:type="dxa"/>
            <w:vAlign w:val="bottom"/>
            <w:tcBorders>
              <w:right w:val="single" w:sz="8" w:color="auto"/>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Accounts receivable</w:t>
            </w:r>
          </w:p>
        </w:tc>
        <w:tc>
          <w:tcPr>
            <w:tcW w:w="6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473"/>
              <w:spacing w:after="0" w:line="202" w:lineRule="exact"/>
              <w:rPr>
                <w:sz w:val="20"/>
                <w:szCs w:val="20"/>
                <w:color w:val="auto"/>
              </w:rPr>
            </w:pPr>
            <w:r>
              <w:rPr>
                <w:rFonts w:ascii="Arial" w:cs="Arial" w:eastAsia="Arial" w:hAnsi="Arial"/>
                <w:sz w:val="18"/>
                <w:szCs w:val="18"/>
                <w:color w:val="auto"/>
              </w:rPr>
              <w:t>7.1</w:t>
            </w: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6.5</w:t>
            </w:r>
          </w:p>
        </w:tc>
      </w:tr>
      <w:tr>
        <w:trPr>
          <w:trHeight w:val="203"/>
        </w:trPr>
        <w:tc>
          <w:tcPr>
            <w:tcW w:w="852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Other accrued expenses</w:t>
            </w:r>
          </w:p>
        </w:tc>
        <w:tc>
          <w:tcPr>
            <w:tcW w:w="620" w:type="dxa"/>
            <w:vAlign w:val="bottom"/>
          </w:tcPr>
          <w:p>
            <w:pPr>
              <w:spacing w:after="0"/>
              <w:rPr>
                <w:sz w:val="17"/>
                <w:szCs w:val="17"/>
                <w:color w:val="auto"/>
              </w:rPr>
            </w:pPr>
          </w:p>
        </w:tc>
        <w:tc>
          <w:tcPr>
            <w:tcW w:w="1060" w:type="dxa"/>
            <w:vAlign w:val="bottom"/>
            <w:tcBorders>
              <w:right w:val="single" w:sz="8" w:color="auto"/>
            </w:tcBorders>
          </w:tcPr>
          <w:p>
            <w:pPr>
              <w:jc w:val="right"/>
              <w:ind w:right="473"/>
              <w:spacing w:after="0" w:line="202" w:lineRule="exact"/>
              <w:rPr>
                <w:sz w:val="20"/>
                <w:szCs w:val="20"/>
                <w:color w:val="auto"/>
              </w:rPr>
            </w:pPr>
            <w:r>
              <w:rPr>
                <w:rFonts w:ascii="Arial" w:cs="Arial" w:eastAsia="Arial" w:hAnsi="Arial"/>
                <w:sz w:val="18"/>
                <w:szCs w:val="18"/>
                <w:color w:val="auto"/>
              </w:rPr>
              <w:t>33.5</w:t>
            </w:r>
          </w:p>
        </w:tc>
        <w:tc>
          <w:tcPr>
            <w:tcW w:w="600" w:type="dxa"/>
            <w:vAlign w:val="bottom"/>
          </w:tcPr>
          <w:p>
            <w:pPr>
              <w:spacing w:after="0"/>
              <w:rPr>
                <w:sz w:val="17"/>
                <w:szCs w:val="17"/>
                <w:color w:val="auto"/>
              </w:rPr>
            </w:pP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29.4</w:t>
            </w:r>
          </w:p>
        </w:tc>
      </w:tr>
      <w:tr>
        <w:trPr>
          <w:trHeight w:val="203"/>
        </w:trPr>
        <w:tc>
          <w:tcPr>
            <w:tcW w:w="8520" w:type="dxa"/>
            <w:vAlign w:val="bottom"/>
            <w:tcBorders>
              <w:right w:val="single" w:sz="8" w:color="auto"/>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Net operating loss and other tax carryforwards</w:t>
            </w:r>
          </w:p>
        </w:tc>
        <w:tc>
          <w:tcPr>
            <w:tcW w:w="6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473"/>
              <w:spacing w:after="0" w:line="202" w:lineRule="exact"/>
              <w:rPr>
                <w:sz w:val="20"/>
                <w:szCs w:val="20"/>
                <w:color w:val="auto"/>
              </w:rPr>
            </w:pPr>
            <w:r>
              <w:rPr>
                <w:rFonts w:ascii="Arial" w:cs="Arial" w:eastAsia="Arial" w:hAnsi="Arial"/>
                <w:sz w:val="18"/>
                <w:szCs w:val="18"/>
                <w:color w:val="auto"/>
              </w:rPr>
              <w:t>32.6</w:t>
            </w: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55.9</w:t>
            </w:r>
          </w:p>
        </w:tc>
      </w:tr>
      <w:tr>
        <w:trPr>
          <w:trHeight w:val="203"/>
        </w:trPr>
        <w:tc>
          <w:tcPr>
            <w:tcW w:w="852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Valuation allowance</w:t>
            </w:r>
          </w:p>
        </w:tc>
        <w:tc>
          <w:tcPr>
            <w:tcW w:w="620" w:type="dxa"/>
            <w:vAlign w:val="bottom"/>
          </w:tcPr>
          <w:p>
            <w:pPr>
              <w:spacing w:after="0"/>
              <w:rPr>
                <w:sz w:val="17"/>
                <w:szCs w:val="17"/>
                <w:color w:val="auto"/>
              </w:rPr>
            </w:pPr>
          </w:p>
        </w:tc>
        <w:tc>
          <w:tcPr>
            <w:tcW w:w="1060" w:type="dxa"/>
            <w:vAlign w:val="bottom"/>
            <w:tcBorders>
              <w:right w:val="single" w:sz="8" w:color="auto"/>
            </w:tcBorders>
          </w:tcPr>
          <w:p>
            <w:pPr>
              <w:jc w:val="right"/>
              <w:ind w:right="413"/>
              <w:spacing w:after="0" w:line="202" w:lineRule="exact"/>
              <w:rPr>
                <w:sz w:val="20"/>
                <w:szCs w:val="20"/>
                <w:color w:val="auto"/>
              </w:rPr>
            </w:pPr>
            <w:r>
              <w:rPr>
                <w:rFonts w:ascii="Arial" w:cs="Arial" w:eastAsia="Arial" w:hAnsi="Arial"/>
                <w:sz w:val="18"/>
                <w:szCs w:val="18"/>
                <w:color w:val="auto"/>
              </w:rPr>
              <w:t>(22.2)</w:t>
            </w:r>
          </w:p>
        </w:tc>
        <w:tc>
          <w:tcPr>
            <w:tcW w:w="6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(37.8)</w:t>
            </w:r>
          </w:p>
        </w:tc>
      </w:tr>
      <w:tr>
        <w:trPr>
          <w:trHeight w:val="203"/>
        </w:trPr>
        <w:tc>
          <w:tcPr>
            <w:tcW w:w="8520" w:type="dxa"/>
            <w:vAlign w:val="bottom"/>
            <w:tcBorders>
              <w:bottom w:val="single" w:sz="8" w:color="auto"/>
              <w:right w:val="single" w:sz="8" w:color="auto"/>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Miscellaneous</w:t>
            </w:r>
          </w:p>
        </w:tc>
        <w:tc>
          <w:tcPr>
            <w:tcW w:w="6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right w:val="single" w:sz="8" w:color="auto"/>
            </w:tcBorders>
            <w:shd w:val="clear" w:color="auto" w:fill="CCEEFF"/>
          </w:tcPr>
          <w:p>
            <w:pPr>
              <w:jc w:val="right"/>
              <w:ind w:right="473"/>
              <w:spacing w:after="0" w:line="202" w:lineRule="exact"/>
              <w:rPr>
                <w:sz w:val="20"/>
                <w:szCs w:val="20"/>
                <w:color w:val="auto"/>
              </w:rPr>
            </w:pPr>
            <w:r>
              <w:rPr>
                <w:rFonts w:ascii="Arial" w:cs="Arial" w:eastAsia="Arial" w:hAnsi="Arial"/>
                <w:sz w:val="18"/>
                <w:szCs w:val="18"/>
                <w:color w:val="auto"/>
              </w:rPr>
              <w:t>21.9</w:t>
            </w:r>
          </w:p>
        </w:tc>
        <w:tc>
          <w:tcPr>
            <w:tcW w:w="6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20.0</w:t>
            </w:r>
          </w:p>
        </w:tc>
      </w:tr>
      <w:tr>
        <w:trPr>
          <w:trHeight w:val="196"/>
        </w:trPr>
        <w:tc>
          <w:tcPr>
            <w:tcW w:w="8520" w:type="dxa"/>
            <w:vAlign w:val="bottom"/>
            <w:tcBorders>
              <w:bottom w:val="single" w:sz="8" w:color="auto"/>
              <w:right w:val="single" w:sz="8" w:color="auto"/>
            </w:tcBorders>
          </w:tcPr>
          <w:p>
            <w:pPr>
              <w:ind w:left="440"/>
              <w:spacing w:after="0" w:line="196" w:lineRule="exact"/>
              <w:rPr>
                <w:sz w:val="20"/>
                <w:szCs w:val="20"/>
                <w:color w:val="auto"/>
              </w:rPr>
            </w:pPr>
            <w:r>
              <w:rPr>
                <w:rFonts w:ascii="Arial" w:cs="Arial" w:eastAsia="Arial" w:hAnsi="Arial"/>
                <w:sz w:val="18"/>
                <w:szCs w:val="18"/>
                <w:color w:val="auto"/>
              </w:rPr>
              <w:t>Total deferred tax assets</w:t>
            </w:r>
          </w:p>
        </w:tc>
        <w:tc>
          <w:tcPr>
            <w:tcW w:w="62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jc w:val="right"/>
              <w:ind w:right="473"/>
              <w:spacing w:after="0" w:line="196" w:lineRule="exact"/>
              <w:rPr>
                <w:sz w:val="20"/>
                <w:szCs w:val="20"/>
                <w:color w:val="auto"/>
              </w:rPr>
            </w:pPr>
            <w:r>
              <w:rPr>
                <w:rFonts w:ascii="Arial" w:cs="Arial" w:eastAsia="Arial" w:hAnsi="Arial"/>
                <w:sz w:val="18"/>
                <w:szCs w:val="18"/>
                <w:color w:val="auto"/>
              </w:rPr>
              <w:t>202.1</w:t>
            </w:r>
          </w:p>
        </w:tc>
        <w:tc>
          <w:tcPr>
            <w:tcW w:w="6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154.4</w:t>
            </w:r>
          </w:p>
        </w:tc>
      </w:tr>
      <w:tr>
        <w:trPr>
          <w:trHeight w:val="196"/>
        </w:trPr>
        <w:tc>
          <w:tcPr>
            <w:tcW w:w="8520" w:type="dxa"/>
            <w:vAlign w:val="bottom"/>
            <w:tcBorders>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Liabilities:</w:t>
            </w:r>
          </w:p>
        </w:tc>
        <w:tc>
          <w:tcPr>
            <w:tcW w:w="6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3"/>
        </w:trPr>
        <w:tc>
          <w:tcPr>
            <w:tcW w:w="852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LIFO inventories</w:t>
            </w:r>
          </w:p>
        </w:tc>
        <w:tc>
          <w:tcPr>
            <w:tcW w:w="620" w:type="dxa"/>
            <w:vAlign w:val="bottom"/>
          </w:tcPr>
          <w:p>
            <w:pPr>
              <w:spacing w:after="0"/>
              <w:rPr>
                <w:sz w:val="17"/>
                <w:szCs w:val="17"/>
                <w:color w:val="auto"/>
              </w:rPr>
            </w:pPr>
          </w:p>
        </w:tc>
        <w:tc>
          <w:tcPr>
            <w:tcW w:w="1060" w:type="dxa"/>
            <w:vAlign w:val="bottom"/>
            <w:tcBorders>
              <w:right w:val="single" w:sz="8" w:color="auto"/>
            </w:tcBorders>
          </w:tcPr>
          <w:p>
            <w:pPr>
              <w:jc w:val="right"/>
              <w:ind w:right="413"/>
              <w:spacing w:after="0" w:line="202" w:lineRule="exact"/>
              <w:rPr>
                <w:sz w:val="20"/>
                <w:szCs w:val="20"/>
                <w:color w:val="auto"/>
              </w:rPr>
            </w:pPr>
            <w:r>
              <w:rPr>
                <w:rFonts w:ascii="Arial" w:cs="Arial" w:eastAsia="Arial" w:hAnsi="Arial"/>
                <w:sz w:val="18"/>
                <w:szCs w:val="18"/>
                <w:color w:val="auto"/>
              </w:rPr>
              <w:t>(10.8)</w:t>
            </w:r>
          </w:p>
        </w:tc>
        <w:tc>
          <w:tcPr>
            <w:tcW w:w="6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r>
      <w:tr>
        <w:trPr>
          <w:trHeight w:val="203"/>
        </w:trPr>
        <w:tc>
          <w:tcPr>
            <w:tcW w:w="8520" w:type="dxa"/>
            <w:vAlign w:val="bottom"/>
            <w:tcBorders>
              <w:right w:val="single" w:sz="8" w:color="auto"/>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Fixed assets</w:t>
            </w:r>
          </w:p>
        </w:tc>
        <w:tc>
          <w:tcPr>
            <w:tcW w:w="6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(67.5)</w:t>
            </w: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(56.8)</w:t>
            </w:r>
          </w:p>
        </w:tc>
      </w:tr>
      <w:tr>
        <w:trPr>
          <w:trHeight w:val="203"/>
        </w:trPr>
        <w:tc>
          <w:tcPr>
            <w:tcW w:w="852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Identifiable intangible assets</w:t>
            </w:r>
          </w:p>
        </w:tc>
        <w:tc>
          <w:tcPr>
            <w:tcW w:w="620" w:type="dxa"/>
            <w:vAlign w:val="bottom"/>
          </w:tcPr>
          <w:p>
            <w:pPr>
              <w:spacing w:after="0"/>
              <w:rPr>
                <w:sz w:val="17"/>
                <w:szCs w:val="17"/>
                <w:color w:val="auto"/>
              </w:rPr>
            </w:pPr>
          </w:p>
        </w:tc>
        <w:tc>
          <w:tcPr>
            <w:tcW w:w="1060" w:type="dxa"/>
            <w:vAlign w:val="bottom"/>
            <w:tcBorders>
              <w:right w:val="single" w:sz="8" w:color="auto"/>
            </w:tcBorders>
          </w:tcPr>
          <w:p>
            <w:pPr>
              <w:jc w:val="right"/>
              <w:ind w:right="413"/>
              <w:spacing w:after="0" w:line="202" w:lineRule="exact"/>
              <w:rPr>
                <w:sz w:val="20"/>
                <w:szCs w:val="20"/>
                <w:color w:val="auto"/>
              </w:rPr>
            </w:pPr>
            <w:r>
              <w:rPr>
                <w:rFonts w:ascii="Arial" w:cs="Arial" w:eastAsia="Arial" w:hAnsi="Arial"/>
                <w:sz w:val="18"/>
                <w:szCs w:val="18"/>
                <w:color w:val="auto"/>
                <w:w w:val="94"/>
              </w:rPr>
              <w:t>(250.4)</w:t>
            </w:r>
          </w:p>
        </w:tc>
        <w:tc>
          <w:tcPr>
            <w:tcW w:w="6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(285.7)</w:t>
            </w:r>
          </w:p>
        </w:tc>
      </w:tr>
      <w:tr>
        <w:trPr>
          <w:trHeight w:val="203"/>
        </w:trPr>
        <w:tc>
          <w:tcPr>
            <w:tcW w:w="8520" w:type="dxa"/>
            <w:vAlign w:val="bottom"/>
            <w:tcBorders>
              <w:bottom w:val="single" w:sz="8" w:color="auto"/>
              <w:right w:val="single" w:sz="8" w:color="auto"/>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Miscellaneous</w:t>
            </w:r>
          </w:p>
        </w:tc>
        <w:tc>
          <w:tcPr>
            <w:tcW w:w="6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right w:val="single" w:sz="8" w:color="auto"/>
            </w:tcBorders>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(31.4)</w:t>
            </w:r>
          </w:p>
        </w:tc>
        <w:tc>
          <w:tcPr>
            <w:tcW w:w="6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(29.7)</w:t>
            </w:r>
          </w:p>
        </w:tc>
      </w:tr>
      <w:tr>
        <w:trPr>
          <w:trHeight w:val="196"/>
        </w:trPr>
        <w:tc>
          <w:tcPr>
            <w:tcW w:w="8520" w:type="dxa"/>
            <w:vAlign w:val="bottom"/>
            <w:tcBorders>
              <w:bottom w:val="single" w:sz="8" w:color="auto"/>
              <w:right w:val="single" w:sz="8" w:color="auto"/>
            </w:tcBorders>
          </w:tcPr>
          <w:p>
            <w:pPr>
              <w:ind w:left="440"/>
              <w:spacing w:after="0" w:line="196" w:lineRule="exact"/>
              <w:rPr>
                <w:sz w:val="20"/>
                <w:szCs w:val="20"/>
                <w:color w:val="auto"/>
              </w:rPr>
            </w:pPr>
            <w:r>
              <w:rPr>
                <w:rFonts w:ascii="Arial" w:cs="Arial" w:eastAsia="Arial" w:hAnsi="Arial"/>
                <w:sz w:val="18"/>
                <w:szCs w:val="18"/>
                <w:color w:val="auto"/>
              </w:rPr>
              <w:t>Total deferred tax liabilities</w:t>
            </w:r>
          </w:p>
        </w:tc>
        <w:tc>
          <w:tcPr>
            <w:tcW w:w="62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jc w:val="right"/>
              <w:ind w:right="413"/>
              <w:spacing w:after="0" w:line="196" w:lineRule="exact"/>
              <w:rPr>
                <w:sz w:val="20"/>
                <w:szCs w:val="20"/>
                <w:color w:val="auto"/>
              </w:rPr>
            </w:pPr>
            <w:r>
              <w:rPr>
                <w:rFonts w:ascii="Arial" w:cs="Arial" w:eastAsia="Arial" w:hAnsi="Arial"/>
                <w:sz w:val="18"/>
                <w:szCs w:val="18"/>
                <w:color w:val="auto"/>
                <w:w w:val="94"/>
              </w:rPr>
              <w:t>(360.1)</w:t>
            </w:r>
          </w:p>
        </w:tc>
        <w:tc>
          <w:tcPr>
            <w:tcW w:w="6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(383.1)</w:t>
            </w:r>
          </w:p>
        </w:tc>
      </w:tr>
      <w:tr>
        <w:trPr>
          <w:trHeight w:val="203"/>
        </w:trPr>
        <w:tc>
          <w:tcPr>
            <w:tcW w:w="8520" w:type="dxa"/>
            <w:vAlign w:val="bottom"/>
            <w:tcBorders>
              <w:bottom w:val="single" w:sz="8" w:color="auto"/>
              <w:right w:val="single" w:sz="8" w:color="auto"/>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Net deferred tax liability</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shd w:val="clear" w:color="auto" w:fill="CCEEFF"/>
          </w:tcPr>
          <w:p>
            <w:pPr>
              <w:jc w:val="right"/>
              <w:ind w:right="413"/>
              <w:spacing w:after="0" w:line="196" w:lineRule="exact"/>
              <w:rPr>
                <w:sz w:val="20"/>
                <w:szCs w:val="20"/>
                <w:color w:val="auto"/>
              </w:rPr>
            </w:pPr>
            <w:r>
              <w:rPr>
                <w:rFonts w:ascii="Arial" w:cs="Arial" w:eastAsia="Arial" w:hAnsi="Arial"/>
                <w:sz w:val="18"/>
                <w:szCs w:val="18"/>
                <w:color w:val="auto"/>
                <w:w w:val="94"/>
              </w:rPr>
              <w:t>(158.0)</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(228.7)</w:t>
            </w:r>
          </w:p>
        </w:tc>
      </w:tr>
    </w:tbl>
    <w:p>
      <w:pPr>
        <w:spacing w:after="0" w:line="165"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In accordance with authoritative guidance on accounting for income taxes, (ASC 740), deferred taxes were classified in the consolidated balance sheets as of December 31, 2011 and 2010 as follows:</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405"/>
        </w:trPr>
        <w:tc>
          <w:tcPr>
            <w:tcW w:w="3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i w:val="1"/>
                <w:iCs w:val="1"/>
                <w:color w:val="auto"/>
              </w:rPr>
              <w:t>(In millions)</w:t>
            </w:r>
          </w:p>
        </w:tc>
        <w:tc>
          <w:tcPr>
            <w:tcW w:w="3200" w:type="dxa"/>
            <w:vAlign w:val="bottom"/>
            <w:tcBorders>
              <w:top w:val="single" w:sz="8" w:color="auto"/>
              <w:bottom w:val="single" w:sz="8" w:color="auto"/>
              <w:right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right w:val="single" w:sz="8" w:color="auto"/>
            </w:tcBorders>
          </w:tcPr>
          <w:p>
            <w:pPr>
              <w:jc w:val="right"/>
              <w:ind w:right="536"/>
              <w:spacing w:after="0"/>
              <w:rPr>
                <w:sz w:val="20"/>
                <w:szCs w:val="20"/>
                <w:color w:val="auto"/>
              </w:rPr>
            </w:pPr>
            <w:r>
              <w:rPr>
                <w:rFonts w:ascii="Arial" w:cs="Arial" w:eastAsia="Arial" w:hAnsi="Arial"/>
                <w:sz w:val="14"/>
                <w:szCs w:val="14"/>
                <w:i w:val="1"/>
                <w:iCs w:val="1"/>
                <w:color w:val="auto"/>
              </w:rPr>
              <w:t>2011</w:t>
            </w:r>
          </w:p>
        </w:tc>
        <w:tc>
          <w:tcPr>
            <w:tcW w:w="68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rPr>
              <w:t>2010</w:t>
            </w:r>
          </w:p>
        </w:tc>
      </w:tr>
      <w:tr>
        <w:trPr>
          <w:trHeight w:val="196"/>
        </w:trPr>
        <w:tc>
          <w:tcPr>
            <w:tcW w:w="3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current assets</w:t>
            </w:r>
          </w:p>
        </w:tc>
        <w:tc>
          <w:tcPr>
            <w:tcW w:w="3200" w:type="dxa"/>
            <w:vAlign w:val="bottom"/>
            <w:tcBorders>
              <w:right w:val="single" w:sz="8" w:color="auto"/>
            </w:tcBorders>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shd w:val="clear" w:color="auto" w:fill="CCEEFF"/>
          </w:tcPr>
          <w:p>
            <w:pPr>
              <w:jc w:val="right"/>
              <w:ind w:right="536"/>
              <w:spacing w:after="0" w:line="196" w:lineRule="exact"/>
              <w:rPr>
                <w:sz w:val="20"/>
                <w:szCs w:val="20"/>
                <w:color w:val="auto"/>
              </w:rPr>
            </w:pPr>
            <w:r>
              <w:rPr>
                <w:rFonts w:ascii="Arial" w:cs="Arial" w:eastAsia="Arial" w:hAnsi="Arial"/>
                <w:sz w:val="18"/>
                <w:szCs w:val="18"/>
                <w:color w:val="auto"/>
              </w:rPr>
              <w:t>42.9</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38.8</w:t>
            </w: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Other current liabilities</w:t>
            </w:r>
          </w:p>
        </w:tc>
        <w:tc>
          <w:tcPr>
            <w:tcW w:w="320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Borders>
              <w:right w:val="single" w:sz="8" w:color="auto"/>
            </w:tcBorders>
          </w:tcPr>
          <w:p>
            <w:pPr>
              <w:jc w:val="right"/>
              <w:ind w:right="496"/>
              <w:spacing w:after="0" w:line="202" w:lineRule="exact"/>
              <w:rPr>
                <w:sz w:val="20"/>
                <w:szCs w:val="20"/>
                <w:color w:val="auto"/>
              </w:rPr>
            </w:pPr>
            <w:r>
              <w:rPr>
                <w:rFonts w:ascii="Arial" w:cs="Arial" w:eastAsia="Arial" w:hAnsi="Arial"/>
                <w:sz w:val="18"/>
                <w:szCs w:val="18"/>
                <w:color w:val="auto"/>
              </w:rPr>
              <w:t>(2.8)</w:t>
            </w:r>
          </w:p>
        </w:tc>
        <w:tc>
          <w:tcPr>
            <w:tcW w:w="6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r>
      <w:tr>
        <w:trPr>
          <w:trHeight w:val="203"/>
        </w:trPr>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3200" w:type="dxa"/>
            <w:vAlign w:val="bottom"/>
            <w:tcBorders>
              <w:right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40" w:type="dxa"/>
            <w:vAlign w:val="bottom"/>
            <w:tcBorders>
              <w:right w:val="single" w:sz="8" w:color="auto"/>
            </w:tcBorders>
            <w:shd w:val="clear" w:color="auto" w:fill="CCEEFF"/>
          </w:tcPr>
          <w:p>
            <w:pPr>
              <w:jc w:val="right"/>
              <w:ind w:right="536"/>
              <w:spacing w:after="0" w:line="202" w:lineRule="exact"/>
              <w:rPr>
                <w:sz w:val="20"/>
                <w:szCs w:val="20"/>
                <w:color w:val="auto"/>
              </w:rPr>
            </w:pPr>
            <w:r>
              <w:rPr>
                <w:rFonts w:ascii="Arial" w:cs="Arial" w:eastAsia="Arial" w:hAnsi="Arial"/>
                <w:sz w:val="18"/>
                <w:szCs w:val="18"/>
                <w:color w:val="auto"/>
              </w:rPr>
              <w:t>6.0</w:t>
            </w: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1.8</w:t>
            </w:r>
          </w:p>
        </w:tc>
      </w:tr>
      <w:tr>
        <w:trPr>
          <w:trHeight w:val="203"/>
        </w:trPr>
        <w:tc>
          <w:tcPr>
            <w:tcW w:w="32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Deferred income taxes</w:t>
            </w:r>
          </w:p>
        </w:tc>
        <w:tc>
          <w:tcPr>
            <w:tcW w:w="320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jc w:val="right"/>
              <w:ind w:right="496"/>
              <w:spacing w:after="0" w:line="202" w:lineRule="exact"/>
              <w:rPr>
                <w:sz w:val="20"/>
                <w:szCs w:val="20"/>
                <w:color w:val="auto"/>
              </w:rPr>
            </w:pPr>
            <w:r>
              <w:rPr>
                <w:rFonts w:ascii="Arial" w:cs="Arial" w:eastAsia="Arial" w:hAnsi="Arial"/>
                <w:sz w:val="18"/>
                <w:szCs w:val="18"/>
                <w:color w:val="auto"/>
                <w:w w:val="94"/>
              </w:rPr>
              <w:t>(204.1)</w:t>
            </w:r>
          </w:p>
        </w:tc>
        <w:tc>
          <w:tcPr>
            <w:tcW w:w="6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(267.4)</w:t>
            </w:r>
          </w:p>
        </w:tc>
      </w:tr>
      <w:tr>
        <w:trPr>
          <w:trHeight w:val="203"/>
        </w:trPr>
        <w:tc>
          <w:tcPr>
            <w:tcW w:w="32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deferred tax liability</w:t>
            </w:r>
          </w:p>
        </w:tc>
        <w:tc>
          <w:tcPr>
            <w:tcW w:w="3200" w:type="dxa"/>
            <w:vAlign w:val="bottom"/>
            <w:tcBorders>
              <w:bottom w:val="single" w:sz="8" w:color="auto"/>
              <w:right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shd w:val="clear" w:color="auto" w:fill="CCEEFF"/>
          </w:tcPr>
          <w:p>
            <w:pPr>
              <w:jc w:val="right"/>
              <w:ind w:right="496"/>
              <w:spacing w:after="0" w:line="196" w:lineRule="exact"/>
              <w:rPr>
                <w:sz w:val="20"/>
                <w:szCs w:val="20"/>
                <w:color w:val="auto"/>
              </w:rPr>
            </w:pPr>
            <w:r>
              <w:rPr>
                <w:rFonts w:ascii="Arial" w:cs="Arial" w:eastAsia="Arial" w:hAnsi="Arial"/>
                <w:sz w:val="18"/>
                <w:szCs w:val="18"/>
                <w:color w:val="auto"/>
                <w:w w:val="94"/>
              </w:rPr>
              <w:t>(158.0)</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(228.7)</w:t>
            </w:r>
          </w:p>
        </w:tc>
      </w:tr>
      <w:tr>
        <w:trPr>
          <w:trHeight w:val="363"/>
        </w:trPr>
        <w:tc>
          <w:tcPr>
            <w:tcW w:w="3260" w:type="dxa"/>
            <w:vAlign w:val="bottom"/>
          </w:tcPr>
          <w:p>
            <w:pPr>
              <w:spacing w:after="0"/>
              <w:rPr>
                <w:sz w:val="24"/>
                <w:szCs w:val="24"/>
                <w:color w:val="auto"/>
              </w:rPr>
            </w:pPr>
          </w:p>
        </w:tc>
        <w:tc>
          <w:tcPr>
            <w:tcW w:w="3200" w:type="dxa"/>
            <w:vAlign w:val="bottom"/>
          </w:tcPr>
          <w:p>
            <w:pPr>
              <w:jc w:val="right"/>
              <w:ind w:right="1472"/>
              <w:spacing w:after="0"/>
              <w:rPr>
                <w:sz w:val="20"/>
                <w:szCs w:val="20"/>
                <w:color w:val="auto"/>
              </w:rPr>
            </w:pPr>
            <w:r>
              <w:rPr>
                <w:rFonts w:ascii="Arial" w:cs="Arial" w:eastAsia="Arial" w:hAnsi="Arial"/>
                <w:sz w:val="18"/>
                <w:szCs w:val="18"/>
                <w:color w:val="auto"/>
              </w:rPr>
              <w:t>78</w:t>
            </w: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As of December 31, 2011 and 2010, the Company had deferred tax assets relating to net operating losses, and other tax carryforwards of $32.6 million and $55.9 million, respectively, of which approximately $4.0 million will expire between 2013 and 2019, and the remainder which will expire in 2020 and thereafter. The Company has provided a valuation allowance to reduce the carrying value of certain of these deferred tax assets, as management has concluded that, based on the available evidence, it is more likely than not that the deferred tax assets will not be fully realized.</w:t>
      </w:r>
    </w:p>
    <w:p>
      <w:pPr>
        <w:spacing w:after="0" w:line="12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As a result of the Separation, the Company remitted foreign earnings and recorded an associated tax liability of approximately $9.1 million during 2011. However, as a stand-alone company, the Company intends to permanently reinvest earnings of foreign subsidiaries. Consequently, we have not provided deferred income taxes on undistributed earnings of foreign subsidiaries. The undistributed earnings of foreign subsidiaries that are considered permanently reinvested were $95.0 million and $98.0 million in the aggregate for the years ended December 31, 2011 and 2010, respectively. A quantification of the associated deferred tax liability on these undistributed earnings has not been made, as the determination of such liability is not practicable.</w:t>
      </w:r>
    </w:p>
    <w:p>
      <w:pPr>
        <w:spacing w:after="0" w:line="15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general, under the Tax Allocation Agreement that we entered into with our Former Parent, Home &amp; Security is responsible for all taxes to the extent such taxes are attributable to the Home &amp; Security business, and we agreed to indemnify our Former Parent for these taxes. Our Former Parent will be responsible for all taxes to the extent such taxes are not attributable to the Home &amp; Security business and our Former Parent has agreed to indemnify us for these taxes. As a former subsidiary of our Former Parent, Home &amp; Security has several liabilities with our Former Parent to the IRS for the consolidated federal income taxes of our Former Parent’s group relating to the taxable periods ending on or prior to the Distribution. Although Home &amp; Security will continue to be severally liable with our Former Parent for this liability following the Distribution, under the Tax Allocation Agreement, our Former Parent agreed to indemnify us for amounts relating to this liability to the extent not attributable to the Home &amp; Security business. Though valid as between the parties, the Tax Allocation Agreement will not be binding on the IRS. The Tax Allocation Agreement also contains restrictions on the ability of our Former Parent and Home &amp; Security to take actions that could cause the Distribution or certain internal transactions undertaken in anticipation of the Separation to fail to qualify for tax-free or tax-favored treatment. These restrictions apply for the two-year period after the Distribution, unless our Former Parent or Home &amp; Security, as applicable, obtains a private letter ruling from the IRS or an unqualified opinion of a nationally recognized law firm that such action will not cause the Distribution or the internal transactions undertaken in anticipation of the Separation to fail to qualify for tax-favored treatment, and such letter ruling or opinion, as the case may be, is acceptable to our Former Parent. Moreover, the Tax Allocation Agreement generally provides that each of Home &amp; Security and our Former Parent is responsible for any taxes imposed as a result of the failure of the Distribution or the internal transactions to qualify for tax-favored treatment under the Code if such failure is attributable to certain post-distribution actions taken by such party or in respect of such party or such party’s stockholders after the Distribution, regardless of whether the actions occur more than two years after the Distribution, the other party consents to such actions or such party obtains a favorable letter ruling or tax opinion.</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Charges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Pre-tax restructuring and other charges for the year ended December 31, 2011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3"/>
          </w:tcPr>
          <w:p>
            <w:pPr>
              <w:jc w:val="right"/>
              <w:ind w:right="701"/>
              <w:spacing w:after="0"/>
              <w:rPr>
                <w:sz w:val="20"/>
                <w:szCs w:val="20"/>
                <w:color w:val="auto"/>
              </w:rPr>
            </w:pPr>
            <w:r>
              <w:rPr>
                <w:rFonts w:ascii="Arial" w:cs="Arial" w:eastAsia="Arial" w:hAnsi="Arial"/>
                <w:sz w:val="14"/>
                <w:szCs w:val="14"/>
                <w:color w:val="auto"/>
              </w:rPr>
              <w:t>Year Ended December 31, 2011</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2520" w:type="dxa"/>
            <w:vAlign w:val="bottom"/>
            <w:tcBorders>
              <w:bottom w:val="single" w:sz="8" w:color="auto"/>
              <w:right w:val="single" w:sz="8" w:color="auto"/>
            </w:tcBorders>
            <w:gridSpan w:val="2"/>
          </w:tcPr>
          <w:p>
            <w:pPr>
              <w:jc w:val="right"/>
              <w:ind w:right="641"/>
              <w:spacing w:after="0" w:line="142" w:lineRule="exact"/>
              <w:rPr>
                <w:sz w:val="20"/>
                <w:szCs w:val="20"/>
                <w:color w:val="auto"/>
              </w:rPr>
            </w:pPr>
            <w:r>
              <w:rPr>
                <w:rFonts w:ascii="Arial" w:cs="Arial" w:eastAsia="Arial" w:hAnsi="Arial"/>
                <w:sz w:val="11"/>
                <w:szCs w:val="11"/>
                <w:color w:val="auto"/>
              </w:rPr>
              <w:t>Other Charges</w:t>
            </w:r>
            <w:r>
              <w:rPr>
                <w:rFonts w:ascii="Arial" w:cs="Arial" w:eastAsia="Arial" w:hAnsi="Arial"/>
                <w:sz w:val="16"/>
                <w:szCs w:val="16"/>
                <w:color w:val="auto"/>
                <w:vertAlign w:val="superscript"/>
              </w:rPr>
              <w:t>(a)</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5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1460" w:type="dxa"/>
            <w:vAlign w:val="bottom"/>
            <w:tcBorders>
              <w:right w:val="single" w:sz="8" w:color="auto"/>
            </w:tcBorders>
          </w:tcPr>
          <w:p>
            <w:pPr>
              <w:jc w:val="right"/>
              <w:ind w:right="641"/>
              <w:spacing w:after="0" w:line="141" w:lineRule="exact"/>
              <w:rPr>
                <w:sz w:val="20"/>
                <w:szCs w:val="20"/>
                <w:color w:val="auto"/>
              </w:rPr>
            </w:pPr>
            <w:r>
              <w:rPr>
                <w:rFonts w:ascii="Arial" w:cs="Arial" w:eastAsia="Arial" w:hAnsi="Arial"/>
                <w:sz w:val="14"/>
                <w:szCs w:val="14"/>
                <w:color w:val="auto"/>
              </w:rPr>
              <w:t>Cost of</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2660" w:type="dxa"/>
            <w:vAlign w:val="bottom"/>
            <w:gridSpan w:val="2"/>
          </w:tcPr>
          <w:p>
            <w:pPr>
              <w:ind w:left="1580"/>
              <w:spacing w:after="0" w:line="149" w:lineRule="exact"/>
              <w:rPr>
                <w:sz w:val="20"/>
                <w:szCs w:val="20"/>
                <w:color w:val="auto"/>
              </w:rPr>
            </w:pPr>
            <w:r>
              <w:rPr>
                <w:rFonts w:ascii="Arial" w:cs="Arial" w:eastAsia="Arial" w:hAnsi="Arial"/>
                <w:sz w:val="14"/>
                <w:szCs w:val="14"/>
                <w:color w:val="auto"/>
              </w:rPr>
              <w:t>Restructuring</w:t>
            </w:r>
          </w:p>
        </w:tc>
        <w:tc>
          <w:tcPr>
            <w:tcW w:w="46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1460" w:type="dxa"/>
            <w:vAlign w:val="bottom"/>
            <w:tcBorders>
              <w:right w:val="single" w:sz="8" w:color="auto"/>
            </w:tcBorders>
          </w:tcPr>
          <w:p>
            <w:pPr>
              <w:jc w:val="right"/>
              <w:ind w:right="641"/>
              <w:spacing w:after="0" w:line="149" w:lineRule="exact"/>
              <w:rPr>
                <w:sz w:val="20"/>
                <w:szCs w:val="20"/>
                <w:color w:val="auto"/>
              </w:rPr>
            </w:pPr>
            <w:r>
              <w:rPr>
                <w:rFonts w:ascii="Arial" w:cs="Arial" w:eastAsia="Arial" w:hAnsi="Arial"/>
                <w:sz w:val="14"/>
                <w:szCs w:val="14"/>
                <w:color w:val="auto"/>
              </w:rPr>
              <w:t>Products</w:t>
            </w:r>
          </w:p>
        </w:tc>
        <w:tc>
          <w:tcPr>
            <w:tcW w:w="680" w:type="dxa"/>
            <w:vAlign w:val="bottom"/>
          </w:tcPr>
          <w:p>
            <w:pPr>
              <w:jc w:val="right"/>
              <w:ind w:right="19"/>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5100" w:type="dxa"/>
            <w:vAlign w:val="bottom"/>
            <w:tcBorders>
              <w:bottom w:val="single" w:sz="8" w:color="auto"/>
            </w:tcBorders>
            <w:vMerge w:val="continue"/>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color w:val="auto"/>
              </w:rPr>
              <w:t>Charges</w:t>
            </w:r>
          </w:p>
        </w:tc>
        <w:tc>
          <w:tcPr>
            <w:tcW w:w="46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jc w:val="right"/>
              <w:ind w:right="641"/>
              <w:spacing w:after="0"/>
              <w:rPr>
                <w:sz w:val="20"/>
                <w:szCs w:val="20"/>
                <w:color w:val="auto"/>
              </w:rPr>
            </w:pPr>
            <w:r>
              <w:rPr>
                <w:rFonts w:ascii="Arial" w:cs="Arial" w:eastAsia="Arial" w:hAnsi="Arial"/>
                <w:sz w:val="14"/>
                <w:szCs w:val="14"/>
                <w:color w:val="auto"/>
              </w:rPr>
              <w:t>Sold</w:t>
            </w: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Charges</w:t>
            </w:r>
          </w:p>
        </w:tc>
        <w:tc>
          <w:tcPr>
            <w:tcW w:w="0" w:type="dxa"/>
            <w:vAlign w:val="bottom"/>
          </w:tcPr>
          <w:p>
            <w:pPr>
              <w:spacing w:after="0"/>
              <w:rPr>
                <w:sz w:val="1"/>
                <w:szCs w:val="1"/>
                <w:color w:val="auto"/>
              </w:rPr>
            </w:pP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Kitchen &amp; Bath Cabinetry</w:t>
            </w:r>
          </w:p>
        </w:tc>
        <w:tc>
          <w:tcPr>
            <w:tcW w:w="1780" w:type="dxa"/>
            <w:vAlign w:val="bottom"/>
            <w:shd w:val="clear" w:color="auto" w:fill="CCEEFF"/>
          </w:tcPr>
          <w:p>
            <w:pPr>
              <w:ind w:left="158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6"/>
              <w:spacing w:after="0" w:line="196" w:lineRule="exact"/>
              <w:rPr>
                <w:sz w:val="20"/>
                <w:szCs w:val="20"/>
                <w:color w:val="auto"/>
              </w:rPr>
            </w:pPr>
            <w:r>
              <w:rPr>
                <w:rFonts w:ascii="Arial" w:cs="Arial" w:eastAsia="Arial" w:hAnsi="Arial"/>
                <w:sz w:val="18"/>
                <w:szCs w:val="18"/>
                <w:color w:val="auto"/>
              </w:rPr>
              <w:t>3.7</w:t>
            </w:r>
          </w:p>
        </w:tc>
        <w:tc>
          <w:tcPr>
            <w:tcW w:w="460" w:type="dxa"/>
            <w:vAlign w:val="bottom"/>
            <w:tcBorders>
              <w:right w:val="single" w:sz="8" w:color="auto"/>
            </w:tcBorders>
            <w:shd w:val="clear" w:color="auto" w:fill="CCEEFF"/>
          </w:tcPr>
          <w:p>
            <w:pPr>
              <w:spacing w:after="0"/>
              <w:rPr>
                <w:sz w:val="17"/>
                <w:szCs w:val="17"/>
                <w:color w:val="auto"/>
              </w:rPr>
            </w:pPr>
          </w:p>
        </w:tc>
        <w:tc>
          <w:tcPr>
            <w:tcW w:w="1060" w:type="dxa"/>
            <w:vAlign w:val="bottom"/>
            <w:shd w:val="clear" w:color="auto" w:fill="CCEEFF"/>
          </w:tcPr>
          <w:p>
            <w:pPr>
              <w:jc w:val="right"/>
              <w:ind w:right="124"/>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right w:val="single" w:sz="8" w:color="auto"/>
            </w:tcBorders>
            <w:shd w:val="clear" w:color="auto" w:fill="CCEEFF"/>
          </w:tcPr>
          <w:p>
            <w:pPr>
              <w:jc w:val="right"/>
              <w:ind w:right="641"/>
              <w:spacing w:after="0" w:line="196" w:lineRule="exact"/>
              <w:rPr>
                <w:sz w:val="20"/>
                <w:szCs w:val="20"/>
                <w:color w:val="auto"/>
              </w:rPr>
            </w:pPr>
            <w:r>
              <w:rPr>
                <w:rFonts w:ascii="Arial" w:cs="Arial" w:eastAsia="Arial" w:hAnsi="Arial"/>
                <w:sz w:val="18"/>
                <w:szCs w:val="18"/>
                <w:color w:val="auto"/>
              </w:rPr>
              <w:t>9.0</w:t>
            </w:r>
          </w:p>
        </w:tc>
        <w:tc>
          <w:tcPr>
            <w:tcW w:w="68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rPr>
              <w:t>$ 12.7</w:t>
            </w:r>
          </w:p>
        </w:tc>
        <w:tc>
          <w:tcPr>
            <w:tcW w:w="0" w:type="dxa"/>
            <w:vAlign w:val="bottom"/>
          </w:tcPr>
          <w:p>
            <w:pPr>
              <w:spacing w:after="0"/>
              <w:rPr>
                <w:sz w:val="1"/>
                <w:szCs w:val="1"/>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Plumbing &amp; Accessories</w:t>
            </w:r>
          </w:p>
        </w:tc>
        <w:tc>
          <w:tcPr>
            <w:tcW w:w="1780" w:type="dxa"/>
            <w:vAlign w:val="bottom"/>
          </w:tcPr>
          <w:p>
            <w:pPr>
              <w:spacing w:after="0"/>
              <w:rPr>
                <w:sz w:val="17"/>
                <w:szCs w:val="17"/>
                <w:color w:val="auto"/>
              </w:rPr>
            </w:pPr>
          </w:p>
        </w:tc>
        <w:tc>
          <w:tcPr>
            <w:tcW w:w="88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w:t>
            </w:r>
          </w:p>
        </w:tc>
        <w:tc>
          <w:tcPr>
            <w:tcW w:w="460" w:type="dxa"/>
            <w:vAlign w:val="bottom"/>
            <w:tcBorders>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1460" w:type="dxa"/>
            <w:vAlign w:val="bottom"/>
            <w:tcBorders>
              <w:right w:val="single" w:sz="8" w:color="auto"/>
            </w:tcBorders>
          </w:tcPr>
          <w:p>
            <w:pPr>
              <w:jc w:val="right"/>
              <w:ind w:right="581"/>
              <w:spacing w:after="0" w:line="202" w:lineRule="exact"/>
              <w:rPr>
                <w:sz w:val="20"/>
                <w:szCs w:val="20"/>
                <w:color w:val="auto"/>
              </w:rPr>
            </w:pPr>
            <w:r>
              <w:rPr>
                <w:rFonts w:ascii="Arial" w:cs="Arial" w:eastAsia="Arial" w:hAnsi="Arial"/>
                <w:sz w:val="18"/>
                <w:szCs w:val="18"/>
                <w:color w:val="auto"/>
              </w:rPr>
              <w:t>(0.1)</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3"/>
        </w:trPr>
        <w:tc>
          <w:tcPr>
            <w:tcW w:w="51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Advanced Material Windows &amp; Door Systems</w:t>
            </w:r>
          </w:p>
        </w:tc>
        <w:tc>
          <w:tcPr>
            <w:tcW w:w="17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76"/>
              <w:spacing w:after="0" w:line="202" w:lineRule="exact"/>
              <w:rPr>
                <w:sz w:val="20"/>
                <w:szCs w:val="20"/>
                <w:color w:val="auto"/>
              </w:rPr>
            </w:pPr>
            <w:r>
              <w:rPr>
                <w:rFonts w:ascii="Arial" w:cs="Arial" w:eastAsia="Arial" w:hAnsi="Arial"/>
                <w:sz w:val="18"/>
                <w:szCs w:val="18"/>
                <w:color w:val="auto"/>
              </w:rPr>
              <w:t>1.0</w:t>
            </w:r>
          </w:p>
        </w:tc>
        <w:tc>
          <w:tcPr>
            <w:tcW w:w="460" w:type="dxa"/>
            <w:vAlign w:val="bottom"/>
            <w:tcBorders>
              <w:bottom w:val="single" w:sz="8" w:color="auto"/>
              <w:right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right w:val="single" w:sz="8" w:color="auto"/>
            </w:tcBorders>
            <w:shd w:val="clear" w:color="auto" w:fill="CCEEFF"/>
          </w:tcPr>
          <w:p>
            <w:pPr>
              <w:jc w:val="right"/>
              <w:ind w:right="641"/>
              <w:spacing w:after="0" w:line="202" w:lineRule="exact"/>
              <w:rPr>
                <w:sz w:val="20"/>
                <w:szCs w:val="20"/>
                <w:color w:val="auto"/>
              </w:rPr>
            </w:pPr>
            <w:r>
              <w:rPr>
                <w:rFonts w:ascii="Arial" w:cs="Arial" w:eastAsia="Arial" w:hAnsi="Arial"/>
                <w:sz w:val="18"/>
                <w:szCs w:val="18"/>
                <w:color w:val="auto"/>
              </w:rPr>
              <w:t>6.4</w:t>
            </w:r>
          </w:p>
        </w:tc>
        <w:tc>
          <w:tcPr>
            <w:tcW w:w="680" w:type="dxa"/>
            <w:vAlign w:val="bottom"/>
            <w:tcBorders>
              <w:bottom w:val="single" w:sz="8" w:color="auto"/>
            </w:tcBorders>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3"/>
        </w:trPr>
        <w:tc>
          <w:tcPr>
            <w:tcW w:w="5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780" w:type="dxa"/>
            <w:vAlign w:val="bottom"/>
            <w:tcBorders>
              <w:bottom w:val="single" w:sz="8" w:color="auto"/>
            </w:tcBorders>
          </w:tcPr>
          <w:p>
            <w:pPr>
              <w:ind w:left="158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76"/>
              <w:spacing w:after="0" w:line="196" w:lineRule="exact"/>
              <w:rPr>
                <w:sz w:val="20"/>
                <w:szCs w:val="20"/>
                <w:color w:val="auto"/>
              </w:rPr>
            </w:pPr>
            <w:r>
              <w:rPr>
                <w:rFonts w:ascii="Arial" w:cs="Arial" w:eastAsia="Arial" w:hAnsi="Arial"/>
                <w:sz w:val="18"/>
                <w:szCs w:val="18"/>
                <w:color w:val="auto"/>
              </w:rPr>
              <w:t>4.7</w:t>
            </w:r>
          </w:p>
        </w:tc>
        <w:tc>
          <w:tcPr>
            <w:tcW w:w="46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4"/>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right"/>
              <w:ind w:right="641"/>
              <w:spacing w:after="0" w:line="196" w:lineRule="exact"/>
              <w:rPr>
                <w:sz w:val="20"/>
                <w:szCs w:val="20"/>
                <w:color w:val="auto"/>
              </w:rPr>
            </w:pPr>
            <w:r>
              <w:rPr>
                <w:rFonts w:ascii="Arial" w:cs="Arial" w:eastAsia="Arial" w:hAnsi="Arial"/>
                <w:sz w:val="18"/>
                <w:szCs w:val="18"/>
                <w:color w:val="auto"/>
              </w:rPr>
              <w:t>15.3</w:t>
            </w:r>
          </w:p>
        </w:tc>
        <w:tc>
          <w:tcPr>
            <w:tcW w:w="680" w:type="dxa"/>
            <w:vAlign w:val="bottom"/>
            <w:tcBorders>
              <w:bottom w:val="single" w:sz="8" w:color="auto"/>
            </w:tcBorders>
          </w:tcPr>
          <w:p>
            <w:pPr>
              <w:jc w:val="right"/>
              <w:ind w:right="19"/>
              <w:spacing w:after="0" w:line="196" w:lineRule="exact"/>
              <w:rPr>
                <w:sz w:val="20"/>
                <w:szCs w:val="20"/>
                <w:color w:val="auto"/>
              </w:rPr>
            </w:pPr>
            <w:r>
              <w:rPr>
                <w:rFonts w:ascii="Arial" w:cs="Arial" w:eastAsia="Arial" w:hAnsi="Arial"/>
                <w:sz w:val="18"/>
                <w:szCs w:val="18"/>
                <w:color w:val="auto"/>
              </w:rPr>
              <w:t>$ 20.0</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20" w:right="720" w:hanging="212"/>
        <w:spacing w:after="0" w:line="180" w:lineRule="auto"/>
        <w:tabs>
          <w:tab w:leader="none" w:pos="220" w:val="left"/>
        </w:tabs>
        <w:numPr>
          <w:ilvl w:val="0"/>
          <w:numId w:val="41"/>
        </w:numPr>
        <w:rPr>
          <w:rFonts w:ascii="Arial" w:cs="Arial" w:eastAsia="Arial" w:hAnsi="Arial"/>
          <w:sz w:val="22"/>
          <w:szCs w:val="22"/>
          <w:color w:val="auto"/>
          <w:vertAlign w:val="superscript"/>
        </w:rPr>
      </w:pPr>
      <w:r>
        <w:rPr>
          <w:rFonts w:ascii="Arial" w:cs="Arial" w:eastAsia="Arial" w:hAnsi="Arial"/>
          <w:sz w:val="14"/>
          <w:szCs w:val="14"/>
          <w:color w:val="auto"/>
        </w:rPr>
        <w:t>“Other charges” represent charges directly related to restructuring initiatives that cannot be reported as restructuring under GAAP. Such costs may include losses on disposal of inventories, trade receivables allowances from exiting product lines and accelerated depreciation resulting from the closure of facilities.</w:t>
      </w:r>
    </w:p>
    <w:p>
      <w:pPr>
        <w:spacing w:after="0" w:line="153"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Pretax restructuring and other charges of $20.0 million in 2011 primarily related to cabinet and window manufacturing facility closures. These charges consisted of $3.5 million for workforce reductions including employee benefit curtailments, $11.5 million primarily for accelerated depreciation for facilities that were closed in the fourth quarter of 2011, tradename impairment charges of $1.9 million, and $3.1 million of other costs.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Pre-tax restructuring and other charges for the year ended December 31, 2010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4"/>
                <w:szCs w:val="14"/>
                <w:color w:val="auto"/>
              </w:rPr>
              <w:t>Year Ended December 31, 2010</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14"/>
                <w:szCs w:val="14"/>
                <w:color w:val="auto"/>
              </w:rPr>
              <w:t>Other Charges</w:t>
            </w:r>
            <w:r>
              <w:rPr>
                <w:rFonts w:ascii="Arial" w:cs="Arial" w:eastAsia="Arial" w:hAnsi="Arial"/>
                <w:sz w:val="22"/>
                <w:szCs w:val="22"/>
                <w:color w:val="auto"/>
                <w:vertAlign w:val="superscript"/>
              </w:rPr>
              <w:t>(a)</w:t>
            </w: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4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600" w:type="dxa"/>
            <w:vAlign w:val="bottom"/>
          </w:tcPr>
          <w:p>
            <w:pPr>
              <w:jc w:val="right"/>
              <w:ind w:right="1081"/>
              <w:spacing w:after="0" w:line="141" w:lineRule="exact"/>
              <w:rPr>
                <w:sz w:val="20"/>
                <w:szCs w:val="20"/>
                <w:color w:val="auto"/>
              </w:rPr>
            </w:pPr>
            <w:r>
              <w:rPr>
                <w:rFonts w:ascii="Arial" w:cs="Arial" w:eastAsia="Arial" w:hAnsi="Arial"/>
                <w:sz w:val="14"/>
                <w:szCs w:val="14"/>
                <w:color w:val="auto"/>
                <w:w w:val="94"/>
              </w:rPr>
              <w:t>Cost of</w:t>
            </w:r>
          </w:p>
        </w:tc>
        <w:tc>
          <w:tcPr>
            <w:tcW w:w="2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2700" w:type="dxa"/>
            <w:vAlign w:val="bottom"/>
            <w:tcBorders>
              <w:right w:val="single" w:sz="8" w:color="auto"/>
            </w:tcBorders>
            <w:gridSpan w:val="2"/>
          </w:tcPr>
          <w:p>
            <w:pPr>
              <w:jc w:val="right"/>
              <w:ind w:right="476"/>
              <w:spacing w:after="0" w:line="149" w:lineRule="exact"/>
              <w:rPr>
                <w:sz w:val="20"/>
                <w:szCs w:val="20"/>
                <w:color w:val="auto"/>
              </w:rPr>
            </w:pPr>
            <w:r>
              <w:rPr>
                <w:rFonts w:ascii="Arial" w:cs="Arial" w:eastAsia="Arial" w:hAnsi="Arial"/>
                <w:sz w:val="14"/>
                <w:szCs w:val="14"/>
                <w:color w:val="auto"/>
              </w:rPr>
              <w:t>Restructuring</w:t>
            </w:r>
          </w:p>
        </w:tc>
        <w:tc>
          <w:tcPr>
            <w:tcW w:w="2300" w:type="dxa"/>
            <w:vAlign w:val="bottom"/>
            <w:gridSpan w:val="2"/>
          </w:tcPr>
          <w:p>
            <w:pPr>
              <w:jc w:val="right"/>
              <w:ind w:right="1081"/>
              <w:spacing w:after="0" w:line="149" w:lineRule="exact"/>
              <w:rPr>
                <w:sz w:val="20"/>
                <w:szCs w:val="20"/>
                <w:color w:val="auto"/>
              </w:rPr>
            </w:pPr>
            <w:r>
              <w:rPr>
                <w:rFonts w:ascii="Arial" w:cs="Arial" w:eastAsia="Arial" w:hAnsi="Arial"/>
                <w:sz w:val="14"/>
                <w:szCs w:val="14"/>
                <w:color w:val="auto"/>
              </w:rPr>
              <w:t>Products</w:t>
            </w:r>
          </w:p>
        </w:tc>
        <w:tc>
          <w:tcPr>
            <w:tcW w:w="88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color w:val="auto"/>
              </w:rPr>
              <w:t>SG&amp;A</w:t>
            </w:r>
            <w:r>
              <w:rPr>
                <w:rFonts w:ascii="Arial" w:cs="Arial" w:eastAsia="Arial" w:hAnsi="Arial"/>
                <w:sz w:val="22"/>
                <w:szCs w:val="22"/>
                <w:color w:val="auto"/>
                <w:vertAlign w:val="superscript"/>
              </w:rPr>
              <w:t>(b)</w:t>
            </w:r>
          </w:p>
        </w:tc>
        <w:tc>
          <w:tcPr>
            <w:tcW w:w="200" w:type="dxa"/>
            <w:vAlign w:val="bottom"/>
          </w:tcPr>
          <w:p>
            <w:pPr>
              <w:spacing w:after="0"/>
              <w:rPr>
                <w:sz w:val="12"/>
                <w:szCs w:val="12"/>
                <w:color w:val="auto"/>
              </w:rPr>
            </w:pPr>
          </w:p>
        </w:tc>
        <w:tc>
          <w:tcPr>
            <w:tcW w:w="480" w:type="dxa"/>
            <w:vAlign w:val="bottom"/>
          </w:tcPr>
          <w:p>
            <w:pPr>
              <w:jc w:val="right"/>
              <w:ind w:right="16"/>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4860" w:type="dxa"/>
            <w:vAlign w:val="bottom"/>
            <w:tcBorders>
              <w:bottom w:val="single" w:sz="8" w:color="auto"/>
            </w:tcBorders>
            <w:vMerge w:val="continue"/>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jc w:val="right"/>
              <w:ind w:right="476"/>
              <w:spacing w:after="0" w:line="149" w:lineRule="exact"/>
              <w:rPr>
                <w:sz w:val="20"/>
                <w:szCs w:val="20"/>
                <w:color w:val="auto"/>
              </w:rPr>
            </w:pPr>
            <w:r>
              <w:rPr>
                <w:rFonts w:ascii="Arial" w:cs="Arial" w:eastAsia="Arial" w:hAnsi="Arial"/>
                <w:sz w:val="14"/>
                <w:szCs w:val="14"/>
                <w:color w:val="auto"/>
              </w:rPr>
              <w:t>Charges</w:t>
            </w:r>
          </w:p>
        </w:tc>
        <w:tc>
          <w:tcPr>
            <w:tcW w:w="7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1081"/>
              <w:spacing w:after="0" w:line="149" w:lineRule="exact"/>
              <w:rPr>
                <w:sz w:val="20"/>
                <w:szCs w:val="20"/>
                <w:color w:val="auto"/>
              </w:rPr>
            </w:pPr>
            <w:r>
              <w:rPr>
                <w:rFonts w:ascii="Arial" w:cs="Arial" w:eastAsia="Arial" w:hAnsi="Arial"/>
                <w:sz w:val="14"/>
                <w:szCs w:val="14"/>
                <w:color w:val="auto"/>
              </w:rPr>
              <w:t>Sold</w:t>
            </w:r>
          </w:p>
        </w:tc>
        <w:tc>
          <w:tcPr>
            <w:tcW w:w="880" w:type="dxa"/>
            <w:vAlign w:val="bottom"/>
            <w:tcBorders>
              <w:bottom w:val="single" w:sz="8" w:color="auto"/>
              <w:right w:val="single" w:sz="8" w:color="auto"/>
            </w:tcBorders>
            <w:gridSpan w:val="2"/>
            <w:vMerge w:val="continue"/>
          </w:tcPr>
          <w:p>
            <w:pPr>
              <w:spacing w:after="0"/>
              <w:rPr>
                <w:sz w:val="12"/>
                <w:szCs w:val="12"/>
                <w:color w:val="auto"/>
              </w:rPr>
            </w:pPr>
          </w:p>
        </w:tc>
        <w:tc>
          <w:tcPr>
            <w:tcW w:w="680" w:type="dxa"/>
            <w:vAlign w:val="bottom"/>
            <w:tcBorders>
              <w:bottom w:val="single" w:sz="8" w:color="auto"/>
            </w:tcBorders>
            <w:gridSpan w:val="2"/>
          </w:tcPr>
          <w:p>
            <w:pPr>
              <w:ind w:left="60"/>
              <w:spacing w:after="0" w:line="149" w:lineRule="exact"/>
              <w:rPr>
                <w:sz w:val="20"/>
                <w:szCs w:val="20"/>
                <w:color w:val="auto"/>
              </w:rPr>
            </w:pPr>
            <w:r>
              <w:rPr>
                <w:rFonts w:ascii="Arial" w:cs="Arial" w:eastAsia="Arial" w:hAnsi="Arial"/>
                <w:sz w:val="14"/>
                <w:szCs w:val="14"/>
                <w:color w:val="auto"/>
              </w:rPr>
              <w:t>Charges</w:t>
            </w:r>
          </w:p>
        </w:tc>
        <w:tc>
          <w:tcPr>
            <w:tcW w:w="0" w:type="dxa"/>
            <w:vAlign w:val="bottom"/>
          </w:tcPr>
          <w:p>
            <w:pPr>
              <w:spacing w:after="0"/>
              <w:rPr>
                <w:sz w:val="1"/>
                <w:szCs w:val="1"/>
                <w:color w:val="auto"/>
              </w:rPr>
            </w:pPr>
          </w:p>
        </w:tc>
      </w:tr>
      <w:tr>
        <w:trPr>
          <w:trHeight w:val="196"/>
        </w:trPr>
        <w:tc>
          <w:tcPr>
            <w:tcW w:w="4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Kitchen &amp; Bath Cabinetry</w:t>
            </w:r>
          </w:p>
        </w:tc>
        <w:tc>
          <w:tcPr>
            <w:tcW w:w="154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shd w:val="clear" w:color="auto" w:fill="CCEEFF"/>
          </w:tcPr>
          <w:p>
            <w:pPr>
              <w:jc w:val="right"/>
              <w:ind w:right="476"/>
              <w:spacing w:after="0" w:line="196" w:lineRule="exact"/>
              <w:rPr>
                <w:sz w:val="20"/>
                <w:szCs w:val="20"/>
                <w:color w:val="auto"/>
              </w:rPr>
            </w:pPr>
            <w:r>
              <w:rPr>
                <w:rFonts w:ascii="Arial" w:cs="Arial" w:eastAsia="Arial" w:hAnsi="Arial"/>
                <w:sz w:val="18"/>
                <w:szCs w:val="18"/>
                <w:color w:val="auto"/>
              </w:rPr>
              <w:t>2.5</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081"/>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Advanced Material Windows &amp; Door Systems</w:t>
            </w:r>
          </w:p>
        </w:tc>
        <w:tc>
          <w:tcPr>
            <w:tcW w:w="1540" w:type="dxa"/>
            <w:vAlign w:val="bottom"/>
          </w:tcPr>
          <w:p>
            <w:pPr>
              <w:spacing w:after="0"/>
              <w:rPr>
                <w:sz w:val="17"/>
                <w:szCs w:val="17"/>
                <w:color w:val="auto"/>
              </w:rPr>
            </w:pPr>
          </w:p>
        </w:tc>
        <w:tc>
          <w:tcPr>
            <w:tcW w:w="1160" w:type="dxa"/>
            <w:vAlign w:val="bottom"/>
            <w:tcBorders>
              <w:right w:val="single" w:sz="8" w:color="auto"/>
            </w:tcBorders>
          </w:tcPr>
          <w:p>
            <w:pPr>
              <w:jc w:val="right"/>
              <w:ind w:right="476"/>
              <w:spacing w:after="0" w:line="202" w:lineRule="exact"/>
              <w:rPr>
                <w:sz w:val="20"/>
                <w:szCs w:val="20"/>
                <w:color w:val="auto"/>
              </w:rPr>
            </w:pPr>
            <w:r>
              <w:rPr>
                <w:rFonts w:ascii="Arial" w:cs="Arial" w:eastAsia="Arial" w:hAnsi="Arial"/>
                <w:sz w:val="18"/>
                <w:szCs w:val="18"/>
                <w:color w:val="auto"/>
              </w:rPr>
              <w:t>2.4</w:t>
            </w:r>
          </w:p>
        </w:tc>
        <w:tc>
          <w:tcPr>
            <w:tcW w:w="700" w:type="dxa"/>
            <w:vAlign w:val="bottom"/>
          </w:tcPr>
          <w:p>
            <w:pPr>
              <w:spacing w:after="0"/>
              <w:rPr>
                <w:sz w:val="17"/>
                <w:szCs w:val="17"/>
                <w:color w:val="auto"/>
              </w:rPr>
            </w:pPr>
          </w:p>
        </w:tc>
        <w:tc>
          <w:tcPr>
            <w:tcW w:w="1600" w:type="dxa"/>
            <w:vAlign w:val="bottom"/>
          </w:tcPr>
          <w:p>
            <w:pPr>
              <w:jc w:val="right"/>
              <w:ind w:right="1081"/>
              <w:spacing w:after="0" w:line="202"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7"/>
                <w:szCs w:val="17"/>
                <w:color w:val="auto"/>
              </w:rPr>
            </w:pPr>
          </w:p>
        </w:tc>
        <w:tc>
          <w:tcPr>
            <w:tcW w:w="660" w:type="dxa"/>
            <w:vAlign w:val="bottom"/>
            <w:tcBorders>
              <w:right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(0.4)</w:t>
            </w:r>
          </w:p>
        </w:tc>
        <w:tc>
          <w:tcPr>
            <w:tcW w:w="200" w:type="dxa"/>
            <w:vAlign w:val="bottom"/>
          </w:tcPr>
          <w:p>
            <w:pPr>
              <w:spacing w:after="0"/>
              <w:rPr>
                <w:sz w:val="17"/>
                <w:szCs w:val="17"/>
                <w:color w:val="auto"/>
              </w:rPr>
            </w:pPr>
          </w:p>
        </w:tc>
        <w:tc>
          <w:tcPr>
            <w:tcW w:w="4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48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Security &amp; Storage</w:t>
            </w:r>
          </w:p>
        </w:tc>
        <w:tc>
          <w:tcPr>
            <w:tcW w:w="15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right w:val="single" w:sz="8" w:color="auto"/>
            </w:tcBorders>
            <w:shd w:val="clear" w:color="auto" w:fill="CCEEFF"/>
          </w:tcPr>
          <w:p>
            <w:pPr>
              <w:jc w:val="right"/>
              <w:ind w:right="476"/>
              <w:spacing w:after="0" w:line="202" w:lineRule="exact"/>
              <w:rPr>
                <w:sz w:val="20"/>
                <w:szCs w:val="20"/>
                <w:color w:val="auto"/>
              </w:rPr>
            </w:pPr>
            <w:r>
              <w:rPr>
                <w:rFonts w:ascii="Arial" w:cs="Arial" w:eastAsia="Arial" w:hAnsi="Arial"/>
                <w:sz w:val="18"/>
                <w:szCs w:val="18"/>
                <w:color w:val="auto"/>
              </w:rPr>
              <w:t>3.1</w:t>
            </w:r>
          </w:p>
        </w:tc>
        <w:tc>
          <w:tcPr>
            <w:tcW w:w="7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1081"/>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right w:val="single" w:sz="8" w:color="auto"/>
            </w:tcBorders>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3.9</w:t>
            </w:r>
          </w:p>
        </w:tc>
        <w:tc>
          <w:tcPr>
            <w:tcW w:w="2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3"/>
        </w:trPr>
        <w:tc>
          <w:tcPr>
            <w:tcW w:w="48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tcPr>
          <w:p>
            <w:pPr>
              <w:jc w:val="right"/>
              <w:ind w:right="19"/>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476"/>
              <w:spacing w:after="0" w:line="196" w:lineRule="exact"/>
              <w:rPr>
                <w:sz w:val="20"/>
                <w:szCs w:val="20"/>
                <w:color w:val="auto"/>
              </w:rPr>
            </w:pPr>
            <w:r>
              <w:rPr>
                <w:rFonts w:ascii="Arial" w:cs="Arial" w:eastAsia="Arial" w:hAnsi="Arial"/>
                <w:sz w:val="18"/>
                <w:szCs w:val="18"/>
                <w:color w:val="auto"/>
              </w:rPr>
              <w:t>8.0</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1081"/>
              <w:spacing w:after="0" w:line="196" w:lineRule="exact"/>
              <w:rPr>
                <w:sz w:val="20"/>
                <w:szCs w:val="20"/>
                <w:color w:val="auto"/>
              </w:rPr>
            </w:pPr>
            <w:r>
              <w:rPr>
                <w:rFonts w:ascii="Arial" w:cs="Arial" w:eastAsia="Arial" w:hAnsi="Arial"/>
                <w:sz w:val="18"/>
                <w:szCs w:val="18"/>
                <w:color w:val="auto"/>
              </w:rPr>
              <w:t>1.0</w:t>
            </w:r>
          </w:p>
        </w:tc>
        <w:tc>
          <w:tcPr>
            <w:tcW w:w="22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tcPr>
          <w:p>
            <w:pPr>
              <w:jc w:val="right"/>
              <w:ind w:right="212"/>
              <w:spacing w:after="0" w:line="196" w:lineRule="exact"/>
              <w:rPr>
                <w:sz w:val="20"/>
                <w:szCs w:val="20"/>
                <w:color w:val="auto"/>
              </w:rPr>
            </w:pPr>
            <w:r>
              <w:rPr>
                <w:rFonts w:ascii="Arial" w:cs="Arial" w:eastAsia="Arial" w:hAnsi="Arial"/>
                <w:sz w:val="18"/>
                <w:szCs w:val="18"/>
                <w:color w:val="auto"/>
              </w:rPr>
              <w:t>3.5</w:t>
            </w:r>
          </w:p>
        </w:tc>
        <w:tc>
          <w:tcPr>
            <w:tcW w:w="2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20" w:right="720" w:hanging="212"/>
        <w:spacing w:after="0" w:line="180" w:lineRule="auto"/>
        <w:tabs>
          <w:tab w:leader="none" w:pos="22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“Other charges” represent charges directly related to restructuring initiatives that cannot be reported as restructuring under GAAP. Such costs may include losses on disposal of inventories, trade receivables allowances from exiting product lines and accelerated depreciation resulting from the closure of facilities.</w:t>
      </w:r>
    </w:p>
    <w:p>
      <w:pPr>
        <w:ind w:left="220" w:hanging="212"/>
        <w:spacing w:after="0" w:line="217" w:lineRule="auto"/>
        <w:tabs>
          <w:tab w:leader="none" w:pos="22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Selling, general and administrative expenses</w:t>
      </w:r>
    </w:p>
    <w:p>
      <w:pPr>
        <w:spacing w:after="0" w:line="72" w:lineRule="exact"/>
        <w:rPr>
          <w:sz w:val="20"/>
          <w:szCs w:val="20"/>
          <w:color w:val="auto"/>
        </w:rPr>
      </w:pPr>
    </w:p>
    <w:p>
      <w:pPr>
        <w:ind w:right="620"/>
        <w:spacing w:after="0" w:line="238" w:lineRule="auto"/>
        <w:rPr>
          <w:sz w:val="20"/>
          <w:szCs w:val="20"/>
          <w:color w:val="auto"/>
        </w:rPr>
      </w:pPr>
      <w:r>
        <w:rPr>
          <w:rFonts w:ascii="Arial" w:cs="Arial" w:eastAsia="Arial" w:hAnsi="Arial"/>
          <w:sz w:val="18"/>
          <w:szCs w:val="18"/>
          <w:color w:val="auto"/>
        </w:rPr>
        <w:t>Pretax restructuring and other charges of $12.5 million in 2010 primarily related to product line integration and facility consolidations. These charges consisted of $4.9 million for workforce reductions, $0.5 million of fixed asset write-downs, $3.9 million primarily for accelerated depreciation for facilities that will be closed, and $3.2 million of other costs.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Pre-tax restructuring and other charges for the year ended December 31, 2009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color w:val="auto"/>
                <w:w w:val="97"/>
              </w:rPr>
              <w:t>Year Ended December 31, 2009</w:t>
            </w:r>
          </w:p>
        </w:tc>
        <w:tc>
          <w:tcPr>
            <w:tcW w:w="8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line="237" w:lineRule="exact"/>
              <w:rPr>
                <w:sz w:val="20"/>
                <w:szCs w:val="20"/>
                <w:color w:val="auto"/>
              </w:rPr>
            </w:pPr>
            <w:r>
              <w:rPr>
                <w:rFonts w:ascii="Arial" w:cs="Arial" w:eastAsia="Arial" w:hAnsi="Arial"/>
                <w:sz w:val="14"/>
                <w:szCs w:val="14"/>
                <w:color w:val="auto"/>
              </w:rPr>
              <w:t>Other Charges</w:t>
            </w:r>
            <w:r>
              <w:rPr>
                <w:rFonts w:ascii="Arial" w:cs="Arial" w:eastAsia="Arial" w:hAnsi="Arial"/>
                <w:sz w:val="22"/>
                <w:szCs w:val="22"/>
                <w:color w:val="auto"/>
                <w:vertAlign w:val="superscript"/>
              </w:rPr>
              <w:t>(a)</w:t>
            </w:r>
          </w:p>
        </w:tc>
        <w:tc>
          <w:tcPr>
            <w:tcW w:w="840" w:type="dxa"/>
            <w:vAlign w:val="bottom"/>
            <w:tcBorders>
              <w:bottom w:val="single" w:sz="8" w:color="auto"/>
              <w:righ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48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jc w:val="right"/>
              <w:spacing w:after="0" w:line="141" w:lineRule="exact"/>
              <w:rPr>
                <w:sz w:val="20"/>
                <w:szCs w:val="20"/>
                <w:color w:val="auto"/>
              </w:rPr>
            </w:pPr>
            <w:r>
              <w:rPr>
                <w:rFonts w:ascii="Arial" w:cs="Arial" w:eastAsia="Arial" w:hAnsi="Arial"/>
                <w:sz w:val="14"/>
                <w:szCs w:val="14"/>
                <w:color w:val="auto"/>
                <w:w w:val="90"/>
              </w:rPr>
              <w:t>Cost of</w:t>
            </w:r>
          </w:p>
        </w:tc>
        <w:tc>
          <w:tcPr>
            <w:tcW w:w="128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2560" w:type="dxa"/>
            <w:vAlign w:val="bottom"/>
            <w:tcBorders>
              <w:right w:val="single" w:sz="8" w:color="auto"/>
            </w:tcBorders>
            <w:gridSpan w:val="2"/>
          </w:tcPr>
          <w:p>
            <w:pPr>
              <w:ind w:left="1280"/>
              <w:spacing w:after="0" w:line="149" w:lineRule="exact"/>
              <w:rPr>
                <w:sz w:val="20"/>
                <w:szCs w:val="20"/>
                <w:color w:val="auto"/>
              </w:rPr>
            </w:pPr>
            <w:r>
              <w:rPr>
                <w:rFonts w:ascii="Arial" w:cs="Arial" w:eastAsia="Arial" w:hAnsi="Arial"/>
                <w:sz w:val="14"/>
                <w:szCs w:val="14"/>
                <w:color w:val="auto"/>
              </w:rPr>
              <w:t>Restructuring</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Products</w:t>
            </w:r>
          </w:p>
        </w:tc>
        <w:tc>
          <w:tcPr>
            <w:tcW w:w="2120" w:type="dxa"/>
            <w:vAlign w:val="bottom"/>
            <w:tcBorders>
              <w:right w:val="single" w:sz="8" w:color="auto"/>
            </w:tcBorders>
            <w:gridSpan w:val="2"/>
            <w:vMerge w:val="restart"/>
          </w:tcPr>
          <w:p>
            <w:pPr>
              <w:ind w:left="1060"/>
              <w:spacing w:after="0"/>
              <w:rPr>
                <w:sz w:val="20"/>
                <w:szCs w:val="20"/>
                <w:color w:val="auto"/>
              </w:rPr>
            </w:pPr>
            <w:r>
              <w:rPr>
                <w:rFonts w:ascii="Arial" w:cs="Arial" w:eastAsia="Arial" w:hAnsi="Arial"/>
                <w:sz w:val="14"/>
                <w:szCs w:val="14"/>
                <w:color w:val="auto"/>
              </w:rPr>
              <w:t>SG&amp;A</w:t>
            </w:r>
            <w:r>
              <w:rPr>
                <w:rFonts w:ascii="Arial" w:cs="Arial" w:eastAsia="Arial" w:hAnsi="Arial"/>
                <w:sz w:val="22"/>
                <w:szCs w:val="22"/>
                <w:color w:val="auto"/>
                <w:vertAlign w:val="superscript"/>
              </w:rPr>
              <w:t>(b)</w:t>
            </w:r>
          </w:p>
        </w:tc>
        <w:tc>
          <w:tcPr>
            <w:tcW w:w="880" w:type="dxa"/>
            <w:vAlign w:val="bottom"/>
          </w:tcPr>
          <w:p>
            <w:pPr>
              <w:jc w:val="right"/>
              <w:ind w:right="18"/>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4800" w:type="dxa"/>
            <w:vAlign w:val="bottom"/>
            <w:tcBorders>
              <w:bottom w:val="single" w:sz="8" w:color="auto"/>
            </w:tcBorders>
            <w:vMerge w:val="continue"/>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jc w:val="right"/>
              <w:ind w:right="396"/>
              <w:spacing w:after="0" w:line="149" w:lineRule="exact"/>
              <w:rPr>
                <w:sz w:val="20"/>
                <w:szCs w:val="20"/>
                <w:color w:val="auto"/>
              </w:rPr>
            </w:pPr>
            <w:r>
              <w:rPr>
                <w:rFonts w:ascii="Arial" w:cs="Arial" w:eastAsia="Arial" w:hAnsi="Arial"/>
                <w:sz w:val="14"/>
                <w:szCs w:val="14"/>
                <w:color w:val="auto"/>
              </w:rPr>
              <w:t>Charges</w:t>
            </w:r>
          </w:p>
        </w:tc>
        <w:tc>
          <w:tcPr>
            <w:tcW w:w="6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Sold</w:t>
            </w:r>
          </w:p>
        </w:tc>
        <w:tc>
          <w:tcPr>
            <w:tcW w:w="2120" w:type="dxa"/>
            <w:vAlign w:val="bottom"/>
            <w:tcBorders>
              <w:bottom w:val="single" w:sz="8" w:color="auto"/>
              <w:right w:val="single" w:sz="8" w:color="auto"/>
            </w:tcBorders>
            <w:gridSpan w:val="2"/>
            <w:vMerge w:val="continue"/>
          </w:tcPr>
          <w:p>
            <w:pPr>
              <w:spacing w:after="0"/>
              <w:rPr>
                <w:sz w:val="12"/>
                <w:szCs w:val="12"/>
                <w:color w:val="auto"/>
              </w:rPr>
            </w:pPr>
          </w:p>
        </w:tc>
        <w:tc>
          <w:tcPr>
            <w:tcW w:w="880" w:type="dxa"/>
            <w:vAlign w:val="bottom"/>
            <w:tcBorders>
              <w:bottom w:val="single" w:sz="8" w:color="auto"/>
            </w:tcBorders>
          </w:tcPr>
          <w:p>
            <w:pPr>
              <w:jc w:val="right"/>
              <w:ind w:right="18"/>
              <w:spacing w:after="0" w:line="149" w:lineRule="exact"/>
              <w:rPr>
                <w:sz w:val="20"/>
                <w:szCs w:val="20"/>
                <w:color w:val="auto"/>
              </w:rPr>
            </w:pPr>
            <w:r>
              <w:rPr>
                <w:rFonts w:ascii="Arial" w:cs="Arial" w:eastAsia="Arial" w:hAnsi="Arial"/>
                <w:sz w:val="14"/>
                <w:szCs w:val="14"/>
                <w:color w:val="auto"/>
              </w:rPr>
              <w:t>Charges</w:t>
            </w: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Kitchen &amp; Bath Cabinetry</w:t>
            </w:r>
          </w:p>
        </w:tc>
        <w:tc>
          <w:tcPr>
            <w:tcW w:w="1480" w:type="dxa"/>
            <w:vAlign w:val="bottom"/>
            <w:shd w:val="clear" w:color="auto" w:fill="CCEEFF"/>
          </w:tcPr>
          <w:p>
            <w:pPr>
              <w:ind w:left="128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shd w:val="clear" w:color="auto" w:fill="CCEEFF"/>
          </w:tcPr>
          <w:p>
            <w:pPr>
              <w:jc w:val="right"/>
              <w:ind w:right="396"/>
              <w:spacing w:after="0" w:line="196" w:lineRule="exact"/>
              <w:rPr>
                <w:sz w:val="20"/>
                <w:szCs w:val="20"/>
                <w:color w:val="auto"/>
              </w:rPr>
            </w:pPr>
            <w:r>
              <w:rPr>
                <w:rFonts w:ascii="Arial" w:cs="Arial" w:eastAsia="Arial" w:hAnsi="Arial"/>
                <w:sz w:val="18"/>
                <w:szCs w:val="18"/>
                <w:color w:val="auto"/>
              </w:rPr>
              <w:t>14.5</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12.7</w:t>
            </w:r>
          </w:p>
        </w:tc>
        <w:tc>
          <w:tcPr>
            <w:tcW w:w="1280" w:type="dxa"/>
            <w:vAlign w:val="bottom"/>
            <w:shd w:val="clear" w:color="auto" w:fill="CCEEFF"/>
          </w:tcPr>
          <w:p>
            <w:pPr>
              <w:ind w:left="106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CEEFF"/>
          </w:tcPr>
          <w:p>
            <w:pPr>
              <w:jc w:val="right"/>
              <w:ind w:right="472"/>
              <w:spacing w:after="0" w:line="196" w:lineRule="exact"/>
              <w:rPr>
                <w:sz w:val="20"/>
                <w:szCs w:val="20"/>
                <w:color w:val="auto"/>
              </w:rPr>
            </w:pPr>
            <w:r>
              <w:rPr>
                <w:rFonts w:ascii="Arial" w:cs="Arial" w:eastAsia="Arial" w:hAnsi="Arial"/>
                <w:sz w:val="18"/>
                <w:szCs w:val="18"/>
                <w:color w:val="auto"/>
              </w:rPr>
              <w:t>2.1</w:t>
            </w:r>
          </w:p>
        </w:tc>
        <w:tc>
          <w:tcPr>
            <w:tcW w:w="880" w:type="dxa"/>
            <w:vAlign w:val="bottom"/>
            <w:shd w:val="clear" w:color="auto" w:fill="CCEEFF"/>
          </w:tcPr>
          <w:p>
            <w:pPr>
              <w:jc w:val="right"/>
              <w:ind w:right="18"/>
              <w:spacing w:after="0" w:line="196" w:lineRule="exact"/>
              <w:rPr>
                <w:sz w:val="20"/>
                <w:szCs w:val="20"/>
                <w:color w:val="auto"/>
              </w:rPr>
            </w:pPr>
            <w:r>
              <w:rPr>
                <w:rFonts w:ascii="Arial" w:cs="Arial" w:eastAsia="Arial" w:hAnsi="Arial"/>
                <w:sz w:val="18"/>
                <w:szCs w:val="18"/>
                <w:color w:val="auto"/>
              </w:rPr>
              <w:t>$ 29.3</w:t>
            </w:r>
          </w:p>
        </w:tc>
        <w:tc>
          <w:tcPr>
            <w:tcW w:w="0" w:type="dxa"/>
            <w:vAlign w:val="bottom"/>
          </w:tcPr>
          <w:p>
            <w:pPr>
              <w:spacing w:after="0"/>
              <w:rPr>
                <w:sz w:val="1"/>
                <w:szCs w:val="1"/>
                <w:color w:val="auto"/>
              </w:rPr>
            </w:pP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Plumbing &amp; Accessories</w:t>
            </w:r>
          </w:p>
        </w:tc>
        <w:tc>
          <w:tcPr>
            <w:tcW w:w="1480" w:type="dxa"/>
            <w:vAlign w:val="bottom"/>
          </w:tcPr>
          <w:p>
            <w:pPr>
              <w:spacing w:after="0"/>
              <w:rPr>
                <w:sz w:val="17"/>
                <w:szCs w:val="17"/>
                <w:color w:val="auto"/>
              </w:rPr>
            </w:pPr>
          </w:p>
        </w:tc>
        <w:tc>
          <w:tcPr>
            <w:tcW w:w="1080" w:type="dxa"/>
            <w:vAlign w:val="bottom"/>
            <w:tcBorders>
              <w:right w:val="single" w:sz="8" w:color="auto"/>
            </w:tcBorders>
          </w:tcPr>
          <w:p>
            <w:pPr>
              <w:jc w:val="right"/>
              <w:ind w:right="396"/>
              <w:spacing w:after="0" w:line="202" w:lineRule="exact"/>
              <w:rPr>
                <w:sz w:val="20"/>
                <w:szCs w:val="20"/>
                <w:color w:val="auto"/>
              </w:rPr>
            </w:pPr>
            <w:r>
              <w:rPr>
                <w:rFonts w:ascii="Arial" w:cs="Arial" w:eastAsia="Arial" w:hAnsi="Arial"/>
                <w:sz w:val="18"/>
                <w:szCs w:val="18"/>
                <w:color w:val="auto"/>
              </w:rPr>
              <w:t>2.7</w:t>
            </w:r>
          </w:p>
        </w:tc>
        <w:tc>
          <w:tcPr>
            <w:tcW w:w="6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1280" w:type="dxa"/>
            <w:vAlign w:val="bottom"/>
          </w:tcPr>
          <w:p>
            <w:pPr>
              <w:spacing w:after="0"/>
              <w:rPr>
                <w:sz w:val="17"/>
                <w:szCs w:val="17"/>
                <w:color w:val="auto"/>
              </w:rPr>
            </w:pPr>
          </w:p>
        </w:tc>
        <w:tc>
          <w:tcPr>
            <w:tcW w:w="840" w:type="dxa"/>
            <w:vAlign w:val="bottom"/>
            <w:tcBorders>
              <w:right w:val="single" w:sz="8" w:color="auto"/>
            </w:tcBorders>
          </w:tcPr>
          <w:p>
            <w:pPr>
              <w:jc w:val="right"/>
              <w:ind w:right="472"/>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8"/>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Advanced Material Windows &amp; Door Systems</w:t>
            </w:r>
          </w:p>
        </w:tc>
        <w:tc>
          <w:tcPr>
            <w:tcW w:w="148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jc w:val="right"/>
              <w:ind w:right="396"/>
              <w:spacing w:after="0" w:line="202" w:lineRule="exact"/>
              <w:rPr>
                <w:sz w:val="20"/>
                <w:szCs w:val="20"/>
                <w:color w:val="auto"/>
              </w:rPr>
            </w:pPr>
            <w:r>
              <w:rPr>
                <w:rFonts w:ascii="Arial" w:cs="Arial" w:eastAsia="Arial" w:hAnsi="Arial"/>
                <w:sz w:val="18"/>
                <w:szCs w:val="18"/>
                <w:color w:val="auto"/>
              </w:rPr>
              <w:t>3.9</w:t>
            </w: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w:t>
            </w:r>
          </w:p>
        </w:tc>
        <w:tc>
          <w:tcPr>
            <w:tcW w:w="12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ind w:right="472"/>
              <w:spacing w:after="0" w:line="202" w:lineRule="exact"/>
              <w:rPr>
                <w:sz w:val="20"/>
                <w:szCs w:val="20"/>
                <w:color w:val="auto"/>
              </w:rPr>
            </w:pPr>
            <w:r>
              <w:rPr>
                <w:rFonts w:ascii="Arial" w:cs="Arial" w:eastAsia="Arial" w:hAnsi="Arial"/>
                <w:sz w:val="18"/>
                <w:szCs w:val="18"/>
                <w:color w:val="auto"/>
              </w:rPr>
              <w:t>1.9</w:t>
            </w:r>
          </w:p>
        </w:tc>
        <w:tc>
          <w:tcPr>
            <w:tcW w:w="880" w:type="dxa"/>
            <w:vAlign w:val="bottom"/>
            <w:shd w:val="clear" w:color="auto" w:fill="CCEEFF"/>
          </w:tcPr>
          <w:p>
            <w:pPr>
              <w:jc w:val="right"/>
              <w:ind w:right="18"/>
              <w:spacing w:after="0" w:line="202" w:lineRule="exact"/>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3"/>
        </w:trPr>
        <w:tc>
          <w:tcPr>
            <w:tcW w:w="48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Security &amp; Storage</w:t>
            </w:r>
          </w:p>
        </w:tc>
        <w:tc>
          <w:tcPr>
            <w:tcW w:w="148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jc w:val="right"/>
              <w:ind w:right="396"/>
              <w:spacing w:after="0" w:line="202" w:lineRule="exact"/>
              <w:rPr>
                <w:sz w:val="20"/>
                <w:szCs w:val="20"/>
                <w:color w:val="auto"/>
              </w:rPr>
            </w:pPr>
            <w:r>
              <w:rPr>
                <w:rFonts w:ascii="Arial" w:cs="Arial" w:eastAsia="Arial" w:hAnsi="Arial"/>
                <w:sz w:val="18"/>
                <w:szCs w:val="18"/>
                <w:color w:val="auto"/>
              </w:rPr>
              <w:t>0.7</w:t>
            </w:r>
          </w:p>
        </w:tc>
        <w:tc>
          <w:tcPr>
            <w:tcW w:w="6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right"/>
              <w:ind w:right="472"/>
              <w:spacing w:after="0" w:line="202" w:lineRule="exact"/>
              <w:rPr>
                <w:sz w:val="20"/>
                <w:szCs w:val="20"/>
                <w:color w:val="auto"/>
              </w:rPr>
            </w:pPr>
            <w:r>
              <w:rPr>
                <w:rFonts w:ascii="Arial" w:cs="Arial" w:eastAsia="Arial" w:hAnsi="Arial"/>
                <w:sz w:val="18"/>
                <w:szCs w:val="18"/>
                <w:color w:val="auto"/>
              </w:rPr>
              <w:t>0.1</w:t>
            </w:r>
          </w:p>
        </w:tc>
        <w:tc>
          <w:tcPr>
            <w:tcW w:w="880" w:type="dxa"/>
            <w:vAlign w:val="bottom"/>
            <w:tcBorders>
              <w:bottom w:val="single" w:sz="8" w:color="auto"/>
            </w:tcBorders>
          </w:tcPr>
          <w:p>
            <w:pPr>
              <w:jc w:val="right"/>
              <w:ind w:right="18"/>
              <w:spacing w:after="0" w:line="202" w:lineRule="exact"/>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3"/>
        </w:trPr>
        <w:tc>
          <w:tcPr>
            <w:tcW w:w="48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shd w:val="clear" w:color="auto" w:fill="CCEEFF"/>
          </w:tcPr>
          <w:p>
            <w:pPr>
              <w:ind w:left="128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shd w:val="clear" w:color="auto" w:fill="CCEEFF"/>
          </w:tcPr>
          <w:p>
            <w:pPr>
              <w:jc w:val="right"/>
              <w:ind w:right="396"/>
              <w:spacing w:after="0" w:line="196" w:lineRule="exact"/>
              <w:rPr>
                <w:sz w:val="20"/>
                <w:szCs w:val="20"/>
                <w:color w:val="auto"/>
              </w:rPr>
            </w:pPr>
            <w:r>
              <w:rPr>
                <w:rFonts w:ascii="Arial" w:cs="Arial" w:eastAsia="Arial" w:hAnsi="Arial"/>
                <w:sz w:val="18"/>
                <w:szCs w:val="18"/>
                <w:color w:val="auto"/>
              </w:rPr>
              <w:t>21.8</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26.1</w:t>
            </w:r>
          </w:p>
        </w:tc>
        <w:tc>
          <w:tcPr>
            <w:tcW w:w="1280" w:type="dxa"/>
            <w:vAlign w:val="bottom"/>
            <w:tcBorders>
              <w:bottom w:val="single" w:sz="8" w:color="auto"/>
            </w:tcBorders>
            <w:shd w:val="clear" w:color="auto" w:fill="CCEEFF"/>
          </w:tcPr>
          <w:p>
            <w:pPr>
              <w:ind w:left="106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CEEFF"/>
          </w:tcPr>
          <w:p>
            <w:pPr>
              <w:jc w:val="right"/>
              <w:ind w:right="472"/>
              <w:spacing w:after="0" w:line="196" w:lineRule="exact"/>
              <w:rPr>
                <w:sz w:val="20"/>
                <w:szCs w:val="20"/>
                <w:color w:val="auto"/>
              </w:rPr>
            </w:pPr>
            <w:r>
              <w:rPr>
                <w:rFonts w:ascii="Arial" w:cs="Arial" w:eastAsia="Arial" w:hAnsi="Arial"/>
                <w:sz w:val="18"/>
                <w:szCs w:val="18"/>
                <w:color w:val="auto"/>
              </w:rPr>
              <w:t>4.1</w:t>
            </w:r>
          </w:p>
        </w:tc>
        <w:tc>
          <w:tcPr>
            <w:tcW w:w="880" w:type="dxa"/>
            <w:vAlign w:val="bottom"/>
            <w:tcBorders>
              <w:bottom w:val="single" w:sz="8" w:color="auto"/>
            </w:tcBorders>
            <w:shd w:val="clear" w:color="auto" w:fill="CCEEFF"/>
          </w:tcPr>
          <w:p>
            <w:pPr>
              <w:jc w:val="right"/>
              <w:ind w:right="18"/>
              <w:spacing w:after="0" w:line="196" w:lineRule="exact"/>
              <w:rPr>
                <w:sz w:val="20"/>
                <w:szCs w:val="20"/>
                <w:color w:val="auto"/>
              </w:rPr>
            </w:pPr>
            <w:r>
              <w:rPr>
                <w:rFonts w:ascii="Arial" w:cs="Arial" w:eastAsia="Arial" w:hAnsi="Arial"/>
                <w:sz w:val="18"/>
                <w:szCs w:val="18"/>
                <w:color w:val="auto"/>
              </w:rPr>
              <w:t>$ 52.0</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20" w:right="720" w:hanging="212"/>
        <w:spacing w:after="0" w:line="180" w:lineRule="auto"/>
        <w:tabs>
          <w:tab w:leader="none" w:pos="22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“Other charges” represent charges directly related to restructuring initiatives that cannot be reported as restructuring under GAAP. Such costs may include losses on disposal of inventories, trade receivables allowances from exiting product lines and accelerated depreciation resulting from the closure of facilities.</w:t>
      </w:r>
    </w:p>
    <w:p>
      <w:pPr>
        <w:ind w:left="220" w:hanging="212"/>
        <w:spacing w:after="0" w:line="217" w:lineRule="auto"/>
        <w:tabs>
          <w:tab w:leader="none" w:pos="22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Selling, general and administrative expenses</w:t>
      </w:r>
    </w:p>
    <w:p>
      <w:pPr>
        <w:spacing w:after="0" w:line="153"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Restructuring and other charges of $52.0 million in 2009 were primarily due to supply chain realignment and capacity and cost reduction initiatives, including the announced closure of seven additional U.S. manufacturing facilities, as well as workforce reductions. Restructuring charges of $21.8 million primarily consisted of $11.7 million for workforce reductions, $5.2 million for fixed assets write-downs, and $4.9 million for lease contract termination and other costs. Other charges consisted primarily of accelerated depreciation associated with facilities being closed.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Restructuring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220" w:type="dxa"/>
            <w:vAlign w:val="bottom"/>
            <w:gridSpan w:val="2"/>
          </w:tcPr>
          <w:p>
            <w:pPr>
              <w:ind w:left="1260"/>
              <w:spacing w:after="0"/>
              <w:rPr>
                <w:sz w:val="20"/>
                <w:szCs w:val="20"/>
                <w:color w:val="auto"/>
              </w:rPr>
            </w:pPr>
            <w:r>
              <w:rPr>
                <w:rFonts w:ascii="Arial" w:cs="Arial" w:eastAsia="Arial" w:hAnsi="Arial"/>
                <w:sz w:val="14"/>
                <w:szCs w:val="14"/>
                <w:color w:val="auto"/>
              </w:rPr>
              <w:t>Balance at</w:t>
            </w:r>
          </w:p>
        </w:tc>
        <w:tc>
          <w:tcPr>
            <w:tcW w:w="480" w:type="dxa"/>
            <w:vAlign w:val="bottom"/>
          </w:tcPr>
          <w:p>
            <w:pPr>
              <w:spacing w:after="0"/>
              <w:rPr>
                <w:sz w:val="14"/>
                <w:szCs w:val="14"/>
                <w:color w:val="auto"/>
              </w:rPr>
            </w:pPr>
          </w:p>
        </w:tc>
        <w:tc>
          <w:tcPr>
            <w:tcW w:w="720" w:type="dxa"/>
            <w:vAlign w:val="bottom"/>
          </w:tcPr>
          <w:p>
            <w:pPr>
              <w:jc w:val="right"/>
              <w:ind w:right="256"/>
              <w:spacing w:after="0"/>
              <w:rPr>
                <w:sz w:val="20"/>
                <w:szCs w:val="20"/>
                <w:color w:val="auto"/>
              </w:rPr>
            </w:pPr>
            <w:r>
              <w:rPr>
                <w:rFonts w:ascii="Arial" w:cs="Arial" w:eastAsia="Arial" w:hAnsi="Arial"/>
                <w:sz w:val="14"/>
                <w:szCs w:val="14"/>
                <w:color w:val="auto"/>
              </w:rPr>
              <w:t>2011</w:t>
            </w:r>
          </w:p>
        </w:tc>
        <w:tc>
          <w:tcPr>
            <w:tcW w:w="640" w:type="dxa"/>
            <w:vAlign w:val="bottom"/>
          </w:tcPr>
          <w:p>
            <w:pPr>
              <w:spacing w:after="0"/>
              <w:rPr>
                <w:sz w:val="14"/>
                <w:szCs w:val="14"/>
                <w:color w:val="auto"/>
              </w:rPr>
            </w:pPr>
          </w:p>
        </w:tc>
        <w:tc>
          <w:tcPr>
            <w:tcW w:w="920" w:type="dxa"/>
            <w:vAlign w:val="bottom"/>
          </w:tcPr>
          <w:p>
            <w:pPr>
              <w:jc w:val="right"/>
              <w:ind w:right="256"/>
              <w:spacing w:after="0"/>
              <w:rPr>
                <w:sz w:val="20"/>
                <w:szCs w:val="20"/>
                <w:color w:val="auto"/>
              </w:rPr>
            </w:pPr>
            <w:r>
              <w:rPr>
                <w:rFonts w:ascii="Arial" w:cs="Arial" w:eastAsia="Arial" w:hAnsi="Arial"/>
                <w:sz w:val="14"/>
                <w:szCs w:val="14"/>
                <w:color w:val="auto"/>
              </w:rPr>
              <w:t>Cash</w:t>
            </w:r>
          </w:p>
        </w:tc>
        <w:tc>
          <w:tcPr>
            <w:tcW w:w="380" w:type="dxa"/>
            <w:vAlign w:val="bottom"/>
          </w:tcPr>
          <w:p>
            <w:pPr>
              <w:spacing w:after="0"/>
              <w:rPr>
                <w:sz w:val="14"/>
                <w:szCs w:val="14"/>
                <w:color w:val="auto"/>
              </w:rPr>
            </w:pPr>
          </w:p>
        </w:tc>
        <w:tc>
          <w:tcPr>
            <w:tcW w:w="1200" w:type="dxa"/>
            <w:vAlign w:val="bottom"/>
          </w:tcPr>
          <w:p>
            <w:pPr>
              <w:jc w:val="right"/>
              <w:ind w:right="496"/>
              <w:spacing w:after="0"/>
              <w:rPr>
                <w:sz w:val="20"/>
                <w:szCs w:val="20"/>
                <w:color w:val="auto"/>
              </w:rPr>
            </w:pPr>
            <w:r>
              <w:rPr>
                <w:rFonts w:ascii="Arial" w:cs="Arial" w:eastAsia="Arial" w:hAnsi="Arial"/>
                <w:sz w:val="14"/>
                <w:szCs w:val="14"/>
                <w:color w:val="auto"/>
                <w:w w:val="95"/>
              </w:rPr>
              <w:t>Non-Cash</w:t>
            </w:r>
          </w:p>
        </w:tc>
        <w:tc>
          <w:tcPr>
            <w:tcW w:w="1580" w:type="dxa"/>
            <w:vAlign w:val="bottom"/>
            <w:gridSpan w:val="2"/>
          </w:tcPr>
          <w:p>
            <w:pPr>
              <w:ind w:left="560"/>
              <w:spacing w:after="0"/>
              <w:rPr>
                <w:sz w:val="20"/>
                <w:szCs w:val="20"/>
                <w:color w:val="auto"/>
              </w:rPr>
            </w:pPr>
            <w:r>
              <w:rPr>
                <w:rFonts w:ascii="Arial" w:cs="Arial" w:eastAsia="Arial" w:hAnsi="Arial"/>
                <w:sz w:val="14"/>
                <w:szCs w:val="14"/>
                <w:color w:val="auto"/>
              </w:rPr>
              <w:t>Balance at</w:t>
            </w:r>
          </w:p>
        </w:tc>
      </w:tr>
      <w:tr>
        <w:trPr>
          <w:trHeight w:val="169"/>
        </w:trPr>
        <w:tc>
          <w:tcPr>
            <w:tcW w:w="32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millions)</w:t>
            </w:r>
          </w:p>
        </w:tc>
        <w:tc>
          <w:tcPr>
            <w:tcW w:w="1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color w:val="auto"/>
                <w:w w:val="95"/>
              </w:rPr>
              <w:t>12/31/10</w:t>
            </w:r>
          </w:p>
        </w:tc>
        <w:tc>
          <w:tcPr>
            <w:tcW w:w="120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Provision</w:t>
            </w:r>
          </w:p>
        </w:tc>
        <w:tc>
          <w:tcPr>
            <w:tcW w:w="1560" w:type="dxa"/>
            <w:vAlign w:val="bottom"/>
            <w:tcBorders>
              <w:bottom w:val="single" w:sz="8" w:color="auto"/>
            </w:tcBorders>
            <w:gridSpan w:val="2"/>
          </w:tcPr>
          <w:p>
            <w:pPr>
              <w:jc w:val="right"/>
              <w:ind w:right="256"/>
              <w:spacing w:after="0" w:line="170" w:lineRule="exact"/>
              <w:rPr>
                <w:sz w:val="20"/>
                <w:szCs w:val="20"/>
                <w:color w:val="auto"/>
              </w:rPr>
            </w:pPr>
            <w:r>
              <w:rPr>
                <w:rFonts w:ascii="Arial" w:cs="Arial" w:eastAsia="Arial" w:hAnsi="Arial"/>
                <w:sz w:val="12"/>
                <w:szCs w:val="12"/>
                <w:color w:val="auto"/>
              </w:rPr>
              <w:t>Expenditures</w:t>
            </w:r>
            <w:r>
              <w:rPr>
                <w:rFonts w:ascii="Arial" w:cs="Arial" w:eastAsia="Arial" w:hAnsi="Arial"/>
                <w:sz w:val="19"/>
                <w:szCs w:val="19"/>
                <w:color w:val="auto"/>
                <w:vertAlign w:val="superscript"/>
              </w:rPr>
              <w:t>(a)</w:t>
            </w:r>
          </w:p>
        </w:tc>
        <w:tc>
          <w:tcPr>
            <w:tcW w:w="1580" w:type="dxa"/>
            <w:vAlign w:val="bottom"/>
            <w:tcBorders>
              <w:bottom w:val="single" w:sz="8" w:color="auto"/>
            </w:tcBorders>
            <w:gridSpan w:val="2"/>
          </w:tcPr>
          <w:p>
            <w:pPr>
              <w:ind w:left="280"/>
              <w:spacing w:after="0" w:line="170" w:lineRule="exact"/>
              <w:rPr>
                <w:sz w:val="20"/>
                <w:szCs w:val="20"/>
                <w:color w:val="auto"/>
              </w:rPr>
            </w:pPr>
            <w:r>
              <w:rPr>
                <w:rFonts w:ascii="Arial" w:cs="Arial" w:eastAsia="Arial" w:hAnsi="Arial"/>
                <w:sz w:val="12"/>
                <w:szCs w:val="12"/>
                <w:color w:val="auto"/>
              </w:rPr>
              <w:t>Write-offs</w:t>
            </w:r>
            <w:r>
              <w:rPr>
                <w:rFonts w:ascii="Arial" w:cs="Arial" w:eastAsia="Arial" w:hAnsi="Arial"/>
                <w:sz w:val="19"/>
                <w:szCs w:val="19"/>
                <w:color w:val="auto"/>
                <w:vertAlign w:val="superscript"/>
              </w:rPr>
              <w:t>(b)</w:t>
            </w:r>
          </w:p>
        </w:tc>
        <w:tc>
          <w:tcPr>
            <w:tcW w:w="6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w w:val="91"/>
              </w:rPr>
              <w:t>12/31/11</w:t>
            </w:r>
          </w:p>
        </w:tc>
      </w:tr>
      <w:tr>
        <w:trPr>
          <w:trHeight w:val="196"/>
        </w:trPr>
        <w:tc>
          <w:tcPr>
            <w:tcW w:w="3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Workforce reduction costs</w:t>
            </w:r>
          </w:p>
        </w:tc>
        <w:tc>
          <w:tcPr>
            <w:tcW w:w="1360" w:type="dxa"/>
            <w:vAlign w:val="bottom"/>
            <w:shd w:val="clear" w:color="auto" w:fill="CCEEFF"/>
          </w:tcPr>
          <w:p>
            <w:pPr>
              <w:ind w:left="126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236"/>
              <w:spacing w:after="0" w:line="196" w:lineRule="exact"/>
              <w:rPr>
                <w:sz w:val="20"/>
                <w:szCs w:val="20"/>
                <w:color w:val="auto"/>
              </w:rPr>
            </w:pPr>
            <w:r>
              <w:rPr>
                <w:rFonts w:ascii="Arial" w:cs="Arial" w:eastAsia="Arial" w:hAnsi="Arial"/>
                <w:sz w:val="18"/>
                <w:szCs w:val="18"/>
                <w:color w:val="auto"/>
              </w:rPr>
              <w:t>6.1</w:t>
            </w:r>
          </w:p>
        </w:tc>
        <w:tc>
          <w:tcPr>
            <w:tcW w:w="48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56"/>
              <w:spacing w:after="0" w:line="196" w:lineRule="exact"/>
              <w:rPr>
                <w:sz w:val="20"/>
                <w:szCs w:val="20"/>
                <w:color w:val="auto"/>
              </w:rPr>
            </w:pPr>
            <w:r>
              <w:rPr>
                <w:rFonts w:ascii="Arial" w:cs="Arial" w:eastAsia="Arial" w:hAnsi="Arial"/>
                <w:sz w:val="18"/>
                <w:szCs w:val="18"/>
                <w:color w:val="auto"/>
              </w:rPr>
              <w:t>1.7</w:t>
            </w:r>
          </w:p>
        </w:tc>
        <w:tc>
          <w:tcPr>
            <w:tcW w:w="640" w:type="dxa"/>
            <w:vAlign w:val="bottom"/>
            <w:shd w:val="clear" w:color="auto" w:fill="CCEEFF"/>
          </w:tcPr>
          <w:p>
            <w:pPr>
              <w:jc w:val="right"/>
              <w:ind w:right="186"/>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6"/>
              <w:spacing w:after="0" w:line="196" w:lineRule="exact"/>
              <w:rPr>
                <w:sz w:val="20"/>
                <w:szCs w:val="20"/>
                <w:color w:val="auto"/>
              </w:rPr>
            </w:pPr>
            <w:r>
              <w:rPr>
                <w:rFonts w:ascii="Arial" w:cs="Arial" w:eastAsia="Arial" w:hAnsi="Arial"/>
                <w:sz w:val="18"/>
                <w:szCs w:val="18"/>
                <w:color w:val="auto"/>
              </w:rPr>
              <w:t>(4.8)</w:t>
            </w:r>
          </w:p>
        </w:tc>
        <w:tc>
          <w:tcPr>
            <w:tcW w:w="380" w:type="dxa"/>
            <w:vAlign w:val="bottom"/>
            <w:shd w:val="clear" w:color="auto" w:fill="CCEEFF"/>
          </w:tcPr>
          <w:p>
            <w:pPr>
              <w:ind w:left="28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496"/>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54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16"/>
              <w:spacing w:after="0" w:line="196" w:lineRule="exact"/>
              <w:rPr>
                <w:sz w:val="20"/>
                <w:szCs w:val="20"/>
                <w:color w:val="auto"/>
              </w:rPr>
            </w:pPr>
            <w:r>
              <w:rPr>
                <w:rFonts w:ascii="Arial" w:cs="Arial" w:eastAsia="Arial" w:hAnsi="Arial"/>
                <w:sz w:val="18"/>
                <w:szCs w:val="18"/>
                <w:color w:val="auto"/>
              </w:rPr>
              <w:t>3.0</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Asset write-downs</w:t>
            </w:r>
          </w:p>
        </w:tc>
        <w:tc>
          <w:tcPr>
            <w:tcW w:w="1360" w:type="dxa"/>
            <w:vAlign w:val="bottom"/>
          </w:tcPr>
          <w:p>
            <w:pPr>
              <w:spacing w:after="0"/>
              <w:rPr>
                <w:sz w:val="17"/>
                <w:szCs w:val="17"/>
                <w:color w:val="auto"/>
              </w:rPr>
            </w:pPr>
          </w:p>
        </w:tc>
        <w:tc>
          <w:tcPr>
            <w:tcW w:w="860" w:type="dxa"/>
            <w:vAlign w:val="bottom"/>
          </w:tcPr>
          <w:p>
            <w:pPr>
              <w:jc w:val="right"/>
              <w:ind w:right="236"/>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720" w:type="dxa"/>
            <w:vAlign w:val="bottom"/>
          </w:tcPr>
          <w:p>
            <w:pPr>
              <w:jc w:val="right"/>
              <w:ind w:right="196"/>
              <w:spacing w:after="0" w:line="202" w:lineRule="exact"/>
              <w:rPr>
                <w:sz w:val="20"/>
                <w:szCs w:val="20"/>
                <w:color w:val="auto"/>
              </w:rPr>
            </w:pPr>
            <w:r>
              <w:rPr>
                <w:rFonts w:ascii="Arial" w:cs="Arial" w:eastAsia="Arial" w:hAnsi="Arial"/>
                <w:sz w:val="18"/>
                <w:szCs w:val="18"/>
                <w:color w:val="auto"/>
              </w:rPr>
              <w:t>(0.2)</w:t>
            </w:r>
          </w:p>
        </w:tc>
        <w:tc>
          <w:tcPr>
            <w:tcW w:w="640" w:type="dxa"/>
            <w:vAlign w:val="bottom"/>
          </w:tcPr>
          <w:p>
            <w:pPr>
              <w:spacing w:after="0"/>
              <w:rPr>
                <w:sz w:val="17"/>
                <w:szCs w:val="17"/>
                <w:color w:val="auto"/>
              </w:rPr>
            </w:pPr>
          </w:p>
        </w:tc>
        <w:tc>
          <w:tcPr>
            <w:tcW w:w="920" w:type="dxa"/>
            <w:vAlign w:val="bottom"/>
          </w:tcPr>
          <w:p>
            <w:pPr>
              <w:jc w:val="right"/>
              <w:ind w:right="256"/>
              <w:spacing w:after="0" w:line="202" w:lineRule="exact"/>
              <w:rPr>
                <w:sz w:val="20"/>
                <w:szCs w:val="20"/>
                <w:color w:val="auto"/>
              </w:rPr>
            </w:pPr>
            <w:r>
              <w:rPr>
                <w:rFonts w:ascii="Arial" w:cs="Arial" w:eastAsia="Arial" w:hAnsi="Arial"/>
                <w:sz w:val="18"/>
                <w:szCs w:val="18"/>
                <w:color w:val="auto"/>
              </w:rPr>
              <w:t>0.2</w:t>
            </w:r>
          </w:p>
        </w:tc>
        <w:tc>
          <w:tcPr>
            <w:tcW w:w="380" w:type="dxa"/>
            <w:vAlign w:val="bottom"/>
          </w:tcPr>
          <w:p>
            <w:pPr>
              <w:spacing w:after="0"/>
              <w:rPr>
                <w:sz w:val="17"/>
                <w:szCs w:val="17"/>
                <w:color w:val="auto"/>
              </w:rPr>
            </w:pPr>
          </w:p>
        </w:tc>
        <w:tc>
          <w:tcPr>
            <w:tcW w:w="1200" w:type="dxa"/>
            <w:vAlign w:val="bottom"/>
          </w:tcPr>
          <w:p>
            <w:pPr>
              <w:jc w:val="right"/>
              <w:ind w:right="496"/>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7"/>
                <w:szCs w:val="17"/>
                <w:color w:val="auto"/>
              </w:rPr>
            </w:pPr>
          </w:p>
        </w:tc>
        <w:tc>
          <w:tcPr>
            <w:tcW w:w="920" w:type="dxa"/>
            <w:vAlign w:val="bottom"/>
          </w:tcPr>
          <w:p>
            <w:pPr>
              <w:jc w:val="right"/>
              <w:ind w:right="316"/>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Contract termination costs</w:t>
            </w:r>
          </w:p>
        </w:tc>
        <w:tc>
          <w:tcPr>
            <w:tcW w:w="13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36"/>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56"/>
              <w:spacing w:after="0" w:line="202" w:lineRule="exact"/>
              <w:rPr>
                <w:sz w:val="20"/>
                <w:szCs w:val="20"/>
                <w:color w:val="auto"/>
              </w:rPr>
            </w:pPr>
            <w:r>
              <w:rPr>
                <w:rFonts w:ascii="Arial" w:cs="Arial" w:eastAsia="Arial" w:hAnsi="Arial"/>
                <w:sz w:val="18"/>
                <w:szCs w:val="18"/>
                <w:color w:val="auto"/>
              </w:rPr>
              <w:t>0.1</w:t>
            </w:r>
          </w:p>
        </w:tc>
        <w:tc>
          <w:tcPr>
            <w:tcW w:w="6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6"/>
              <w:spacing w:after="0" w:line="202" w:lineRule="exact"/>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96"/>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16"/>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w:t>
            </w:r>
          </w:p>
        </w:tc>
        <w:tc>
          <w:tcPr>
            <w:tcW w:w="1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6"/>
              <w:spacing w:after="0" w:line="202"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56"/>
              <w:spacing w:after="0" w:line="202" w:lineRule="exact"/>
              <w:rPr>
                <w:sz w:val="20"/>
                <w:szCs w:val="20"/>
                <w:color w:val="auto"/>
              </w:rPr>
            </w:pPr>
            <w:r>
              <w:rPr>
                <w:rFonts w:ascii="Arial" w:cs="Arial" w:eastAsia="Arial" w:hAnsi="Arial"/>
                <w:sz w:val="18"/>
                <w:szCs w:val="18"/>
                <w:color w:val="auto"/>
              </w:rPr>
              <w:t>3.1</w:t>
            </w:r>
          </w:p>
        </w:tc>
        <w:tc>
          <w:tcPr>
            <w:tcW w:w="6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6"/>
              <w:spacing w:after="0" w:line="202" w:lineRule="exact"/>
              <w:rPr>
                <w:sz w:val="20"/>
                <w:szCs w:val="20"/>
                <w:color w:val="auto"/>
              </w:rPr>
            </w:pPr>
            <w:r>
              <w:rPr>
                <w:rFonts w:ascii="Arial" w:cs="Arial" w:eastAsia="Arial" w:hAnsi="Arial"/>
                <w:sz w:val="18"/>
                <w:szCs w:val="18"/>
                <w:color w:val="auto"/>
              </w:rPr>
              <w:t>(1.2)</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6"/>
              <w:spacing w:after="0" w:line="202" w:lineRule="exact"/>
              <w:rPr>
                <w:sz w:val="20"/>
                <w:szCs w:val="20"/>
                <w:color w:val="auto"/>
              </w:rPr>
            </w:pPr>
            <w:r>
              <w:rPr>
                <w:rFonts w:ascii="Arial" w:cs="Arial" w:eastAsia="Arial" w:hAnsi="Arial"/>
                <w:sz w:val="18"/>
                <w:szCs w:val="18"/>
                <w:color w:val="auto"/>
              </w:rPr>
              <w:t>(1.9)</w:t>
            </w:r>
          </w:p>
        </w:tc>
        <w:tc>
          <w:tcPr>
            <w:tcW w:w="6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6"/>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shd w:val="clear" w:color="auto" w:fill="CCEEFF"/>
          </w:tcPr>
          <w:p>
            <w:pPr>
              <w:ind w:left="126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236"/>
              <w:spacing w:after="0" w:line="196" w:lineRule="exact"/>
              <w:rPr>
                <w:sz w:val="20"/>
                <w:szCs w:val="20"/>
                <w:color w:val="auto"/>
              </w:rPr>
            </w:pPr>
            <w:r>
              <w:rPr>
                <w:rFonts w:ascii="Arial" w:cs="Arial" w:eastAsia="Arial" w:hAnsi="Arial"/>
                <w:sz w:val="18"/>
                <w:szCs w:val="18"/>
                <w:color w:val="auto"/>
              </w:rPr>
              <w:t>6.1</w:t>
            </w:r>
          </w:p>
        </w:tc>
        <w:tc>
          <w:tcPr>
            <w:tcW w:w="480" w:type="dxa"/>
            <w:vAlign w:val="bottom"/>
            <w:tcBorders>
              <w:bottom w:val="single" w:sz="8" w:color="auto"/>
            </w:tcBorders>
            <w:shd w:val="clear" w:color="auto" w:fill="CCEEFF"/>
          </w:tcPr>
          <w:p>
            <w:pPr>
              <w:ind w:left="30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256"/>
              <w:spacing w:after="0" w:line="196" w:lineRule="exact"/>
              <w:rPr>
                <w:sz w:val="20"/>
                <w:szCs w:val="20"/>
                <w:color w:val="auto"/>
              </w:rPr>
            </w:pPr>
            <w:r>
              <w:rPr>
                <w:rFonts w:ascii="Arial" w:cs="Arial" w:eastAsia="Arial" w:hAnsi="Arial"/>
                <w:sz w:val="18"/>
                <w:szCs w:val="18"/>
                <w:color w:val="auto"/>
              </w:rPr>
              <w:t>4.7</w:t>
            </w:r>
          </w:p>
        </w:tc>
        <w:tc>
          <w:tcPr>
            <w:tcW w:w="6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96"/>
              <w:spacing w:after="0" w:line="196" w:lineRule="exact"/>
              <w:rPr>
                <w:sz w:val="20"/>
                <w:szCs w:val="20"/>
                <w:color w:val="auto"/>
              </w:rPr>
            </w:pPr>
            <w:r>
              <w:rPr>
                <w:rFonts w:ascii="Arial" w:cs="Arial" w:eastAsia="Arial" w:hAnsi="Arial"/>
                <w:sz w:val="18"/>
                <w:szCs w:val="18"/>
                <w:color w:val="auto"/>
              </w:rPr>
              <w:t>(5.9)</w:t>
            </w:r>
          </w:p>
        </w:tc>
        <w:tc>
          <w:tcPr>
            <w:tcW w:w="380" w:type="dxa"/>
            <w:vAlign w:val="bottom"/>
            <w:tcBorders>
              <w:bottom w:val="single" w:sz="8" w:color="auto"/>
            </w:tcBorders>
            <w:shd w:val="clear" w:color="auto" w:fill="CCEEFF"/>
          </w:tcPr>
          <w:p>
            <w:pPr>
              <w:ind w:left="28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436"/>
              <w:spacing w:after="0" w:line="196" w:lineRule="exact"/>
              <w:rPr>
                <w:sz w:val="20"/>
                <w:szCs w:val="20"/>
                <w:color w:val="auto"/>
              </w:rPr>
            </w:pPr>
            <w:r>
              <w:rPr>
                <w:rFonts w:ascii="Arial" w:cs="Arial" w:eastAsia="Arial" w:hAnsi="Arial"/>
                <w:sz w:val="18"/>
                <w:szCs w:val="18"/>
                <w:color w:val="auto"/>
              </w:rPr>
              <w:t>(1.9)</w:t>
            </w:r>
          </w:p>
        </w:tc>
        <w:tc>
          <w:tcPr>
            <w:tcW w:w="660" w:type="dxa"/>
            <w:vAlign w:val="bottom"/>
            <w:tcBorders>
              <w:bottom w:val="single" w:sz="8" w:color="auto"/>
            </w:tcBorders>
            <w:shd w:val="clear" w:color="auto" w:fill="CCEEFF"/>
          </w:tcPr>
          <w:p>
            <w:pPr>
              <w:ind w:left="54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6"/>
              <w:spacing w:after="0" w:line="196" w:lineRule="exact"/>
              <w:rPr>
                <w:sz w:val="20"/>
                <w:szCs w:val="20"/>
                <w:color w:val="auto"/>
              </w:rPr>
            </w:pPr>
            <w:r>
              <w:rPr>
                <w:rFonts w:ascii="Arial" w:cs="Arial" w:eastAsia="Arial" w:hAnsi="Arial"/>
                <w:sz w:val="18"/>
                <w:szCs w:val="18"/>
                <w:color w:val="auto"/>
              </w:rPr>
              <w:t>3.0</w:t>
            </w:r>
          </w:p>
        </w:tc>
      </w:tr>
    </w:tbl>
    <w:p>
      <w:pPr>
        <w:ind w:left="220" w:hanging="212"/>
        <w:spacing w:after="0" w:line="230" w:lineRule="auto"/>
        <w:tabs>
          <w:tab w:leader="none" w:pos="22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Cash expenditures for asset write-downs include proceeds received on asset disposals.</w:t>
      </w:r>
    </w:p>
    <w:p>
      <w:pPr>
        <w:spacing w:after="0" w:line="67" w:lineRule="exact"/>
        <w:rPr>
          <w:rFonts w:ascii="Arial" w:cs="Arial" w:eastAsia="Arial" w:hAnsi="Arial"/>
          <w:sz w:val="22"/>
          <w:szCs w:val="22"/>
          <w:color w:val="auto"/>
          <w:vertAlign w:val="superscript"/>
        </w:rPr>
      </w:pPr>
    </w:p>
    <w:p>
      <w:pPr>
        <w:ind w:left="220" w:hanging="212"/>
        <w:spacing w:after="0" w:line="188" w:lineRule="auto"/>
        <w:tabs>
          <w:tab w:leader="none" w:pos="220" w:val="left"/>
        </w:tabs>
        <w:numPr>
          <w:ilvl w:val="0"/>
          <w:numId w:val="44"/>
        </w:numPr>
        <w:rPr>
          <w:rFonts w:ascii="Arial" w:cs="Arial" w:eastAsia="Arial" w:hAnsi="Arial"/>
          <w:sz w:val="18"/>
          <w:szCs w:val="18"/>
          <w:color w:val="auto"/>
          <w:vertAlign w:val="superscript"/>
        </w:rPr>
      </w:pPr>
      <w:r>
        <w:rPr>
          <w:rFonts w:ascii="Arial" w:cs="Arial" w:eastAsia="Arial" w:hAnsi="Arial"/>
          <w:sz w:val="12"/>
          <w:szCs w:val="12"/>
          <w:color w:val="auto"/>
        </w:rPr>
        <w:t>Non-cash write-offs include long-lived asset impairment charges attributable to restructuring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200" w:type="dxa"/>
            <w:vAlign w:val="bottom"/>
            <w:gridSpan w:val="2"/>
          </w:tcPr>
          <w:p>
            <w:pPr>
              <w:ind w:left="1240"/>
              <w:spacing w:after="0"/>
              <w:rPr>
                <w:sz w:val="20"/>
                <w:szCs w:val="20"/>
                <w:color w:val="auto"/>
              </w:rPr>
            </w:pPr>
            <w:r>
              <w:rPr>
                <w:rFonts w:ascii="Arial" w:cs="Arial" w:eastAsia="Arial" w:hAnsi="Arial"/>
                <w:sz w:val="14"/>
                <w:szCs w:val="14"/>
                <w:color w:val="auto"/>
              </w:rPr>
              <w:t>Balance at</w:t>
            </w:r>
          </w:p>
        </w:tc>
        <w:tc>
          <w:tcPr>
            <w:tcW w:w="50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color w:val="auto"/>
              </w:rPr>
              <w:t>2010</w:t>
            </w:r>
          </w:p>
        </w:tc>
        <w:tc>
          <w:tcPr>
            <w:tcW w:w="680" w:type="dxa"/>
            <w:vAlign w:val="bottom"/>
          </w:tcPr>
          <w:p>
            <w:pPr>
              <w:spacing w:after="0"/>
              <w:rPr>
                <w:sz w:val="14"/>
                <w:szCs w:val="14"/>
                <w:color w:val="auto"/>
              </w:rPr>
            </w:pPr>
          </w:p>
        </w:tc>
        <w:tc>
          <w:tcPr>
            <w:tcW w:w="900" w:type="dxa"/>
            <w:vAlign w:val="bottom"/>
          </w:tcPr>
          <w:p>
            <w:pPr>
              <w:jc w:val="right"/>
              <w:ind w:right="256"/>
              <w:spacing w:after="0"/>
              <w:rPr>
                <w:sz w:val="20"/>
                <w:szCs w:val="20"/>
                <w:color w:val="auto"/>
              </w:rPr>
            </w:pPr>
            <w:r>
              <w:rPr>
                <w:rFonts w:ascii="Arial" w:cs="Arial" w:eastAsia="Arial" w:hAnsi="Arial"/>
                <w:sz w:val="14"/>
                <w:szCs w:val="14"/>
                <w:color w:val="auto"/>
              </w:rPr>
              <w:t>Cash</w:t>
            </w:r>
          </w:p>
        </w:tc>
        <w:tc>
          <w:tcPr>
            <w:tcW w:w="400" w:type="dxa"/>
            <w:vAlign w:val="bottom"/>
          </w:tcPr>
          <w:p>
            <w:pPr>
              <w:spacing w:after="0"/>
              <w:rPr>
                <w:sz w:val="14"/>
                <w:szCs w:val="14"/>
                <w:color w:val="auto"/>
              </w:rPr>
            </w:pPr>
          </w:p>
        </w:tc>
        <w:tc>
          <w:tcPr>
            <w:tcW w:w="1200" w:type="dxa"/>
            <w:vAlign w:val="bottom"/>
          </w:tcPr>
          <w:p>
            <w:pPr>
              <w:jc w:val="right"/>
              <w:ind w:right="516"/>
              <w:spacing w:after="0"/>
              <w:rPr>
                <w:sz w:val="20"/>
                <w:szCs w:val="20"/>
                <w:color w:val="auto"/>
              </w:rPr>
            </w:pPr>
            <w:r>
              <w:rPr>
                <w:rFonts w:ascii="Arial" w:cs="Arial" w:eastAsia="Arial" w:hAnsi="Arial"/>
                <w:sz w:val="14"/>
                <w:szCs w:val="14"/>
                <w:color w:val="auto"/>
                <w:w w:val="91"/>
              </w:rPr>
              <w:t>Non-Cash</w:t>
            </w:r>
          </w:p>
        </w:tc>
        <w:tc>
          <w:tcPr>
            <w:tcW w:w="1580" w:type="dxa"/>
            <w:vAlign w:val="bottom"/>
            <w:gridSpan w:val="2"/>
          </w:tcPr>
          <w:p>
            <w:pPr>
              <w:ind w:left="560"/>
              <w:spacing w:after="0"/>
              <w:rPr>
                <w:sz w:val="20"/>
                <w:szCs w:val="20"/>
                <w:color w:val="auto"/>
              </w:rPr>
            </w:pPr>
            <w:r>
              <w:rPr>
                <w:rFonts w:ascii="Arial" w:cs="Arial" w:eastAsia="Arial" w:hAnsi="Arial"/>
                <w:sz w:val="14"/>
                <w:szCs w:val="14"/>
                <w:color w:val="auto"/>
              </w:rPr>
              <w:t>Balance at</w:t>
            </w:r>
          </w:p>
        </w:tc>
      </w:tr>
      <w:tr>
        <w:trPr>
          <w:trHeight w:val="169"/>
        </w:trPr>
        <w:tc>
          <w:tcPr>
            <w:tcW w:w="32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millions)</w:t>
            </w:r>
          </w:p>
        </w:tc>
        <w:tc>
          <w:tcPr>
            <w:tcW w:w="1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color w:val="auto"/>
                <w:w w:val="95"/>
              </w:rPr>
              <w:t>12/31/09</w:t>
            </w:r>
          </w:p>
        </w:tc>
        <w:tc>
          <w:tcPr>
            <w:tcW w:w="11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Provision</w:t>
            </w:r>
          </w:p>
        </w:tc>
        <w:tc>
          <w:tcPr>
            <w:tcW w:w="1580" w:type="dxa"/>
            <w:vAlign w:val="bottom"/>
            <w:tcBorders>
              <w:bottom w:val="single" w:sz="8" w:color="auto"/>
            </w:tcBorders>
            <w:gridSpan w:val="2"/>
          </w:tcPr>
          <w:p>
            <w:pPr>
              <w:jc w:val="right"/>
              <w:ind w:right="256"/>
              <w:spacing w:after="0" w:line="170" w:lineRule="exact"/>
              <w:rPr>
                <w:sz w:val="20"/>
                <w:szCs w:val="20"/>
                <w:color w:val="auto"/>
              </w:rPr>
            </w:pPr>
            <w:r>
              <w:rPr>
                <w:rFonts w:ascii="Arial" w:cs="Arial" w:eastAsia="Arial" w:hAnsi="Arial"/>
                <w:sz w:val="12"/>
                <w:szCs w:val="12"/>
                <w:color w:val="auto"/>
              </w:rPr>
              <w:t>Expenditures</w:t>
            </w:r>
            <w:r>
              <w:rPr>
                <w:rFonts w:ascii="Arial" w:cs="Arial" w:eastAsia="Arial" w:hAnsi="Arial"/>
                <w:sz w:val="19"/>
                <w:szCs w:val="19"/>
                <w:color w:val="auto"/>
                <w:vertAlign w:val="superscript"/>
              </w:rPr>
              <w:t>(a)</w:t>
            </w:r>
          </w:p>
        </w:tc>
        <w:tc>
          <w:tcPr>
            <w:tcW w:w="1600" w:type="dxa"/>
            <w:vAlign w:val="bottom"/>
            <w:tcBorders>
              <w:bottom w:val="single" w:sz="8" w:color="auto"/>
            </w:tcBorders>
            <w:gridSpan w:val="2"/>
          </w:tcPr>
          <w:p>
            <w:pPr>
              <w:ind w:left="300"/>
              <w:spacing w:after="0" w:line="170" w:lineRule="exact"/>
              <w:rPr>
                <w:sz w:val="20"/>
                <w:szCs w:val="20"/>
                <w:color w:val="auto"/>
              </w:rPr>
            </w:pPr>
            <w:r>
              <w:rPr>
                <w:rFonts w:ascii="Arial" w:cs="Arial" w:eastAsia="Arial" w:hAnsi="Arial"/>
                <w:sz w:val="12"/>
                <w:szCs w:val="12"/>
                <w:color w:val="auto"/>
              </w:rPr>
              <w:t>Write-offs</w:t>
            </w:r>
            <w:r>
              <w:rPr>
                <w:rFonts w:ascii="Arial" w:cs="Arial" w:eastAsia="Arial" w:hAnsi="Arial"/>
                <w:sz w:val="19"/>
                <w:szCs w:val="19"/>
                <w:color w:val="auto"/>
                <w:vertAlign w:val="superscript"/>
              </w:rPr>
              <w:t>(b)</w:t>
            </w:r>
          </w:p>
        </w:tc>
        <w:tc>
          <w:tcPr>
            <w:tcW w:w="6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w w:val="91"/>
              </w:rPr>
              <w:t>12/31/10</w:t>
            </w:r>
          </w:p>
        </w:tc>
      </w:tr>
      <w:tr>
        <w:trPr>
          <w:trHeight w:val="196"/>
        </w:trPr>
        <w:tc>
          <w:tcPr>
            <w:tcW w:w="3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Workforce reduction costs</w:t>
            </w:r>
          </w:p>
        </w:tc>
        <w:tc>
          <w:tcPr>
            <w:tcW w:w="1340" w:type="dxa"/>
            <w:vAlign w:val="bottom"/>
            <w:shd w:val="clear" w:color="auto" w:fill="CCEEFF"/>
          </w:tcPr>
          <w:p>
            <w:pPr>
              <w:ind w:left="124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236"/>
              <w:spacing w:after="0" w:line="196" w:lineRule="exact"/>
              <w:rPr>
                <w:sz w:val="20"/>
                <w:szCs w:val="20"/>
                <w:color w:val="auto"/>
              </w:rPr>
            </w:pPr>
            <w:r>
              <w:rPr>
                <w:rFonts w:ascii="Arial" w:cs="Arial" w:eastAsia="Arial" w:hAnsi="Arial"/>
                <w:sz w:val="18"/>
                <w:szCs w:val="18"/>
                <w:color w:val="auto"/>
              </w:rPr>
              <w:t>3.8</w:t>
            </w:r>
          </w:p>
        </w:tc>
        <w:tc>
          <w:tcPr>
            <w:tcW w:w="50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16"/>
              <w:spacing w:after="0" w:line="196" w:lineRule="exact"/>
              <w:rPr>
                <w:sz w:val="20"/>
                <w:szCs w:val="20"/>
                <w:color w:val="auto"/>
              </w:rPr>
            </w:pPr>
            <w:r>
              <w:rPr>
                <w:rFonts w:ascii="Arial" w:cs="Arial" w:eastAsia="Arial" w:hAnsi="Arial"/>
                <w:sz w:val="18"/>
                <w:szCs w:val="18"/>
                <w:color w:val="auto"/>
              </w:rPr>
              <w:t>4.9</w:t>
            </w:r>
          </w:p>
        </w:tc>
        <w:tc>
          <w:tcPr>
            <w:tcW w:w="680" w:type="dxa"/>
            <w:vAlign w:val="bottom"/>
            <w:shd w:val="clear" w:color="auto" w:fill="CCEEFF"/>
          </w:tcPr>
          <w:p>
            <w:pPr>
              <w:jc w:val="right"/>
              <w:ind w:right="186"/>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6"/>
              <w:spacing w:after="0" w:line="196" w:lineRule="exact"/>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ind w:left="28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516"/>
              <w:spacing w:after="0" w:line="196" w:lineRule="exact"/>
              <w:rPr>
                <w:sz w:val="20"/>
                <w:szCs w:val="20"/>
                <w:color w:val="auto"/>
              </w:rPr>
            </w:pPr>
            <w:r>
              <w:rPr>
                <w:rFonts w:ascii="Arial" w:cs="Arial" w:eastAsia="Arial" w:hAnsi="Arial"/>
                <w:sz w:val="18"/>
                <w:szCs w:val="18"/>
                <w:color w:val="auto"/>
              </w:rPr>
              <w:t>0.1</w:t>
            </w:r>
          </w:p>
        </w:tc>
        <w:tc>
          <w:tcPr>
            <w:tcW w:w="660" w:type="dxa"/>
            <w:vAlign w:val="bottom"/>
            <w:shd w:val="clear" w:color="auto" w:fill="CCEEFF"/>
          </w:tcPr>
          <w:p>
            <w:pPr>
              <w:ind w:left="54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16"/>
              <w:spacing w:after="0" w:line="196" w:lineRule="exact"/>
              <w:rPr>
                <w:sz w:val="20"/>
                <w:szCs w:val="20"/>
                <w:color w:val="auto"/>
              </w:rPr>
            </w:pPr>
            <w:r>
              <w:rPr>
                <w:rFonts w:ascii="Arial" w:cs="Arial" w:eastAsia="Arial" w:hAnsi="Arial"/>
                <w:sz w:val="18"/>
                <w:szCs w:val="18"/>
                <w:color w:val="auto"/>
              </w:rPr>
              <w:t>6.1</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Asset write-downs</w:t>
            </w:r>
          </w:p>
        </w:tc>
        <w:tc>
          <w:tcPr>
            <w:tcW w:w="1340" w:type="dxa"/>
            <w:vAlign w:val="bottom"/>
          </w:tcPr>
          <w:p>
            <w:pPr>
              <w:spacing w:after="0"/>
              <w:rPr>
                <w:sz w:val="17"/>
                <w:szCs w:val="17"/>
                <w:color w:val="auto"/>
              </w:rPr>
            </w:pPr>
          </w:p>
        </w:tc>
        <w:tc>
          <w:tcPr>
            <w:tcW w:w="860" w:type="dxa"/>
            <w:vAlign w:val="bottom"/>
          </w:tcPr>
          <w:p>
            <w:pPr>
              <w:jc w:val="right"/>
              <w:ind w:right="236"/>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68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0.5</w:t>
            </w:r>
          </w:p>
        </w:tc>
        <w:tc>
          <w:tcPr>
            <w:tcW w:w="680" w:type="dxa"/>
            <w:vAlign w:val="bottom"/>
          </w:tcPr>
          <w:p>
            <w:pPr>
              <w:spacing w:after="0"/>
              <w:rPr>
                <w:sz w:val="17"/>
                <w:szCs w:val="17"/>
                <w:color w:val="auto"/>
              </w:rPr>
            </w:pPr>
          </w:p>
        </w:tc>
        <w:tc>
          <w:tcPr>
            <w:tcW w:w="900" w:type="dxa"/>
            <w:vAlign w:val="bottom"/>
          </w:tcPr>
          <w:p>
            <w:pPr>
              <w:jc w:val="right"/>
              <w:ind w:right="256"/>
              <w:spacing w:after="0" w:line="202" w:lineRule="exact"/>
              <w:rPr>
                <w:sz w:val="20"/>
                <w:szCs w:val="20"/>
                <w:color w:val="auto"/>
              </w:rPr>
            </w:pPr>
            <w:r>
              <w:rPr>
                <w:rFonts w:ascii="Arial" w:cs="Arial" w:eastAsia="Arial" w:hAnsi="Arial"/>
                <w:sz w:val="18"/>
                <w:szCs w:val="18"/>
                <w:color w:val="auto"/>
              </w:rPr>
              <w:t>1.0</w:t>
            </w:r>
          </w:p>
        </w:tc>
        <w:tc>
          <w:tcPr>
            <w:tcW w:w="400" w:type="dxa"/>
            <w:vAlign w:val="bottom"/>
          </w:tcPr>
          <w:p>
            <w:pPr>
              <w:spacing w:after="0"/>
              <w:rPr>
                <w:sz w:val="17"/>
                <w:szCs w:val="17"/>
                <w:color w:val="auto"/>
              </w:rPr>
            </w:pPr>
          </w:p>
        </w:tc>
        <w:tc>
          <w:tcPr>
            <w:tcW w:w="1200" w:type="dxa"/>
            <w:vAlign w:val="bottom"/>
          </w:tcPr>
          <w:p>
            <w:pPr>
              <w:jc w:val="right"/>
              <w:ind w:right="456"/>
              <w:spacing w:after="0" w:line="202" w:lineRule="exact"/>
              <w:rPr>
                <w:sz w:val="20"/>
                <w:szCs w:val="20"/>
                <w:color w:val="auto"/>
              </w:rPr>
            </w:pPr>
            <w:r>
              <w:rPr>
                <w:rFonts w:ascii="Arial" w:cs="Arial" w:eastAsia="Arial" w:hAnsi="Arial"/>
                <w:sz w:val="18"/>
                <w:szCs w:val="18"/>
                <w:color w:val="auto"/>
              </w:rPr>
              <w:t>(1.5)</w:t>
            </w:r>
          </w:p>
        </w:tc>
        <w:tc>
          <w:tcPr>
            <w:tcW w:w="660" w:type="dxa"/>
            <w:vAlign w:val="bottom"/>
          </w:tcPr>
          <w:p>
            <w:pPr>
              <w:spacing w:after="0"/>
              <w:rPr>
                <w:sz w:val="17"/>
                <w:szCs w:val="17"/>
                <w:color w:val="auto"/>
              </w:rPr>
            </w:pPr>
          </w:p>
        </w:tc>
        <w:tc>
          <w:tcPr>
            <w:tcW w:w="920" w:type="dxa"/>
            <w:vAlign w:val="bottom"/>
          </w:tcPr>
          <w:p>
            <w:pPr>
              <w:jc w:val="right"/>
              <w:ind w:right="316"/>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236"/>
              <w:spacing w:after="0" w:line="202" w:lineRule="exact"/>
              <w:rPr>
                <w:sz w:val="20"/>
                <w:szCs w:val="20"/>
                <w:color w:val="auto"/>
              </w:rPr>
            </w:pPr>
            <w:r>
              <w:rPr>
                <w:rFonts w:ascii="Arial" w:cs="Arial" w:eastAsia="Arial" w:hAnsi="Arial"/>
                <w:sz w:val="18"/>
                <w:szCs w:val="18"/>
                <w:color w:val="auto"/>
              </w:rPr>
              <w:t>0.1</w:t>
            </w:r>
          </w:p>
        </w:tc>
        <w:tc>
          <w:tcPr>
            <w:tcW w:w="5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216"/>
              <w:spacing w:after="0" w:line="202" w:lineRule="exact"/>
              <w:rPr>
                <w:sz w:val="20"/>
                <w:szCs w:val="20"/>
                <w:color w:val="auto"/>
              </w:rPr>
            </w:pPr>
            <w:r>
              <w:rPr>
                <w:rFonts w:ascii="Arial" w:cs="Arial" w:eastAsia="Arial" w:hAnsi="Arial"/>
                <w:sz w:val="18"/>
                <w:szCs w:val="18"/>
                <w:color w:val="auto"/>
              </w:rPr>
              <w:t>2.6</w:t>
            </w:r>
          </w:p>
        </w:tc>
        <w:tc>
          <w:tcPr>
            <w:tcW w:w="6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96"/>
              <w:spacing w:after="0" w:line="202" w:lineRule="exact"/>
              <w:rPr>
                <w:sz w:val="20"/>
                <w:szCs w:val="20"/>
                <w:color w:val="auto"/>
              </w:rPr>
            </w:pPr>
            <w:r>
              <w:rPr>
                <w:rFonts w:ascii="Arial" w:cs="Arial" w:eastAsia="Arial" w:hAnsi="Arial"/>
                <w:sz w:val="18"/>
                <w:szCs w:val="18"/>
                <w:color w:val="auto"/>
              </w:rPr>
              <w:t>(2.0)</w:t>
            </w:r>
          </w:p>
        </w:tc>
        <w:tc>
          <w:tcPr>
            <w:tcW w:w="4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56"/>
              <w:spacing w:after="0" w:line="202" w:lineRule="exact"/>
              <w:rPr>
                <w:sz w:val="20"/>
                <w:szCs w:val="20"/>
                <w:color w:val="auto"/>
              </w:rPr>
            </w:pPr>
            <w:r>
              <w:rPr>
                <w:rFonts w:ascii="Arial" w:cs="Arial" w:eastAsia="Arial" w:hAnsi="Arial"/>
                <w:sz w:val="18"/>
                <w:szCs w:val="18"/>
                <w:color w:val="auto"/>
              </w:rPr>
              <w:t>(0.7)</w:t>
            </w:r>
          </w:p>
        </w:tc>
        <w:tc>
          <w:tcPr>
            <w:tcW w:w="6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16"/>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tcPr>
          <w:p>
            <w:pPr>
              <w:ind w:left="124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236"/>
              <w:spacing w:after="0" w:line="196" w:lineRule="exact"/>
              <w:rPr>
                <w:sz w:val="20"/>
                <w:szCs w:val="20"/>
                <w:color w:val="auto"/>
              </w:rPr>
            </w:pPr>
            <w:r>
              <w:rPr>
                <w:rFonts w:ascii="Arial" w:cs="Arial" w:eastAsia="Arial" w:hAnsi="Arial"/>
                <w:sz w:val="18"/>
                <w:szCs w:val="18"/>
                <w:color w:val="auto"/>
              </w:rPr>
              <w:t>3.9</w:t>
            </w:r>
          </w:p>
        </w:tc>
        <w:tc>
          <w:tcPr>
            <w:tcW w:w="500" w:type="dxa"/>
            <w:vAlign w:val="bottom"/>
            <w:tcBorders>
              <w:bottom w:val="single" w:sz="8" w:color="auto"/>
            </w:tcBorders>
          </w:tcPr>
          <w:p>
            <w:pPr>
              <w:ind w:left="300"/>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216"/>
              <w:spacing w:after="0" w:line="196" w:lineRule="exact"/>
              <w:rPr>
                <w:sz w:val="20"/>
                <w:szCs w:val="20"/>
                <w:color w:val="auto"/>
              </w:rPr>
            </w:pPr>
            <w:r>
              <w:rPr>
                <w:rFonts w:ascii="Arial" w:cs="Arial" w:eastAsia="Arial" w:hAnsi="Arial"/>
                <w:sz w:val="18"/>
                <w:szCs w:val="18"/>
                <w:color w:val="auto"/>
              </w:rPr>
              <w:t>8.0</w:t>
            </w:r>
          </w:p>
        </w:tc>
        <w:tc>
          <w:tcPr>
            <w:tcW w:w="6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6"/>
              <w:spacing w:after="0" w:line="196" w:lineRule="exact"/>
              <w:rPr>
                <w:sz w:val="20"/>
                <w:szCs w:val="20"/>
                <w:color w:val="auto"/>
              </w:rPr>
            </w:pPr>
            <w:r>
              <w:rPr>
                <w:rFonts w:ascii="Arial" w:cs="Arial" w:eastAsia="Arial" w:hAnsi="Arial"/>
                <w:sz w:val="18"/>
                <w:szCs w:val="18"/>
                <w:color w:val="auto"/>
              </w:rPr>
              <w:t>(3.7)</w:t>
            </w:r>
          </w:p>
        </w:tc>
        <w:tc>
          <w:tcPr>
            <w:tcW w:w="400" w:type="dxa"/>
            <w:vAlign w:val="bottom"/>
            <w:tcBorders>
              <w:bottom w:val="single" w:sz="8" w:color="auto"/>
            </w:tcBorders>
          </w:tcPr>
          <w:p>
            <w:pPr>
              <w:ind w:left="28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456"/>
              <w:spacing w:after="0" w:line="196" w:lineRule="exact"/>
              <w:rPr>
                <w:sz w:val="20"/>
                <w:szCs w:val="20"/>
                <w:color w:val="auto"/>
              </w:rPr>
            </w:pPr>
            <w:r>
              <w:rPr>
                <w:rFonts w:ascii="Arial" w:cs="Arial" w:eastAsia="Arial" w:hAnsi="Arial"/>
                <w:sz w:val="18"/>
                <w:szCs w:val="18"/>
                <w:color w:val="auto"/>
              </w:rPr>
              <w:t>(2.1)</w:t>
            </w:r>
          </w:p>
        </w:tc>
        <w:tc>
          <w:tcPr>
            <w:tcW w:w="660" w:type="dxa"/>
            <w:vAlign w:val="bottom"/>
            <w:tcBorders>
              <w:bottom w:val="single" w:sz="8" w:color="auto"/>
            </w:tcBorders>
          </w:tcPr>
          <w:p>
            <w:pPr>
              <w:ind w:left="54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16"/>
              <w:spacing w:after="0" w:line="196" w:lineRule="exact"/>
              <w:rPr>
                <w:sz w:val="20"/>
                <w:szCs w:val="20"/>
                <w:color w:val="auto"/>
              </w:rPr>
            </w:pPr>
            <w:r>
              <w:rPr>
                <w:rFonts w:ascii="Arial" w:cs="Arial" w:eastAsia="Arial" w:hAnsi="Arial"/>
                <w:sz w:val="18"/>
                <w:szCs w:val="18"/>
                <w:color w:val="auto"/>
              </w:rPr>
              <w:t>6.1</w:t>
            </w:r>
          </w:p>
        </w:tc>
      </w:tr>
    </w:tbl>
    <w:p>
      <w:pPr>
        <w:ind w:left="220" w:hanging="212"/>
        <w:spacing w:after="0" w:line="230" w:lineRule="auto"/>
        <w:tabs>
          <w:tab w:leader="none" w:pos="220" w:val="left"/>
        </w:tabs>
        <w:numPr>
          <w:ilvl w:val="0"/>
          <w:numId w:val="45"/>
        </w:numPr>
        <w:rPr>
          <w:rFonts w:ascii="Arial" w:cs="Arial" w:eastAsia="Arial" w:hAnsi="Arial"/>
          <w:sz w:val="22"/>
          <w:szCs w:val="22"/>
          <w:color w:val="auto"/>
          <w:vertAlign w:val="superscript"/>
        </w:rPr>
      </w:pPr>
      <w:r>
        <w:rPr>
          <w:rFonts w:ascii="Arial" w:cs="Arial" w:eastAsia="Arial" w:hAnsi="Arial"/>
          <w:sz w:val="14"/>
          <w:szCs w:val="14"/>
          <w:color w:val="auto"/>
        </w:rPr>
        <w:t>Cash expenditures for asset write-downs include proceeds received on asset disposals.</w:t>
      </w:r>
    </w:p>
    <w:p>
      <w:pPr>
        <w:spacing w:after="0" w:line="67" w:lineRule="exact"/>
        <w:rPr>
          <w:rFonts w:ascii="Arial" w:cs="Arial" w:eastAsia="Arial" w:hAnsi="Arial"/>
          <w:sz w:val="22"/>
          <w:szCs w:val="22"/>
          <w:color w:val="auto"/>
          <w:vertAlign w:val="superscript"/>
        </w:rPr>
      </w:pPr>
    </w:p>
    <w:p>
      <w:pPr>
        <w:ind w:left="220" w:hanging="212"/>
        <w:spacing w:after="0" w:line="188" w:lineRule="auto"/>
        <w:tabs>
          <w:tab w:leader="none" w:pos="220" w:val="left"/>
        </w:tabs>
        <w:numPr>
          <w:ilvl w:val="0"/>
          <w:numId w:val="45"/>
        </w:numPr>
        <w:rPr>
          <w:rFonts w:ascii="Arial" w:cs="Arial" w:eastAsia="Arial" w:hAnsi="Arial"/>
          <w:sz w:val="18"/>
          <w:szCs w:val="18"/>
          <w:color w:val="auto"/>
          <w:vertAlign w:val="superscript"/>
        </w:rPr>
      </w:pPr>
      <w:r>
        <w:rPr>
          <w:rFonts w:ascii="Arial" w:cs="Arial" w:eastAsia="Arial" w:hAnsi="Arial"/>
          <w:sz w:val="12"/>
          <w:szCs w:val="12"/>
          <w:color w:val="auto"/>
        </w:rPr>
        <w:t>Non-cash write-offs include long-lived asset impairment charges attributable to restructuring actions.</w:t>
      </w:r>
    </w:p>
    <w:p>
      <w:pPr>
        <w:spacing w:after="0" w:line="130"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Separation Costs</w:t>
      </w:r>
    </w:p>
    <w:p>
      <w:pPr>
        <w:spacing w:after="0" w:line="180" w:lineRule="exact"/>
        <w:rPr>
          <w:sz w:val="20"/>
          <w:szCs w:val="20"/>
          <w:color w:val="auto"/>
        </w:rPr>
      </w:pPr>
    </w:p>
    <w:p>
      <w:pPr>
        <w:ind w:right="760"/>
        <w:spacing w:after="0" w:line="239" w:lineRule="auto"/>
        <w:rPr>
          <w:sz w:val="20"/>
          <w:szCs w:val="20"/>
          <w:color w:val="auto"/>
        </w:rPr>
      </w:pPr>
      <w:r>
        <w:rPr>
          <w:rFonts w:ascii="Arial" w:cs="Arial" w:eastAsia="Arial" w:hAnsi="Arial"/>
          <w:sz w:val="18"/>
          <w:szCs w:val="18"/>
          <w:color w:val="auto"/>
        </w:rPr>
        <w:t>We recorded $2.4 million of business separation costs during the year ended December 31, 2011 related to non-cash non-recurring costs associated with the modification of share-based compensation awards as a result of the Separation.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40" w:hanging="432"/>
        <w:spacing w:after="0"/>
        <w:tabs>
          <w:tab w:leader="none" w:pos="4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Obligations</w:t>
      </w:r>
    </w:p>
    <w:p>
      <w:pPr>
        <w:spacing w:after="0" w:line="99"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Purchase obligations of the Company as of December 31, 2011 were $243.7 million, of which $237.0 million is due in one year. Purchase obligations include contracts for raw materials and finished goods purchases; selling and administrative services and capital expenditures. As of December 31, 2011, there were no material commitments for capital expenditures.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rental payments under non-cancelable operating leases as of December 31, 2011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123825</wp:posOffset>
            </wp:positionV>
            <wp:extent cx="60801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68" w:lineRule="exact"/>
        <w:rPr>
          <w:sz w:val="20"/>
          <w:szCs w:val="20"/>
          <w:color w:val="auto"/>
        </w:rPr>
      </w:pPr>
    </w:p>
    <w:p>
      <w:pPr>
        <w:ind w:left="920"/>
        <w:spacing w:after="0"/>
        <w:rPr>
          <w:sz w:val="20"/>
          <w:szCs w:val="20"/>
          <w:color w:val="auto"/>
        </w:rPr>
      </w:pPr>
      <w:r>
        <w:rPr>
          <w:rFonts w:ascii="Arial" w:cs="Arial" w:eastAsia="Arial" w:hAnsi="Arial"/>
          <w:sz w:val="14"/>
          <w:szCs w:val="14"/>
          <w:i w:val="1"/>
          <w:iCs w:val="1"/>
          <w:color w:val="auto"/>
        </w:rPr>
        <w:t>(In millions)</w:t>
      </w:r>
    </w:p>
    <w:p>
      <w:pPr>
        <w:spacing w:after="0" w:line="2" w:lineRule="exact"/>
        <w:rPr>
          <w:sz w:val="20"/>
          <w:szCs w:val="20"/>
          <w:color w:val="auto"/>
        </w:rPr>
      </w:pPr>
    </w:p>
    <w:tbl>
      <w:tblPr>
        <w:tblLayout w:type="fixed"/>
        <w:tblInd w:w="920" w:type="dxa"/>
        <w:tblCellMar>
          <w:top w:w="0" w:type="dxa"/>
          <w:left w:w="0" w:type="dxa"/>
          <w:bottom w:w="0" w:type="dxa"/>
          <w:right w:w="0" w:type="dxa"/>
        </w:tblCellMar>
      </w:tblPr>
      <w:tr>
        <w:trPr>
          <w:trHeight w:val="196"/>
        </w:trPr>
        <w:tc>
          <w:tcPr>
            <w:tcW w:w="57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2012</w:t>
            </w:r>
          </w:p>
        </w:tc>
        <w:tc>
          <w:tcPr>
            <w:tcW w:w="3860" w:type="dxa"/>
            <w:vAlign w:val="bottom"/>
            <w:tcBorders>
              <w:top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$ 27.8</w:t>
            </w: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2013</w:t>
            </w:r>
          </w:p>
        </w:tc>
        <w:tc>
          <w:tcPr>
            <w:tcW w:w="38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19.4</w:t>
            </w:r>
          </w:p>
        </w:tc>
      </w:tr>
      <w:tr>
        <w:trPr>
          <w:trHeight w:val="203"/>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2014</w:t>
            </w:r>
          </w:p>
        </w:tc>
        <w:tc>
          <w:tcPr>
            <w:tcW w:w="38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14.9</w:t>
            </w: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2015</w:t>
            </w:r>
          </w:p>
        </w:tc>
        <w:tc>
          <w:tcPr>
            <w:tcW w:w="38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9.5</w:t>
            </w:r>
          </w:p>
        </w:tc>
      </w:tr>
      <w:tr>
        <w:trPr>
          <w:trHeight w:val="203"/>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2016</w:t>
            </w:r>
          </w:p>
        </w:tc>
        <w:tc>
          <w:tcPr>
            <w:tcW w:w="38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5.4</w:t>
            </w:r>
          </w:p>
        </w:tc>
      </w:tr>
      <w:tr>
        <w:trPr>
          <w:trHeight w:val="203"/>
        </w:trPr>
        <w:tc>
          <w:tcPr>
            <w:tcW w:w="57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Remainder</w:t>
            </w:r>
          </w:p>
        </w:tc>
        <w:tc>
          <w:tcPr>
            <w:tcW w:w="38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7.1</w:t>
            </w:r>
          </w:p>
        </w:tc>
      </w:tr>
      <w:tr>
        <w:trPr>
          <w:trHeight w:val="196"/>
        </w:trPr>
        <w:tc>
          <w:tcPr>
            <w:tcW w:w="57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minimum rental payments</w:t>
            </w:r>
          </w:p>
        </w:tc>
        <w:tc>
          <w:tcPr>
            <w:tcW w:w="3860" w:type="dxa"/>
            <w:vAlign w:val="bottom"/>
            <w:tcBorders>
              <w:bottom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$ 84.1</w:t>
            </w:r>
          </w:p>
        </w:tc>
      </w:tr>
    </w:tbl>
    <w:p>
      <w:pPr>
        <w:spacing w:after="0" w:line="16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Total rental expense for all operating leases (reduced by minor amounts from subleases) amounted to $35.2 million, $34.2 million and $38.1 million in 2011, 2010 and 2009, respectively.</w:t>
      </w:r>
    </w:p>
    <w:p>
      <w:pPr>
        <w:spacing w:after="0" w:line="133"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on Business Segments</w:t>
      </w:r>
    </w:p>
    <w:p>
      <w:pPr>
        <w:spacing w:after="0" w:line="180"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We report our operating segments based on how operating results are regularly reviewed by our chief operating decision maker for making decisions about resource allocations to segments and assessing performance. The Company’s operating segments and types of products from which each segment derives revenues are described below.</w:t>
      </w:r>
    </w:p>
    <w:p>
      <w:pPr>
        <w:spacing w:after="0" w:line="15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Kitchen &amp; Bath Cabinetry segment includes custom, semi-custom and stock cabinetry for the kitchen, bath and home under brand names including Aristokraft, Kitchen Craft, HomeCrest, Omega, Schrock, Kitchen Classics, Reflections, Diamond, Decorá and Kemper. In addition, cabinets are distributed under the Martha Stewart Living and Thomasville Cabinetry brand names. Plumbing &amp; Accessories includes faucets, bath furnishings, accessories and kitchen sinks predominantly under the Moen brand. Advanced Material Windows &amp; Door Systems includes residential fiberglass and steel entry door systems under the Therma-Tru brand name, vinyl-framed windows and patio doors under the Simonton brand name, and urethane millwork under the Fypon brand name. Security &amp; Storage includes locks, safety and security devices, tool storage and garage organization products under the Master Lock, Sears Craftsman and Waterloo brand names.</w:t>
      </w:r>
    </w:p>
    <w:p>
      <w:pPr>
        <w:spacing w:after="0" w:line="155" w:lineRule="exact"/>
        <w:rPr>
          <w:sz w:val="20"/>
          <w:szCs w:val="20"/>
          <w:color w:val="auto"/>
        </w:rPr>
      </w:pPr>
    </w:p>
    <w:p>
      <w:pPr>
        <w:jc w:val="both"/>
        <w:ind w:right="320"/>
        <w:spacing w:after="0" w:line="238" w:lineRule="auto"/>
        <w:rPr>
          <w:sz w:val="20"/>
          <w:szCs w:val="20"/>
          <w:color w:val="auto"/>
        </w:rPr>
      </w:pPr>
      <w:r>
        <w:rPr>
          <w:rFonts w:ascii="Arial" w:cs="Arial" w:eastAsia="Arial" w:hAnsi="Arial"/>
          <w:sz w:val="18"/>
          <w:szCs w:val="18"/>
          <w:color w:val="auto"/>
        </w:rPr>
        <w:t>Net sales to two of the Company’s customers, Lowe’s Companies, Inc. and The Home Depot, Inc., each accounted for greater than 10% of the Company’s net sales in 2011, 2010 and 2009. In 2011, net sales to these two customers were $491 million (15% of net sales) and $435 million (13% of net sales), respectively.</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subsidiaries operate principally in the United States, Canada, Mexico, China and Western Europe.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670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720" w:type="dxa"/>
            <w:vAlign w:val="bottom"/>
            <w:tcBorders>
              <w:right w:val="single" w:sz="8" w:color="auto"/>
            </w:tcBorders>
            <w:gridSpan w:val="2"/>
          </w:tcPr>
          <w:p>
            <w:pPr>
              <w:spacing w:after="0"/>
              <w:rPr>
                <w:sz w:val="20"/>
                <w:szCs w:val="20"/>
                <w:color w:val="auto"/>
              </w:rPr>
            </w:pPr>
            <w:r>
              <w:rPr>
                <w:rFonts w:ascii="Arial" w:cs="Arial" w:eastAsia="Arial" w:hAnsi="Arial"/>
                <w:sz w:val="14"/>
                <w:szCs w:val="14"/>
                <w:i w:val="1"/>
                <w:iCs w:val="1"/>
                <w:color w:val="auto"/>
              </w:rPr>
              <w:t>(In millions)</w:t>
            </w:r>
          </w:p>
        </w:tc>
        <w:tc>
          <w:tcPr>
            <w:tcW w:w="600" w:type="dxa"/>
            <w:vAlign w:val="bottom"/>
          </w:tcPr>
          <w:p>
            <w:pPr>
              <w:spacing w:after="0"/>
              <w:rPr>
                <w:sz w:val="24"/>
                <w:szCs w:val="24"/>
                <w:color w:val="auto"/>
              </w:rPr>
            </w:pPr>
          </w:p>
        </w:tc>
        <w:tc>
          <w:tcPr>
            <w:tcW w:w="1100" w:type="dxa"/>
            <w:vAlign w:val="bottom"/>
            <w:tcBorders>
              <w:right w:val="single" w:sz="8" w:color="auto"/>
            </w:tcBorders>
          </w:tcPr>
          <w:p>
            <w:pPr>
              <w:jc w:val="right"/>
              <w:ind w:right="433"/>
              <w:spacing w:after="0"/>
              <w:rPr>
                <w:sz w:val="20"/>
                <w:szCs w:val="20"/>
                <w:color w:val="auto"/>
              </w:rPr>
            </w:pPr>
            <w:r>
              <w:rPr>
                <w:rFonts w:ascii="Arial" w:cs="Arial" w:eastAsia="Arial" w:hAnsi="Arial"/>
                <w:sz w:val="14"/>
                <w:szCs w:val="14"/>
                <w:i w:val="1"/>
                <w:iCs w:val="1"/>
                <w:color w:val="auto"/>
              </w:rPr>
              <w:t>2011</w:t>
            </w:r>
          </w:p>
        </w:tc>
        <w:tc>
          <w:tcPr>
            <w:tcW w:w="600" w:type="dxa"/>
            <w:vAlign w:val="bottom"/>
          </w:tcPr>
          <w:p>
            <w:pPr>
              <w:spacing w:after="0"/>
              <w:rPr>
                <w:sz w:val="24"/>
                <w:szCs w:val="24"/>
                <w:color w:val="auto"/>
              </w:rPr>
            </w:pPr>
          </w:p>
        </w:tc>
        <w:tc>
          <w:tcPr>
            <w:tcW w:w="1100" w:type="dxa"/>
            <w:vAlign w:val="bottom"/>
            <w:tcBorders>
              <w:right w:val="single" w:sz="8" w:color="auto"/>
            </w:tcBorders>
          </w:tcPr>
          <w:p>
            <w:pPr>
              <w:jc w:val="right"/>
              <w:ind w:right="413"/>
              <w:spacing w:after="0"/>
              <w:rPr>
                <w:sz w:val="20"/>
                <w:szCs w:val="20"/>
                <w:color w:val="auto"/>
              </w:rPr>
            </w:pPr>
            <w:r>
              <w:rPr>
                <w:rFonts w:ascii="Arial" w:cs="Arial" w:eastAsia="Arial" w:hAnsi="Arial"/>
                <w:sz w:val="14"/>
                <w:szCs w:val="14"/>
                <w:color w:val="auto"/>
              </w:rPr>
              <w:t>2010</w:t>
            </w:r>
          </w:p>
        </w:tc>
        <w:tc>
          <w:tcPr>
            <w:tcW w:w="600" w:type="dxa"/>
            <w:vAlign w:val="bottom"/>
          </w:tcPr>
          <w:p>
            <w:pPr>
              <w:spacing w:after="0"/>
              <w:rPr>
                <w:sz w:val="24"/>
                <w:szCs w:val="24"/>
                <w:color w:val="auto"/>
              </w:rPr>
            </w:pPr>
          </w:p>
        </w:tc>
        <w:tc>
          <w:tcPr>
            <w:tcW w:w="700" w:type="dxa"/>
            <w:vAlign w:val="bottom"/>
          </w:tcPr>
          <w:p>
            <w:pPr>
              <w:jc w:val="right"/>
              <w:ind w:right="13"/>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tcBorders>
              <w:top w:val="single" w:sz="8" w:color="auto"/>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6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right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right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Kitchen &amp; Bath Cabinetry</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tcPr>
          <w:p>
            <w:pPr>
              <w:jc w:val="right"/>
              <w:ind w:right="433"/>
              <w:spacing w:after="0" w:line="202" w:lineRule="exact"/>
              <w:rPr>
                <w:sz w:val="20"/>
                <w:szCs w:val="20"/>
                <w:color w:val="auto"/>
              </w:rPr>
            </w:pPr>
            <w:r>
              <w:rPr>
                <w:rFonts w:ascii="Arial" w:cs="Arial" w:eastAsia="Arial" w:hAnsi="Arial"/>
                <w:sz w:val="18"/>
                <w:szCs w:val="18"/>
                <w:color w:val="auto"/>
                <w:w w:val="93"/>
              </w:rPr>
              <w:t>1,256.3</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tcPr>
          <w:p>
            <w:pPr>
              <w:jc w:val="right"/>
              <w:ind w:right="413"/>
              <w:spacing w:after="0" w:line="202" w:lineRule="exact"/>
              <w:rPr>
                <w:sz w:val="20"/>
                <w:szCs w:val="20"/>
                <w:color w:val="auto"/>
              </w:rPr>
            </w:pPr>
            <w:r>
              <w:rPr>
                <w:rFonts w:ascii="Arial" w:cs="Arial" w:eastAsia="Arial" w:hAnsi="Arial"/>
                <w:sz w:val="18"/>
                <w:szCs w:val="18"/>
                <w:color w:val="auto"/>
                <w:w w:val="96"/>
              </w:rPr>
              <w:t>1,188.8</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w w:val="96"/>
              </w:rPr>
              <w:t>1,125.7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Plumbing &amp; Accessories</w:t>
            </w:r>
          </w:p>
        </w:tc>
        <w:tc>
          <w:tcPr>
            <w:tcW w:w="6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433"/>
              <w:spacing w:after="0" w:line="202" w:lineRule="exact"/>
              <w:rPr>
                <w:sz w:val="20"/>
                <w:szCs w:val="20"/>
                <w:color w:val="auto"/>
              </w:rPr>
            </w:pPr>
            <w:r>
              <w:rPr>
                <w:rFonts w:ascii="Arial" w:cs="Arial" w:eastAsia="Arial" w:hAnsi="Arial"/>
                <w:sz w:val="18"/>
                <w:szCs w:val="18"/>
                <w:color w:val="auto"/>
              </w:rPr>
              <w:t>962.8</w:t>
            </w:r>
          </w:p>
        </w:tc>
        <w:tc>
          <w:tcPr>
            <w:tcW w:w="6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923.8</w:t>
            </w: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835.0</w:t>
            </w:r>
          </w:p>
        </w:tc>
        <w:tc>
          <w:tcPr>
            <w:tcW w:w="0" w:type="dxa"/>
            <w:vAlign w:val="bottom"/>
          </w:tcPr>
          <w:p>
            <w:pPr>
              <w:spacing w:after="0"/>
              <w:rPr>
                <w:sz w:val="1"/>
                <w:szCs w:val="1"/>
                <w:color w:val="auto"/>
              </w:rPr>
            </w:pPr>
          </w:p>
        </w:tc>
      </w:tr>
      <w:tr>
        <w:trPr>
          <w:trHeight w:val="203"/>
        </w:trPr>
        <w:tc>
          <w:tcPr>
            <w:tcW w:w="672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Advanced Material Windows &amp; Door Systems</w:t>
            </w:r>
          </w:p>
        </w:tc>
        <w:tc>
          <w:tcPr>
            <w:tcW w:w="600" w:type="dxa"/>
            <w:vAlign w:val="bottom"/>
          </w:tcPr>
          <w:p>
            <w:pPr>
              <w:spacing w:after="0"/>
              <w:rPr>
                <w:sz w:val="17"/>
                <w:szCs w:val="17"/>
                <w:color w:val="auto"/>
              </w:rPr>
            </w:pPr>
          </w:p>
        </w:tc>
        <w:tc>
          <w:tcPr>
            <w:tcW w:w="1100" w:type="dxa"/>
            <w:vAlign w:val="bottom"/>
            <w:tcBorders>
              <w:right w:val="single" w:sz="8" w:color="auto"/>
            </w:tcBorders>
          </w:tcPr>
          <w:p>
            <w:pPr>
              <w:jc w:val="right"/>
              <w:ind w:right="433"/>
              <w:spacing w:after="0" w:line="202" w:lineRule="exact"/>
              <w:rPr>
                <w:sz w:val="20"/>
                <w:szCs w:val="20"/>
                <w:color w:val="auto"/>
              </w:rPr>
            </w:pPr>
            <w:r>
              <w:rPr>
                <w:rFonts w:ascii="Arial" w:cs="Arial" w:eastAsia="Arial" w:hAnsi="Arial"/>
                <w:sz w:val="18"/>
                <w:szCs w:val="18"/>
                <w:color w:val="auto"/>
              </w:rPr>
              <w:t>552.9</w:t>
            </w:r>
          </w:p>
        </w:tc>
        <w:tc>
          <w:tcPr>
            <w:tcW w:w="600" w:type="dxa"/>
            <w:vAlign w:val="bottom"/>
          </w:tcPr>
          <w:p>
            <w:pPr>
              <w:spacing w:after="0"/>
              <w:rPr>
                <w:sz w:val="17"/>
                <w:szCs w:val="17"/>
                <w:color w:val="auto"/>
              </w:rPr>
            </w:pPr>
          </w:p>
        </w:tc>
        <w:tc>
          <w:tcPr>
            <w:tcW w:w="1100" w:type="dxa"/>
            <w:vAlign w:val="bottom"/>
            <w:tcBorders>
              <w:right w:val="single" w:sz="8" w:color="auto"/>
            </w:tcBorders>
          </w:tcPr>
          <w:p>
            <w:pPr>
              <w:jc w:val="right"/>
              <w:ind w:right="413"/>
              <w:spacing w:after="0" w:line="202" w:lineRule="exact"/>
              <w:rPr>
                <w:sz w:val="20"/>
                <w:szCs w:val="20"/>
                <w:color w:val="auto"/>
              </w:rPr>
            </w:pPr>
            <w:r>
              <w:rPr>
                <w:rFonts w:ascii="Arial" w:cs="Arial" w:eastAsia="Arial" w:hAnsi="Arial"/>
                <w:sz w:val="18"/>
                <w:szCs w:val="18"/>
                <w:color w:val="auto"/>
              </w:rPr>
              <w:t>600.7</w:t>
            </w:r>
          </w:p>
        </w:tc>
        <w:tc>
          <w:tcPr>
            <w:tcW w:w="60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550.8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Borders>
              <w:bottom w:val="single" w:sz="8" w:color="auto"/>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Security &amp; Storage</w:t>
            </w:r>
          </w:p>
        </w:tc>
        <w:tc>
          <w:tcPr>
            <w:tcW w:w="6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right w:val="single" w:sz="8" w:color="auto"/>
            </w:tcBorders>
            <w:shd w:val="clear" w:color="auto" w:fill="CCEEFF"/>
          </w:tcPr>
          <w:p>
            <w:pPr>
              <w:jc w:val="right"/>
              <w:ind w:right="433"/>
              <w:spacing w:after="0" w:line="202" w:lineRule="exact"/>
              <w:rPr>
                <w:sz w:val="20"/>
                <w:szCs w:val="20"/>
                <w:color w:val="auto"/>
              </w:rPr>
            </w:pPr>
            <w:r>
              <w:rPr>
                <w:rFonts w:ascii="Arial" w:cs="Arial" w:eastAsia="Arial" w:hAnsi="Arial"/>
                <w:sz w:val="18"/>
                <w:szCs w:val="18"/>
                <w:color w:val="auto"/>
              </w:rPr>
              <w:t>556.6</w:t>
            </w:r>
          </w:p>
        </w:tc>
        <w:tc>
          <w:tcPr>
            <w:tcW w:w="6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right w:val="single" w:sz="8" w:color="auto"/>
            </w:tcBorders>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520.2</w:t>
            </w:r>
          </w:p>
        </w:tc>
        <w:tc>
          <w:tcPr>
            <w:tcW w:w="6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495.3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Net sales</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433"/>
              <w:spacing w:after="0" w:line="196" w:lineRule="exact"/>
              <w:rPr>
                <w:sz w:val="20"/>
                <w:szCs w:val="20"/>
                <w:color w:val="auto"/>
              </w:rPr>
            </w:pPr>
            <w:r>
              <w:rPr>
                <w:rFonts w:ascii="Arial" w:cs="Arial" w:eastAsia="Arial" w:hAnsi="Arial"/>
                <w:sz w:val="18"/>
                <w:szCs w:val="18"/>
                <w:color w:val="auto"/>
                <w:w w:val="93"/>
              </w:rPr>
              <w:t>3,328.6</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413"/>
              <w:spacing w:after="0" w:line="196" w:lineRule="exact"/>
              <w:rPr>
                <w:sz w:val="20"/>
                <w:szCs w:val="20"/>
                <w:color w:val="auto"/>
              </w:rPr>
            </w:pPr>
            <w:r>
              <w:rPr>
                <w:rFonts w:ascii="Arial" w:cs="Arial" w:eastAsia="Arial" w:hAnsi="Arial"/>
                <w:sz w:val="18"/>
                <w:szCs w:val="18"/>
                <w:color w:val="auto"/>
                <w:w w:val="96"/>
              </w:rPr>
              <w:t>3,233.5</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w w:val="96"/>
              </w:rPr>
              <w:t>3,006.8</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70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0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(loss) income:</w:t>
            </w:r>
          </w:p>
        </w:tc>
        <w:tc>
          <w:tcPr>
            <w:tcW w:w="6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Kitchen &amp; Bath Cabinetry</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tcPr>
          <w:p>
            <w:pPr>
              <w:jc w:val="right"/>
              <w:ind w:right="433"/>
              <w:spacing w:after="0" w:line="202" w:lineRule="exact"/>
              <w:rPr>
                <w:sz w:val="20"/>
                <w:szCs w:val="20"/>
                <w:color w:val="auto"/>
              </w:rPr>
            </w:pPr>
            <w:r>
              <w:rPr>
                <w:rFonts w:ascii="Arial" w:cs="Arial" w:eastAsia="Arial" w:hAnsi="Arial"/>
                <w:sz w:val="18"/>
                <w:szCs w:val="18"/>
                <w:color w:val="auto"/>
              </w:rPr>
              <w:t>5.7</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tcPr>
          <w:p>
            <w:pPr>
              <w:jc w:val="right"/>
              <w:ind w:right="413"/>
              <w:spacing w:after="0" w:line="202" w:lineRule="exact"/>
              <w:rPr>
                <w:sz w:val="20"/>
                <w:szCs w:val="20"/>
                <w:color w:val="auto"/>
              </w:rPr>
            </w:pPr>
            <w:r>
              <w:rPr>
                <w:rFonts w:ascii="Arial" w:cs="Arial" w:eastAsia="Arial" w:hAnsi="Arial"/>
                <w:sz w:val="18"/>
                <w:szCs w:val="18"/>
                <w:color w:val="auto"/>
              </w:rPr>
              <w:t>28.2</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Plumbing &amp; Accessories</w:t>
            </w:r>
          </w:p>
        </w:tc>
        <w:tc>
          <w:tcPr>
            <w:tcW w:w="6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433"/>
              <w:spacing w:after="0" w:line="202" w:lineRule="exact"/>
              <w:rPr>
                <w:sz w:val="20"/>
                <w:szCs w:val="20"/>
                <w:color w:val="auto"/>
              </w:rPr>
            </w:pPr>
            <w:r>
              <w:rPr>
                <w:rFonts w:ascii="Arial" w:cs="Arial" w:eastAsia="Arial" w:hAnsi="Arial"/>
                <w:sz w:val="18"/>
                <w:szCs w:val="18"/>
                <w:color w:val="auto"/>
              </w:rPr>
              <w:t>138.0</w:t>
            </w:r>
          </w:p>
        </w:tc>
        <w:tc>
          <w:tcPr>
            <w:tcW w:w="6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132.5</w:t>
            </w: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03"/>
        </w:trPr>
        <w:tc>
          <w:tcPr>
            <w:tcW w:w="672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Advanced Material Windows &amp; Door Systems</w:t>
            </w:r>
          </w:p>
        </w:tc>
        <w:tc>
          <w:tcPr>
            <w:tcW w:w="600" w:type="dxa"/>
            <w:vAlign w:val="bottom"/>
          </w:tcPr>
          <w:p>
            <w:pPr>
              <w:spacing w:after="0"/>
              <w:rPr>
                <w:sz w:val="17"/>
                <w:szCs w:val="17"/>
                <w:color w:val="auto"/>
              </w:rPr>
            </w:pPr>
          </w:p>
        </w:tc>
        <w:tc>
          <w:tcPr>
            <w:tcW w:w="1100" w:type="dxa"/>
            <w:vAlign w:val="bottom"/>
            <w:tcBorders>
              <w:right w:val="single" w:sz="8" w:color="auto"/>
            </w:tcBorders>
          </w:tcPr>
          <w:p>
            <w:pPr>
              <w:jc w:val="right"/>
              <w:ind w:right="373"/>
              <w:spacing w:after="0" w:line="202" w:lineRule="exact"/>
              <w:rPr>
                <w:sz w:val="20"/>
                <w:szCs w:val="20"/>
                <w:color w:val="auto"/>
              </w:rPr>
            </w:pPr>
            <w:r>
              <w:rPr>
                <w:rFonts w:ascii="Arial" w:cs="Arial" w:eastAsia="Arial" w:hAnsi="Arial"/>
                <w:sz w:val="18"/>
                <w:szCs w:val="18"/>
                <w:color w:val="auto"/>
              </w:rPr>
              <w:t>(101.2)</w:t>
            </w:r>
          </w:p>
        </w:tc>
        <w:tc>
          <w:tcPr>
            <w:tcW w:w="600" w:type="dxa"/>
            <w:vAlign w:val="bottom"/>
          </w:tcPr>
          <w:p>
            <w:pPr>
              <w:spacing w:after="0"/>
              <w:rPr>
                <w:sz w:val="17"/>
                <w:szCs w:val="17"/>
                <w:color w:val="auto"/>
              </w:rPr>
            </w:pPr>
          </w:p>
        </w:tc>
        <w:tc>
          <w:tcPr>
            <w:tcW w:w="1100" w:type="dxa"/>
            <w:vAlign w:val="bottom"/>
            <w:tcBorders>
              <w:right w:val="single" w:sz="8" w:color="auto"/>
            </w:tcBorders>
          </w:tcPr>
          <w:p>
            <w:pPr>
              <w:jc w:val="right"/>
              <w:ind w:right="413"/>
              <w:spacing w:after="0" w:line="202" w:lineRule="exact"/>
              <w:rPr>
                <w:sz w:val="20"/>
                <w:szCs w:val="20"/>
                <w:color w:val="auto"/>
              </w:rPr>
            </w:pPr>
            <w:r>
              <w:rPr>
                <w:rFonts w:ascii="Arial" w:cs="Arial" w:eastAsia="Arial" w:hAnsi="Arial"/>
                <w:sz w:val="18"/>
                <w:szCs w:val="18"/>
                <w:color w:val="auto"/>
              </w:rPr>
              <w:t>17.6</w:t>
            </w:r>
          </w:p>
        </w:tc>
        <w:tc>
          <w:tcPr>
            <w:tcW w:w="6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Security &amp; Storage</w:t>
            </w:r>
          </w:p>
        </w:tc>
        <w:tc>
          <w:tcPr>
            <w:tcW w:w="6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433"/>
              <w:spacing w:after="0" w:line="202" w:lineRule="exact"/>
              <w:rPr>
                <w:sz w:val="20"/>
                <w:szCs w:val="20"/>
                <w:color w:val="auto"/>
              </w:rPr>
            </w:pPr>
            <w:r>
              <w:rPr>
                <w:rFonts w:ascii="Arial" w:cs="Arial" w:eastAsia="Arial" w:hAnsi="Arial"/>
                <w:sz w:val="18"/>
                <w:szCs w:val="18"/>
                <w:color w:val="auto"/>
              </w:rPr>
              <w:t>62.6</w:t>
            </w:r>
          </w:p>
        </w:tc>
        <w:tc>
          <w:tcPr>
            <w:tcW w:w="6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54.0</w:t>
            </w: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43"/>
        </w:trPr>
        <w:tc>
          <w:tcPr>
            <w:tcW w:w="6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Less: Corporate expenses</w:t>
            </w:r>
            <w:r>
              <w:rPr>
                <w:rFonts w:ascii="Arial" w:cs="Arial" w:eastAsia="Arial" w:hAnsi="Arial"/>
                <w:sz w:val="11"/>
                <w:szCs w:val="11"/>
                <w:color w:val="auto"/>
              </w:rPr>
              <w:t>(a )</w:t>
            </w:r>
          </w:p>
        </w:tc>
        <w:tc>
          <w:tcPr>
            <w:tcW w:w="600" w:type="dxa"/>
            <w:vAlign w:val="bottom"/>
          </w:tcPr>
          <w:p>
            <w:pPr>
              <w:spacing w:after="0"/>
              <w:rPr>
                <w:sz w:val="21"/>
                <w:szCs w:val="21"/>
                <w:color w:val="auto"/>
              </w:rPr>
            </w:pPr>
          </w:p>
        </w:tc>
        <w:tc>
          <w:tcPr>
            <w:tcW w:w="1100" w:type="dxa"/>
            <w:vAlign w:val="bottom"/>
            <w:tcBorders>
              <w:right w:val="single" w:sz="8" w:color="auto"/>
            </w:tcBorders>
          </w:tcPr>
          <w:p>
            <w:pPr>
              <w:jc w:val="right"/>
              <w:ind w:right="373"/>
              <w:spacing w:after="0"/>
              <w:rPr>
                <w:sz w:val="20"/>
                <w:szCs w:val="20"/>
                <w:color w:val="auto"/>
              </w:rPr>
            </w:pPr>
            <w:r>
              <w:rPr>
                <w:rFonts w:ascii="Arial" w:cs="Arial" w:eastAsia="Arial" w:hAnsi="Arial"/>
                <w:sz w:val="18"/>
                <w:szCs w:val="18"/>
                <w:color w:val="auto"/>
              </w:rPr>
              <w:t>(120.7)</w:t>
            </w:r>
          </w:p>
        </w:tc>
        <w:tc>
          <w:tcPr>
            <w:tcW w:w="600" w:type="dxa"/>
            <w:vAlign w:val="bottom"/>
          </w:tcPr>
          <w:p>
            <w:pPr>
              <w:spacing w:after="0"/>
              <w:rPr>
                <w:sz w:val="21"/>
                <w:szCs w:val="21"/>
                <w:color w:val="auto"/>
              </w:rPr>
            </w:pPr>
          </w:p>
        </w:tc>
        <w:tc>
          <w:tcPr>
            <w:tcW w:w="1100" w:type="dxa"/>
            <w:vAlign w:val="bottom"/>
            <w:tcBorders>
              <w:right w:val="single" w:sz="8" w:color="auto"/>
            </w:tcBorders>
          </w:tcPr>
          <w:p>
            <w:pPr>
              <w:jc w:val="right"/>
              <w:ind w:right="373"/>
              <w:spacing w:after="0"/>
              <w:rPr>
                <w:sz w:val="20"/>
                <w:szCs w:val="20"/>
                <w:color w:val="auto"/>
              </w:rPr>
            </w:pPr>
            <w:r>
              <w:rPr>
                <w:rFonts w:ascii="Arial" w:cs="Arial" w:eastAsia="Arial" w:hAnsi="Arial"/>
                <w:sz w:val="18"/>
                <w:szCs w:val="18"/>
                <w:color w:val="auto"/>
              </w:rPr>
              <w:t>(33.9)</w:t>
            </w:r>
          </w:p>
        </w:tc>
        <w:tc>
          <w:tcPr>
            <w:tcW w:w="6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tcBorders>
              <w:top w:val="single" w:sz="8" w:color="auto"/>
              <w:bottom w:val="single" w:sz="8" w:color="auto"/>
              <w:right w:val="single" w:sz="8" w:color="auto"/>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Operating (loss) income</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right w:val="single" w:sz="8" w:color="auto"/>
            </w:tcBorders>
            <w:shd w:val="clear" w:color="auto" w:fill="CCEEFF"/>
          </w:tcPr>
          <w:p>
            <w:pPr>
              <w:jc w:val="right"/>
              <w:ind w:right="373"/>
              <w:spacing w:after="0" w:line="196" w:lineRule="exact"/>
              <w:rPr>
                <w:sz w:val="20"/>
                <w:szCs w:val="20"/>
                <w:color w:val="auto"/>
              </w:rPr>
            </w:pPr>
            <w:r>
              <w:rPr>
                <w:rFonts w:ascii="Arial" w:cs="Arial" w:eastAsia="Arial" w:hAnsi="Arial"/>
                <w:sz w:val="18"/>
                <w:szCs w:val="18"/>
                <w:color w:val="auto"/>
              </w:rPr>
              <w:t>(15.6)</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right w:val="single" w:sz="8" w:color="auto"/>
            </w:tcBorders>
            <w:shd w:val="clear" w:color="auto" w:fill="CCEEFF"/>
          </w:tcPr>
          <w:p>
            <w:pPr>
              <w:jc w:val="right"/>
              <w:ind w:right="413"/>
              <w:spacing w:after="0" w:line="196" w:lineRule="exact"/>
              <w:rPr>
                <w:sz w:val="20"/>
                <w:szCs w:val="20"/>
                <w:color w:val="auto"/>
              </w:rPr>
            </w:pPr>
            <w:r>
              <w:rPr>
                <w:rFonts w:ascii="Arial" w:cs="Arial" w:eastAsia="Arial" w:hAnsi="Arial"/>
                <w:sz w:val="18"/>
                <w:szCs w:val="18"/>
                <w:color w:val="auto"/>
              </w:rPr>
              <w:t>198.4</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439"/>
        </w:trPr>
        <w:tc>
          <w:tcPr>
            <w:tcW w:w="67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Total assets:</w:t>
            </w:r>
          </w:p>
        </w:tc>
        <w:tc>
          <w:tcPr>
            <w:tcW w:w="60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Kitchen &amp; Bath Cabinetry</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shd w:val="clear" w:color="auto" w:fill="CCEEFF"/>
          </w:tcPr>
          <w:p>
            <w:pPr>
              <w:jc w:val="right"/>
              <w:ind w:right="433"/>
              <w:spacing w:after="0" w:line="202" w:lineRule="exact"/>
              <w:rPr>
                <w:sz w:val="20"/>
                <w:szCs w:val="20"/>
                <w:color w:val="auto"/>
              </w:rPr>
            </w:pPr>
            <w:r>
              <w:rPr>
                <w:rFonts w:ascii="Arial" w:cs="Arial" w:eastAsia="Arial" w:hAnsi="Arial"/>
                <w:sz w:val="18"/>
                <w:szCs w:val="18"/>
                <w:color w:val="auto"/>
                <w:w w:val="93"/>
              </w:rPr>
              <w:t>1,273.2</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w w:val="96"/>
              </w:rPr>
              <w:t>1,293.1</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w w:val="96"/>
              </w:rPr>
              <w:t>1,275.1</w:t>
            </w:r>
          </w:p>
        </w:tc>
        <w:tc>
          <w:tcPr>
            <w:tcW w:w="0" w:type="dxa"/>
            <w:vAlign w:val="bottom"/>
          </w:tcPr>
          <w:p>
            <w:pPr>
              <w:spacing w:after="0"/>
              <w:rPr>
                <w:sz w:val="1"/>
                <w:szCs w:val="1"/>
                <w:color w:val="auto"/>
              </w:rPr>
            </w:pPr>
          </w:p>
        </w:tc>
      </w:tr>
      <w:tr>
        <w:trPr>
          <w:trHeight w:val="203"/>
        </w:trPr>
        <w:tc>
          <w:tcPr>
            <w:tcW w:w="672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Plumbing &amp; Accessories</w:t>
            </w:r>
          </w:p>
        </w:tc>
        <w:tc>
          <w:tcPr>
            <w:tcW w:w="600" w:type="dxa"/>
            <w:vAlign w:val="bottom"/>
          </w:tcPr>
          <w:p>
            <w:pPr>
              <w:spacing w:after="0"/>
              <w:rPr>
                <w:sz w:val="17"/>
                <w:szCs w:val="17"/>
                <w:color w:val="auto"/>
              </w:rPr>
            </w:pPr>
          </w:p>
        </w:tc>
        <w:tc>
          <w:tcPr>
            <w:tcW w:w="1100" w:type="dxa"/>
            <w:vAlign w:val="bottom"/>
            <w:tcBorders>
              <w:right w:val="single" w:sz="8" w:color="auto"/>
            </w:tcBorders>
          </w:tcPr>
          <w:p>
            <w:pPr>
              <w:jc w:val="right"/>
              <w:ind w:right="433"/>
              <w:spacing w:after="0" w:line="202" w:lineRule="exact"/>
              <w:rPr>
                <w:sz w:val="20"/>
                <w:szCs w:val="20"/>
                <w:color w:val="auto"/>
              </w:rPr>
            </w:pPr>
            <w:r>
              <w:rPr>
                <w:rFonts w:ascii="Arial" w:cs="Arial" w:eastAsia="Arial" w:hAnsi="Arial"/>
                <w:sz w:val="18"/>
                <w:szCs w:val="18"/>
                <w:color w:val="auto"/>
                <w:w w:val="93"/>
              </w:rPr>
              <w:t>1,065.0</w:t>
            </w:r>
          </w:p>
        </w:tc>
        <w:tc>
          <w:tcPr>
            <w:tcW w:w="600" w:type="dxa"/>
            <w:vAlign w:val="bottom"/>
          </w:tcPr>
          <w:p>
            <w:pPr>
              <w:spacing w:after="0"/>
              <w:rPr>
                <w:sz w:val="17"/>
                <w:szCs w:val="17"/>
                <w:color w:val="auto"/>
              </w:rPr>
            </w:pPr>
          </w:p>
        </w:tc>
        <w:tc>
          <w:tcPr>
            <w:tcW w:w="1100" w:type="dxa"/>
            <w:vAlign w:val="bottom"/>
            <w:tcBorders>
              <w:right w:val="single" w:sz="8" w:color="auto"/>
            </w:tcBorders>
          </w:tcPr>
          <w:p>
            <w:pPr>
              <w:jc w:val="right"/>
              <w:ind w:right="413"/>
              <w:spacing w:after="0" w:line="202" w:lineRule="exact"/>
              <w:rPr>
                <w:sz w:val="20"/>
                <w:szCs w:val="20"/>
                <w:color w:val="auto"/>
              </w:rPr>
            </w:pPr>
            <w:r>
              <w:rPr>
                <w:rFonts w:ascii="Arial" w:cs="Arial" w:eastAsia="Arial" w:hAnsi="Arial"/>
                <w:sz w:val="18"/>
                <w:szCs w:val="18"/>
                <w:color w:val="auto"/>
                <w:w w:val="96"/>
              </w:rPr>
              <w:t>1,064.6</w:t>
            </w:r>
          </w:p>
        </w:tc>
        <w:tc>
          <w:tcPr>
            <w:tcW w:w="60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w w:val="96"/>
              </w:rPr>
              <w:t>1,048.3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Advanced Material Windows &amp; Door Systems</w:t>
            </w:r>
          </w:p>
        </w:tc>
        <w:tc>
          <w:tcPr>
            <w:tcW w:w="6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433"/>
              <w:spacing w:after="0" w:line="202" w:lineRule="exact"/>
              <w:rPr>
                <w:sz w:val="20"/>
                <w:szCs w:val="20"/>
                <w:color w:val="auto"/>
              </w:rPr>
            </w:pPr>
            <w:r>
              <w:rPr>
                <w:rFonts w:ascii="Arial" w:cs="Arial" w:eastAsia="Arial" w:hAnsi="Arial"/>
                <w:sz w:val="18"/>
                <w:szCs w:val="18"/>
                <w:color w:val="auto"/>
              </w:rPr>
              <w:t>804.2</w:t>
            </w:r>
          </w:p>
        </w:tc>
        <w:tc>
          <w:tcPr>
            <w:tcW w:w="6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922.8</w:t>
            </w: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935.1</w:t>
            </w:r>
          </w:p>
        </w:tc>
        <w:tc>
          <w:tcPr>
            <w:tcW w:w="0" w:type="dxa"/>
            <w:vAlign w:val="bottom"/>
          </w:tcPr>
          <w:p>
            <w:pPr>
              <w:spacing w:after="0"/>
              <w:rPr>
                <w:sz w:val="1"/>
                <w:szCs w:val="1"/>
                <w:color w:val="auto"/>
              </w:rPr>
            </w:pPr>
          </w:p>
        </w:tc>
      </w:tr>
      <w:tr>
        <w:trPr>
          <w:trHeight w:val="203"/>
        </w:trPr>
        <w:tc>
          <w:tcPr>
            <w:tcW w:w="672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Security &amp; Storage</w:t>
            </w:r>
          </w:p>
        </w:tc>
        <w:tc>
          <w:tcPr>
            <w:tcW w:w="600" w:type="dxa"/>
            <w:vAlign w:val="bottom"/>
          </w:tcPr>
          <w:p>
            <w:pPr>
              <w:spacing w:after="0"/>
              <w:rPr>
                <w:sz w:val="17"/>
                <w:szCs w:val="17"/>
                <w:color w:val="auto"/>
              </w:rPr>
            </w:pPr>
          </w:p>
        </w:tc>
        <w:tc>
          <w:tcPr>
            <w:tcW w:w="1100" w:type="dxa"/>
            <w:vAlign w:val="bottom"/>
            <w:tcBorders>
              <w:right w:val="single" w:sz="8" w:color="auto"/>
            </w:tcBorders>
          </w:tcPr>
          <w:p>
            <w:pPr>
              <w:jc w:val="right"/>
              <w:ind w:right="433"/>
              <w:spacing w:after="0" w:line="202" w:lineRule="exact"/>
              <w:rPr>
                <w:sz w:val="20"/>
                <w:szCs w:val="20"/>
                <w:color w:val="auto"/>
              </w:rPr>
            </w:pPr>
            <w:r>
              <w:rPr>
                <w:rFonts w:ascii="Arial" w:cs="Arial" w:eastAsia="Arial" w:hAnsi="Arial"/>
                <w:sz w:val="18"/>
                <w:szCs w:val="18"/>
                <w:color w:val="auto"/>
              </w:rPr>
              <w:t>399.9</w:t>
            </w:r>
          </w:p>
        </w:tc>
        <w:tc>
          <w:tcPr>
            <w:tcW w:w="600" w:type="dxa"/>
            <w:vAlign w:val="bottom"/>
          </w:tcPr>
          <w:p>
            <w:pPr>
              <w:spacing w:after="0"/>
              <w:rPr>
                <w:sz w:val="17"/>
                <w:szCs w:val="17"/>
                <w:color w:val="auto"/>
              </w:rPr>
            </w:pPr>
          </w:p>
        </w:tc>
        <w:tc>
          <w:tcPr>
            <w:tcW w:w="1100" w:type="dxa"/>
            <w:vAlign w:val="bottom"/>
            <w:tcBorders>
              <w:right w:val="single" w:sz="8" w:color="auto"/>
            </w:tcBorders>
          </w:tcPr>
          <w:p>
            <w:pPr>
              <w:jc w:val="right"/>
              <w:ind w:right="413"/>
              <w:spacing w:after="0" w:line="202" w:lineRule="exact"/>
              <w:rPr>
                <w:sz w:val="20"/>
                <w:szCs w:val="20"/>
                <w:color w:val="auto"/>
              </w:rPr>
            </w:pPr>
            <w:r>
              <w:rPr>
                <w:rFonts w:ascii="Arial" w:cs="Arial" w:eastAsia="Arial" w:hAnsi="Arial"/>
                <w:sz w:val="18"/>
                <w:szCs w:val="18"/>
                <w:color w:val="auto"/>
              </w:rPr>
              <w:t>402.3</w:t>
            </w:r>
          </w:p>
        </w:tc>
        <w:tc>
          <w:tcPr>
            <w:tcW w:w="60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398.4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w:t>
            </w:r>
            <w:r>
              <w:rPr>
                <w:rFonts w:ascii="Arial" w:cs="Arial" w:eastAsia="Arial" w:hAnsi="Arial"/>
                <w:sz w:val="11"/>
                <w:szCs w:val="11"/>
                <w:color w:val="auto"/>
              </w:rPr>
              <w:t>(b )</w:t>
            </w:r>
          </w:p>
        </w:tc>
        <w:tc>
          <w:tcPr>
            <w:tcW w:w="6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right w:val="single" w:sz="8" w:color="auto"/>
            </w:tcBorders>
            <w:shd w:val="clear" w:color="auto" w:fill="CCEEFF"/>
          </w:tcPr>
          <w:p>
            <w:pPr>
              <w:jc w:val="right"/>
              <w:ind w:right="433"/>
              <w:spacing w:after="0"/>
              <w:rPr>
                <w:sz w:val="20"/>
                <w:szCs w:val="20"/>
                <w:color w:val="auto"/>
              </w:rPr>
            </w:pPr>
            <w:r>
              <w:rPr>
                <w:rFonts w:ascii="Arial" w:cs="Arial" w:eastAsia="Arial" w:hAnsi="Arial"/>
                <w:sz w:val="18"/>
                <w:szCs w:val="18"/>
                <w:color w:val="auto"/>
              </w:rPr>
              <w:t>95.6</w:t>
            </w:r>
          </w:p>
        </w:tc>
        <w:tc>
          <w:tcPr>
            <w:tcW w:w="6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right w:val="single" w:sz="8" w:color="auto"/>
            </w:tcBorders>
            <w:shd w:val="clear" w:color="auto" w:fill="CCEEFF"/>
          </w:tcPr>
          <w:p>
            <w:pPr>
              <w:jc w:val="right"/>
              <w:ind w:right="413"/>
              <w:spacing w:after="0"/>
              <w:rPr>
                <w:sz w:val="20"/>
                <w:szCs w:val="20"/>
                <w:color w:val="auto"/>
              </w:rPr>
            </w:pPr>
            <w:r>
              <w:rPr>
                <w:rFonts w:ascii="Arial" w:cs="Arial" w:eastAsia="Arial" w:hAnsi="Arial"/>
                <w:sz w:val="18"/>
                <w:szCs w:val="18"/>
                <w:color w:val="auto"/>
              </w:rPr>
              <w:t>574.8</w:t>
            </w:r>
          </w:p>
        </w:tc>
        <w:tc>
          <w:tcPr>
            <w:tcW w:w="6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Total assets</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433"/>
              <w:spacing w:after="0" w:line="196" w:lineRule="exact"/>
              <w:rPr>
                <w:sz w:val="20"/>
                <w:szCs w:val="20"/>
                <w:color w:val="auto"/>
              </w:rPr>
            </w:pPr>
            <w:r>
              <w:rPr>
                <w:rFonts w:ascii="Arial" w:cs="Arial" w:eastAsia="Arial" w:hAnsi="Arial"/>
                <w:sz w:val="18"/>
                <w:szCs w:val="18"/>
                <w:color w:val="auto"/>
                <w:w w:val="93"/>
              </w:rPr>
              <w:t>3,637.9</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413"/>
              <w:spacing w:after="0" w:line="196" w:lineRule="exact"/>
              <w:rPr>
                <w:sz w:val="20"/>
                <w:szCs w:val="20"/>
                <w:color w:val="auto"/>
              </w:rPr>
            </w:pPr>
            <w:r>
              <w:rPr>
                <w:rFonts w:ascii="Arial" w:cs="Arial" w:eastAsia="Arial" w:hAnsi="Arial"/>
                <w:sz w:val="18"/>
                <w:szCs w:val="18"/>
                <w:color w:val="auto"/>
                <w:w w:val="96"/>
              </w:rPr>
              <w:t>4,257.6</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w w:val="96"/>
              </w:rPr>
              <w:t>4,190.0</w:t>
            </w:r>
          </w:p>
        </w:tc>
        <w:tc>
          <w:tcPr>
            <w:tcW w:w="0" w:type="dxa"/>
            <w:vAlign w:val="bottom"/>
          </w:tcPr>
          <w:p>
            <w:pPr>
              <w:spacing w:after="0"/>
              <w:rPr>
                <w:sz w:val="1"/>
                <w:szCs w:val="1"/>
                <w:color w:val="auto"/>
              </w:rPr>
            </w:pPr>
          </w:p>
        </w:tc>
      </w:tr>
      <w:tr>
        <w:trPr>
          <w:trHeight w:val="347"/>
        </w:trPr>
        <w:tc>
          <w:tcPr>
            <w:tcW w:w="672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vertAlign w:val="superscript"/>
              </w:rPr>
              <w:t>(a)</w:t>
            </w:r>
            <w:r>
              <w:rPr>
                <w:rFonts w:ascii="Arial" w:cs="Arial" w:eastAsia="Arial" w:hAnsi="Arial"/>
                <w:sz w:val="14"/>
                <w:szCs w:val="14"/>
                <w:color w:val="auto"/>
              </w:rPr>
              <w:t xml:space="preserve">   Below is a table detailing Corporate expenses.</w:t>
            </w:r>
          </w:p>
        </w:tc>
        <w:tc>
          <w:tcPr>
            <w:tcW w:w="60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670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0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Corporate expenses:</w:t>
            </w:r>
          </w:p>
        </w:tc>
        <w:tc>
          <w:tcPr>
            <w:tcW w:w="6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General and administrative expense</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tcPr>
          <w:p>
            <w:pPr>
              <w:jc w:val="right"/>
              <w:ind w:right="373"/>
              <w:spacing w:after="0" w:line="202" w:lineRule="exact"/>
              <w:rPr>
                <w:sz w:val="20"/>
                <w:szCs w:val="20"/>
                <w:color w:val="auto"/>
              </w:rPr>
            </w:pPr>
            <w:r>
              <w:rPr>
                <w:rFonts w:ascii="Arial" w:cs="Arial" w:eastAsia="Arial" w:hAnsi="Arial"/>
                <w:sz w:val="18"/>
                <w:szCs w:val="18"/>
                <w:color w:val="auto"/>
              </w:rPr>
              <w:t>(20.7)</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tcPr>
          <w:p>
            <w:pPr>
              <w:jc w:val="right"/>
              <w:ind w:right="373"/>
              <w:spacing w:after="0" w:line="202" w:lineRule="exact"/>
              <w:rPr>
                <w:sz w:val="20"/>
                <w:szCs w:val="20"/>
                <w:color w:val="auto"/>
              </w:rPr>
            </w:pPr>
            <w:r>
              <w:rPr>
                <w:rFonts w:ascii="Arial" w:cs="Arial" w:eastAsia="Arial" w:hAnsi="Arial"/>
                <w:sz w:val="18"/>
                <w:szCs w:val="18"/>
                <w:color w:val="auto"/>
              </w:rPr>
              <w:t>(6.7)</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Business separation costs</w:t>
            </w:r>
          </w:p>
        </w:tc>
        <w:tc>
          <w:tcPr>
            <w:tcW w:w="6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(2.4)</w:t>
            </w:r>
          </w:p>
        </w:tc>
        <w:tc>
          <w:tcPr>
            <w:tcW w:w="6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2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Former Parent general and administrative expense allocation</w:t>
            </w:r>
          </w:p>
        </w:tc>
        <w:tc>
          <w:tcPr>
            <w:tcW w:w="600" w:type="dxa"/>
            <w:vAlign w:val="bottom"/>
          </w:tcPr>
          <w:p>
            <w:pPr>
              <w:spacing w:after="0"/>
              <w:rPr>
                <w:sz w:val="17"/>
                <w:szCs w:val="17"/>
                <w:color w:val="auto"/>
              </w:rPr>
            </w:pPr>
          </w:p>
        </w:tc>
        <w:tc>
          <w:tcPr>
            <w:tcW w:w="1100" w:type="dxa"/>
            <w:vAlign w:val="bottom"/>
            <w:tcBorders>
              <w:right w:val="single" w:sz="8" w:color="auto"/>
            </w:tcBorders>
          </w:tcPr>
          <w:p>
            <w:pPr>
              <w:jc w:val="right"/>
              <w:ind w:right="373"/>
              <w:spacing w:after="0" w:line="202" w:lineRule="exact"/>
              <w:rPr>
                <w:sz w:val="20"/>
                <w:szCs w:val="20"/>
                <w:color w:val="auto"/>
              </w:rPr>
            </w:pPr>
            <w:r>
              <w:rPr>
                <w:rFonts w:ascii="Arial" w:cs="Arial" w:eastAsia="Arial" w:hAnsi="Arial"/>
                <w:sz w:val="18"/>
                <w:szCs w:val="18"/>
                <w:color w:val="auto"/>
              </w:rPr>
              <w:t>(23.4)</w:t>
            </w:r>
          </w:p>
        </w:tc>
        <w:tc>
          <w:tcPr>
            <w:tcW w:w="600" w:type="dxa"/>
            <w:vAlign w:val="bottom"/>
          </w:tcPr>
          <w:p>
            <w:pPr>
              <w:spacing w:after="0"/>
              <w:rPr>
                <w:sz w:val="17"/>
                <w:szCs w:val="17"/>
                <w:color w:val="auto"/>
              </w:rPr>
            </w:pPr>
          </w:p>
        </w:tc>
        <w:tc>
          <w:tcPr>
            <w:tcW w:w="1100" w:type="dxa"/>
            <w:vAlign w:val="bottom"/>
            <w:tcBorders>
              <w:right w:val="single" w:sz="8" w:color="auto"/>
            </w:tcBorders>
          </w:tcPr>
          <w:p>
            <w:pPr>
              <w:jc w:val="right"/>
              <w:ind w:right="373"/>
              <w:spacing w:after="0" w:line="202" w:lineRule="exact"/>
              <w:rPr>
                <w:sz w:val="20"/>
                <w:szCs w:val="20"/>
                <w:color w:val="auto"/>
              </w:rPr>
            </w:pPr>
            <w:r>
              <w:rPr>
                <w:rFonts w:ascii="Arial" w:cs="Arial" w:eastAsia="Arial" w:hAnsi="Arial"/>
                <w:sz w:val="18"/>
                <w:szCs w:val="18"/>
                <w:color w:val="auto"/>
              </w:rPr>
              <w:t>(32.0)</w:t>
            </w:r>
          </w:p>
        </w:tc>
        <w:tc>
          <w:tcPr>
            <w:tcW w:w="6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Defined benefit plan costs</w:t>
            </w:r>
          </w:p>
        </w:tc>
        <w:tc>
          <w:tcPr>
            <w:tcW w:w="6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433"/>
              <w:spacing w:after="0" w:line="202" w:lineRule="exact"/>
              <w:rPr>
                <w:sz w:val="20"/>
                <w:szCs w:val="20"/>
                <w:color w:val="auto"/>
              </w:rPr>
            </w:pPr>
            <w:r>
              <w:rPr>
                <w:rFonts w:ascii="Arial" w:cs="Arial" w:eastAsia="Arial" w:hAnsi="Arial"/>
                <w:sz w:val="18"/>
                <w:szCs w:val="18"/>
                <w:color w:val="auto"/>
              </w:rPr>
              <w:t>5.8</w:t>
            </w:r>
          </w:p>
        </w:tc>
        <w:tc>
          <w:tcPr>
            <w:tcW w:w="6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1.3</w:t>
            </w: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3"/>
        </w:trPr>
        <w:tc>
          <w:tcPr>
            <w:tcW w:w="672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Defined benefit plan recognition of actuarial (losses) gains</w:t>
            </w:r>
          </w:p>
        </w:tc>
        <w:tc>
          <w:tcPr>
            <w:tcW w:w="600" w:type="dxa"/>
            <w:vAlign w:val="bottom"/>
          </w:tcPr>
          <w:p>
            <w:pPr>
              <w:spacing w:after="0"/>
              <w:rPr>
                <w:sz w:val="17"/>
                <w:szCs w:val="17"/>
                <w:color w:val="auto"/>
              </w:rPr>
            </w:pPr>
          </w:p>
        </w:tc>
        <w:tc>
          <w:tcPr>
            <w:tcW w:w="1100" w:type="dxa"/>
            <w:vAlign w:val="bottom"/>
            <w:tcBorders>
              <w:right w:val="single" w:sz="8" w:color="auto"/>
            </w:tcBorders>
          </w:tcPr>
          <w:p>
            <w:pPr>
              <w:jc w:val="right"/>
              <w:ind w:right="373"/>
              <w:spacing w:after="0" w:line="202" w:lineRule="exact"/>
              <w:rPr>
                <w:sz w:val="20"/>
                <w:szCs w:val="20"/>
                <w:color w:val="auto"/>
              </w:rPr>
            </w:pPr>
            <w:r>
              <w:rPr>
                <w:rFonts w:ascii="Arial" w:cs="Arial" w:eastAsia="Arial" w:hAnsi="Arial"/>
                <w:sz w:val="18"/>
                <w:szCs w:val="18"/>
                <w:color w:val="auto"/>
              </w:rPr>
              <w:t>(80.0)</w:t>
            </w:r>
          </w:p>
        </w:tc>
        <w:tc>
          <w:tcPr>
            <w:tcW w:w="600" w:type="dxa"/>
            <w:vAlign w:val="bottom"/>
          </w:tcPr>
          <w:p>
            <w:pPr>
              <w:spacing w:after="0"/>
              <w:rPr>
                <w:sz w:val="17"/>
                <w:szCs w:val="17"/>
                <w:color w:val="auto"/>
              </w:rPr>
            </w:pPr>
          </w:p>
        </w:tc>
        <w:tc>
          <w:tcPr>
            <w:tcW w:w="1100" w:type="dxa"/>
            <w:vAlign w:val="bottom"/>
            <w:tcBorders>
              <w:right w:val="single" w:sz="8" w:color="auto"/>
            </w:tcBorders>
          </w:tcPr>
          <w:p>
            <w:pPr>
              <w:jc w:val="right"/>
              <w:ind w:right="413"/>
              <w:spacing w:after="0" w:line="202" w:lineRule="exact"/>
              <w:rPr>
                <w:sz w:val="20"/>
                <w:szCs w:val="20"/>
                <w:color w:val="auto"/>
              </w:rPr>
            </w:pPr>
            <w:r>
              <w:rPr>
                <w:rFonts w:ascii="Arial" w:cs="Arial" w:eastAsia="Arial" w:hAnsi="Arial"/>
                <w:sz w:val="18"/>
                <w:szCs w:val="18"/>
                <w:color w:val="auto"/>
              </w:rPr>
              <w:t>3.5</w:t>
            </w:r>
          </w:p>
        </w:tc>
        <w:tc>
          <w:tcPr>
            <w:tcW w:w="60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tcBorders>
              <w:top w:val="single" w:sz="8" w:color="auto"/>
              <w:bottom w:val="single" w:sz="8" w:color="auto"/>
              <w:right w:val="single" w:sz="8" w:color="auto"/>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Corporate expenses</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right w:val="single" w:sz="8" w:color="auto"/>
            </w:tcBorders>
            <w:shd w:val="clear" w:color="auto" w:fill="CCEEFF"/>
          </w:tcPr>
          <w:p>
            <w:pPr>
              <w:jc w:val="right"/>
              <w:ind w:right="373"/>
              <w:spacing w:after="0" w:line="196" w:lineRule="exact"/>
              <w:rPr>
                <w:sz w:val="20"/>
                <w:szCs w:val="20"/>
                <w:color w:val="auto"/>
              </w:rPr>
            </w:pPr>
            <w:r>
              <w:rPr>
                <w:rFonts w:ascii="Arial" w:cs="Arial" w:eastAsia="Arial" w:hAnsi="Arial"/>
                <w:sz w:val="18"/>
                <w:szCs w:val="18"/>
                <w:color w:val="auto"/>
              </w:rPr>
              <w:t>(120.7)</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right w:val="single" w:sz="8" w:color="auto"/>
            </w:tcBorders>
            <w:shd w:val="clear" w:color="auto" w:fill="CCEEFF"/>
          </w:tcPr>
          <w:p>
            <w:pPr>
              <w:jc w:val="right"/>
              <w:ind w:right="373"/>
              <w:spacing w:after="0" w:line="196" w:lineRule="exact"/>
              <w:rPr>
                <w:sz w:val="20"/>
                <w:szCs w:val="20"/>
                <w:color w:val="auto"/>
              </w:rPr>
            </w:pPr>
            <w:r>
              <w:rPr>
                <w:rFonts w:ascii="Arial" w:cs="Arial" w:eastAsia="Arial" w:hAnsi="Arial"/>
                <w:sz w:val="18"/>
                <w:szCs w:val="18"/>
                <w:color w:val="auto"/>
              </w:rPr>
              <w:t>(33.9)</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bl>
    <w:p>
      <w:pPr>
        <w:ind w:left="220" w:hanging="212"/>
        <w:spacing w:after="0" w:line="230" w:lineRule="auto"/>
        <w:tabs>
          <w:tab w:leader="none" w:pos="220" w:val="left"/>
        </w:tabs>
        <w:numPr>
          <w:ilvl w:val="0"/>
          <w:numId w:val="49"/>
        </w:numPr>
        <w:rPr>
          <w:rFonts w:ascii="Arial" w:cs="Arial" w:eastAsia="Arial" w:hAnsi="Arial"/>
          <w:sz w:val="22"/>
          <w:szCs w:val="22"/>
          <w:color w:val="auto"/>
          <w:vertAlign w:val="superscript"/>
        </w:rPr>
      </w:pPr>
      <w:r>
        <w:rPr>
          <w:rFonts w:ascii="Arial" w:cs="Arial" w:eastAsia="Arial" w:hAnsi="Arial"/>
          <w:sz w:val="14"/>
          <w:szCs w:val="14"/>
          <w:color w:val="auto"/>
        </w:rPr>
        <w:t>Corporate assets at December 31, 2010 and 2009 predominantly consisted of short-term loans to our Former Parent.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405"/>
        </w:trPr>
        <w:tc>
          <w:tcPr>
            <w:tcW w:w="672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(In millions)</w:t>
            </w:r>
          </w:p>
        </w:tc>
        <w:tc>
          <w:tcPr>
            <w:tcW w:w="6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right w:val="single" w:sz="8" w:color="auto"/>
            </w:tcBorders>
          </w:tcPr>
          <w:p>
            <w:pPr>
              <w:jc w:val="right"/>
              <w:ind w:right="433"/>
              <w:spacing w:after="0"/>
              <w:rPr>
                <w:sz w:val="20"/>
                <w:szCs w:val="20"/>
                <w:color w:val="auto"/>
              </w:rPr>
            </w:pPr>
            <w:r>
              <w:rPr>
                <w:rFonts w:ascii="Arial" w:cs="Arial" w:eastAsia="Arial" w:hAnsi="Arial"/>
                <w:sz w:val="14"/>
                <w:szCs w:val="14"/>
                <w:i w:val="1"/>
                <w:iCs w:val="1"/>
                <w:color w:val="auto"/>
              </w:rPr>
              <w:t>2011</w:t>
            </w:r>
          </w:p>
        </w:tc>
        <w:tc>
          <w:tcPr>
            <w:tcW w:w="6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right w:val="single" w:sz="8" w:color="auto"/>
            </w:tcBorders>
          </w:tcPr>
          <w:p>
            <w:pPr>
              <w:jc w:val="right"/>
              <w:ind w:right="413"/>
              <w:spacing w:after="0"/>
              <w:rPr>
                <w:sz w:val="20"/>
                <w:szCs w:val="20"/>
                <w:color w:val="auto"/>
              </w:rPr>
            </w:pPr>
            <w:r>
              <w:rPr>
                <w:rFonts w:ascii="Arial" w:cs="Arial" w:eastAsia="Arial" w:hAnsi="Arial"/>
                <w:sz w:val="14"/>
                <w:szCs w:val="14"/>
                <w:color w:val="auto"/>
              </w:rPr>
              <w:t>2010</w:t>
            </w:r>
          </w:p>
        </w:tc>
        <w:tc>
          <w:tcPr>
            <w:tcW w:w="6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color w:val="auto"/>
              </w:rPr>
              <w:t>2009</w:t>
            </w:r>
          </w:p>
        </w:tc>
      </w:tr>
      <w:tr>
        <w:trPr>
          <w:trHeight w:val="196"/>
        </w:trPr>
        <w:tc>
          <w:tcPr>
            <w:tcW w:w="6720" w:type="dxa"/>
            <w:vAlign w:val="bottom"/>
            <w:tcBorders>
              <w:right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rPr>
              <w:t>Depreciation expense:</w:t>
            </w:r>
          </w:p>
        </w:tc>
        <w:tc>
          <w:tcPr>
            <w:tcW w:w="6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672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Kitchen &amp; Bath Cabinetry</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tcPr>
          <w:p>
            <w:pPr>
              <w:jc w:val="right"/>
              <w:ind w:right="433"/>
              <w:spacing w:after="0" w:line="202" w:lineRule="exact"/>
              <w:rPr>
                <w:sz w:val="20"/>
                <w:szCs w:val="20"/>
                <w:color w:val="auto"/>
              </w:rPr>
            </w:pPr>
            <w:r>
              <w:rPr>
                <w:rFonts w:ascii="Arial" w:cs="Arial" w:eastAsia="Arial" w:hAnsi="Arial"/>
                <w:sz w:val="18"/>
                <w:szCs w:val="18"/>
                <w:color w:val="auto"/>
              </w:rPr>
              <w:t>38.6</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tcPr>
          <w:p>
            <w:pPr>
              <w:jc w:val="right"/>
              <w:ind w:right="413"/>
              <w:spacing w:after="0" w:line="202" w:lineRule="exact"/>
              <w:rPr>
                <w:sz w:val="20"/>
                <w:szCs w:val="20"/>
                <w:color w:val="auto"/>
              </w:rPr>
            </w:pPr>
            <w:r>
              <w:rPr>
                <w:rFonts w:ascii="Arial" w:cs="Arial" w:eastAsia="Arial" w:hAnsi="Arial"/>
                <w:sz w:val="18"/>
                <w:szCs w:val="18"/>
                <w:color w:val="auto"/>
              </w:rPr>
              <w:t>34.2</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46.4</w:t>
            </w:r>
          </w:p>
        </w:tc>
      </w:tr>
      <w:tr>
        <w:trPr>
          <w:trHeight w:val="203"/>
        </w:trPr>
        <w:tc>
          <w:tcPr>
            <w:tcW w:w="6720" w:type="dxa"/>
            <w:vAlign w:val="bottom"/>
            <w:tcBorders>
              <w:right w:val="single" w:sz="8" w:color="auto"/>
            </w:tcBorders>
            <w:shd w:val="clear" w:color="auto" w:fill="CCEEFF"/>
          </w:tcPr>
          <w:p>
            <w:pPr>
              <w:ind w:left="120"/>
              <w:spacing w:after="0" w:line="202" w:lineRule="exact"/>
              <w:rPr>
                <w:sz w:val="20"/>
                <w:szCs w:val="20"/>
                <w:color w:val="auto"/>
              </w:rPr>
            </w:pPr>
            <w:r>
              <w:rPr>
                <w:rFonts w:ascii="Arial" w:cs="Arial" w:eastAsia="Arial" w:hAnsi="Arial"/>
                <w:sz w:val="18"/>
                <w:szCs w:val="18"/>
                <w:color w:val="auto"/>
              </w:rPr>
              <w:t>Plumbing &amp; Accessories</w:t>
            </w:r>
          </w:p>
        </w:tc>
        <w:tc>
          <w:tcPr>
            <w:tcW w:w="6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433"/>
              <w:spacing w:after="0" w:line="202" w:lineRule="exact"/>
              <w:rPr>
                <w:sz w:val="20"/>
                <w:szCs w:val="20"/>
                <w:color w:val="auto"/>
              </w:rPr>
            </w:pPr>
            <w:r>
              <w:rPr>
                <w:rFonts w:ascii="Arial" w:cs="Arial" w:eastAsia="Arial" w:hAnsi="Arial"/>
                <w:sz w:val="18"/>
                <w:szCs w:val="18"/>
                <w:color w:val="auto"/>
              </w:rPr>
              <w:t>18.2</w:t>
            </w:r>
          </w:p>
        </w:tc>
        <w:tc>
          <w:tcPr>
            <w:tcW w:w="6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19.5</w:t>
            </w: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19.6</w:t>
            </w:r>
          </w:p>
        </w:tc>
      </w:tr>
      <w:tr>
        <w:trPr>
          <w:trHeight w:val="203"/>
        </w:trPr>
        <w:tc>
          <w:tcPr>
            <w:tcW w:w="672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Advanced Material Windows &amp; Door Systems</w:t>
            </w:r>
          </w:p>
        </w:tc>
        <w:tc>
          <w:tcPr>
            <w:tcW w:w="600" w:type="dxa"/>
            <w:vAlign w:val="bottom"/>
          </w:tcPr>
          <w:p>
            <w:pPr>
              <w:spacing w:after="0"/>
              <w:rPr>
                <w:sz w:val="17"/>
                <w:szCs w:val="17"/>
                <w:color w:val="auto"/>
              </w:rPr>
            </w:pPr>
          </w:p>
        </w:tc>
        <w:tc>
          <w:tcPr>
            <w:tcW w:w="1100" w:type="dxa"/>
            <w:vAlign w:val="bottom"/>
            <w:tcBorders>
              <w:right w:val="single" w:sz="8" w:color="auto"/>
            </w:tcBorders>
          </w:tcPr>
          <w:p>
            <w:pPr>
              <w:jc w:val="right"/>
              <w:ind w:right="433"/>
              <w:spacing w:after="0" w:line="202" w:lineRule="exact"/>
              <w:rPr>
                <w:sz w:val="20"/>
                <w:szCs w:val="20"/>
                <w:color w:val="auto"/>
              </w:rPr>
            </w:pPr>
            <w:r>
              <w:rPr>
                <w:rFonts w:ascii="Arial" w:cs="Arial" w:eastAsia="Arial" w:hAnsi="Arial"/>
                <w:sz w:val="18"/>
                <w:szCs w:val="18"/>
                <w:color w:val="auto"/>
              </w:rPr>
              <w:t>25.8</w:t>
            </w:r>
          </w:p>
        </w:tc>
        <w:tc>
          <w:tcPr>
            <w:tcW w:w="600" w:type="dxa"/>
            <w:vAlign w:val="bottom"/>
          </w:tcPr>
          <w:p>
            <w:pPr>
              <w:spacing w:after="0"/>
              <w:rPr>
                <w:sz w:val="17"/>
                <w:szCs w:val="17"/>
                <w:color w:val="auto"/>
              </w:rPr>
            </w:pPr>
          </w:p>
        </w:tc>
        <w:tc>
          <w:tcPr>
            <w:tcW w:w="1100" w:type="dxa"/>
            <w:vAlign w:val="bottom"/>
            <w:tcBorders>
              <w:right w:val="single" w:sz="8" w:color="auto"/>
            </w:tcBorders>
          </w:tcPr>
          <w:p>
            <w:pPr>
              <w:jc w:val="right"/>
              <w:ind w:right="413"/>
              <w:spacing w:after="0" w:line="202" w:lineRule="exact"/>
              <w:rPr>
                <w:sz w:val="20"/>
                <w:szCs w:val="20"/>
                <w:color w:val="auto"/>
              </w:rPr>
            </w:pPr>
            <w:r>
              <w:rPr>
                <w:rFonts w:ascii="Arial" w:cs="Arial" w:eastAsia="Arial" w:hAnsi="Arial"/>
                <w:sz w:val="18"/>
                <w:szCs w:val="18"/>
                <w:color w:val="auto"/>
              </w:rPr>
              <w:t>23.3</w:t>
            </w:r>
          </w:p>
        </w:tc>
        <w:tc>
          <w:tcPr>
            <w:tcW w:w="60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34.7</w:t>
            </w:r>
          </w:p>
        </w:tc>
      </w:tr>
      <w:tr>
        <w:trPr>
          <w:trHeight w:val="203"/>
        </w:trPr>
        <w:tc>
          <w:tcPr>
            <w:tcW w:w="6720" w:type="dxa"/>
            <w:vAlign w:val="bottom"/>
            <w:tcBorders>
              <w:right w:val="single" w:sz="8" w:color="auto"/>
            </w:tcBorders>
            <w:shd w:val="clear" w:color="auto" w:fill="CCEEFF"/>
          </w:tcPr>
          <w:p>
            <w:pPr>
              <w:ind w:left="120"/>
              <w:spacing w:after="0" w:line="202" w:lineRule="exact"/>
              <w:rPr>
                <w:sz w:val="20"/>
                <w:szCs w:val="20"/>
                <w:color w:val="auto"/>
              </w:rPr>
            </w:pPr>
            <w:r>
              <w:rPr>
                <w:rFonts w:ascii="Arial" w:cs="Arial" w:eastAsia="Arial" w:hAnsi="Arial"/>
                <w:sz w:val="18"/>
                <w:szCs w:val="18"/>
                <w:color w:val="auto"/>
              </w:rPr>
              <w:t>Security &amp; Storage</w:t>
            </w:r>
          </w:p>
        </w:tc>
        <w:tc>
          <w:tcPr>
            <w:tcW w:w="6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433"/>
              <w:spacing w:after="0" w:line="202" w:lineRule="exact"/>
              <w:rPr>
                <w:sz w:val="20"/>
                <w:szCs w:val="20"/>
                <w:color w:val="auto"/>
              </w:rPr>
            </w:pPr>
            <w:r>
              <w:rPr>
                <w:rFonts w:ascii="Arial" w:cs="Arial" w:eastAsia="Arial" w:hAnsi="Arial"/>
                <w:sz w:val="18"/>
                <w:szCs w:val="18"/>
                <w:color w:val="auto"/>
              </w:rPr>
              <w:t>14.0</w:t>
            </w:r>
          </w:p>
        </w:tc>
        <w:tc>
          <w:tcPr>
            <w:tcW w:w="6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18.9</w:t>
            </w: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14.3</w:t>
            </w:r>
          </w:p>
        </w:tc>
      </w:tr>
      <w:tr>
        <w:trPr>
          <w:trHeight w:val="203"/>
        </w:trPr>
        <w:tc>
          <w:tcPr>
            <w:tcW w:w="6720" w:type="dxa"/>
            <w:vAlign w:val="bottom"/>
            <w:tcBorders>
              <w:bottom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Corporate</w:t>
            </w:r>
          </w:p>
        </w:tc>
        <w:tc>
          <w:tcPr>
            <w:tcW w:w="60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jc w:val="right"/>
              <w:ind w:right="433"/>
              <w:spacing w:after="0" w:line="202" w:lineRule="exact"/>
              <w:rPr>
                <w:sz w:val="20"/>
                <w:szCs w:val="20"/>
                <w:color w:val="auto"/>
              </w:rPr>
            </w:pPr>
            <w:r>
              <w:rPr>
                <w:rFonts w:ascii="Arial" w:cs="Arial" w:eastAsia="Arial" w:hAnsi="Arial"/>
                <w:sz w:val="18"/>
                <w:szCs w:val="18"/>
                <w:color w:val="auto"/>
              </w:rPr>
              <w:t>0.5</w:t>
            </w:r>
          </w:p>
        </w:tc>
        <w:tc>
          <w:tcPr>
            <w:tcW w:w="60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jc w:val="right"/>
              <w:ind w:right="413"/>
              <w:spacing w:after="0" w:line="202"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196"/>
        </w:trPr>
        <w:tc>
          <w:tcPr>
            <w:tcW w:w="6720" w:type="dxa"/>
            <w:vAlign w:val="bottom"/>
            <w:tcBorders>
              <w:bottom w:val="single" w:sz="8" w:color="auto"/>
              <w:right w:val="single" w:sz="8" w:color="auto"/>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Depreciation expense</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433"/>
              <w:spacing w:after="0" w:line="196" w:lineRule="exact"/>
              <w:rPr>
                <w:sz w:val="20"/>
                <w:szCs w:val="20"/>
                <w:color w:val="auto"/>
              </w:rPr>
            </w:pPr>
            <w:r>
              <w:rPr>
                <w:rFonts w:ascii="Arial" w:cs="Arial" w:eastAsia="Arial" w:hAnsi="Arial"/>
                <w:sz w:val="18"/>
                <w:szCs w:val="18"/>
                <w:color w:val="auto"/>
              </w:rPr>
              <w:t>97.1</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413"/>
              <w:spacing w:after="0" w:line="196" w:lineRule="exact"/>
              <w:rPr>
                <w:sz w:val="20"/>
                <w:szCs w:val="20"/>
                <w:color w:val="auto"/>
              </w:rPr>
            </w:pPr>
            <w:r>
              <w:rPr>
                <w:rFonts w:ascii="Arial" w:cs="Arial" w:eastAsia="Arial" w:hAnsi="Arial"/>
                <w:sz w:val="18"/>
                <w:szCs w:val="18"/>
                <w:color w:val="auto"/>
              </w:rPr>
              <w:t>95.9</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rPr>
              <w:t>115.0</w:t>
            </w:r>
          </w:p>
        </w:tc>
      </w:tr>
      <w:tr>
        <w:trPr>
          <w:trHeight w:val="439"/>
        </w:trPr>
        <w:tc>
          <w:tcPr>
            <w:tcW w:w="672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Amortization of intangible assets:</w:t>
            </w:r>
          </w:p>
        </w:tc>
        <w:tc>
          <w:tcPr>
            <w:tcW w:w="60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6720" w:type="dxa"/>
            <w:vAlign w:val="bottom"/>
            <w:tcBorders>
              <w:right w:val="single" w:sz="8" w:color="auto"/>
            </w:tcBorders>
            <w:shd w:val="clear" w:color="auto" w:fill="CCEEFF"/>
          </w:tcPr>
          <w:p>
            <w:pPr>
              <w:ind w:left="120"/>
              <w:spacing w:after="0" w:line="202" w:lineRule="exact"/>
              <w:rPr>
                <w:sz w:val="20"/>
                <w:szCs w:val="20"/>
                <w:color w:val="auto"/>
              </w:rPr>
            </w:pPr>
            <w:r>
              <w:rPr>
                <w:rFonts w:ascii="Arial" w:cs="Arial" w:eastAsia="Arial" w:hAnsi="Arial"/>
                <w:sz w:val="18"/>
                <w:szCs w:val="18"/>
                <w:color w:val="auto"/>
              </w:rPr>
              <w:t>Kitchen &amp; Bath Cabinetry</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shd w:val="clear" w:color="auto" w:fill="CCEEFF"/>
          </w:tcPr>
          <w:p>
            <w:pPr>
              <w:jc w:val="right"/>
              <w:ind w:right="433"/>
              <w:spacing w:after="0" w:line="202" w:lineRule="exact"/>
              <w:rPr>
                <w:sz w:val="20"/>
                <w:szCs w:val="20"/>
                <w:color w:val="auto"/>
              </w:rPr>
            </w:pPr>
            <w:r>
              <w:rPr>
                <w:rFonts w:ascii="Arial" w:cs="Arial" w:eastAsia="Arial" w:hAnsi="Arial"/>
                <w:sz w:val="18"/>
                <w:szCs w:val="18"/>
                <w:color w:val="auto"/>
              </w:rPr>
              <w:t>6.0</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6.8</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7.3</w:t>
            </w:r>
          </w:p>
        </w:tc>
      </w:tr>
      <w:tr>
        <w:trPr>
          <w:trHeight w:val="203"/>
        </w:trPr>
        <w:tc>
          <w:tcPr>
            <w:tcW w:w="672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Advanced Material Windows &amp; Door Systems</w:t>
            </w:r>
          </w:p>
        </w:tc>
        <w:tc>
          <w:tcPr>
            <w:tcW w:w="600" w:type="dxa"/>
            <w:vAlign w:val="bottom"/>
          </w:tcPr>
          <w:p>
            <w:pPr>
              <w:spacing w:after="0"/>
              <w:rPr>
                <w:sz w:val="17"/>
                <w:szCs w:val="17"/>
                <w:color w:val="auto"/>
              </w:rPr>
            </w:pPr>
          </w:p>
        </w:tc>
        <w:tc>
          <w:tcPr>
            <w:tcW w:w="1100" w:type="dxa"/>
            <w:vAlign w:val="bottom"/>
            <w:tcBorders>
              <w:right w:val="single" w:sz="8" w:color="auto"/>
            </w:tcBorders>
          </w:tcPr>
          <w:p>
            <w:pPr>
              <w:jc w:val="right"/>
              <w:ind w:right="433"/>
              <w:spacing w:after="0" w:line="202" w:lineRule="exact"/>
              <w:rPr>
                <w:sz w:val="20"/>
                <w:szCs w:val="20"/>
                <w:color w:val="auto"/>
              </w:rPr>
            </w:pPr>
            <w:r>
              <w:rPr>
                <w:rFonts w:ascii="Arial" w:cs="Arial" w:eastAsia="Arial" w:hAnsi="Arial"/>
                <w:sz w:val="18"/>
                <w:szCs w:val="18"/>
                <w:color w:val="auto"/>
              </w:rPr>
              <w:t>7.9</w:t>
            </w:r>
          </w:p>
        </w:tc>
        <w:tc>
          <w:tcPr>
            <w:tcW w:w="600" w:type="dxa"/>
            <w:vAlign w:val="bottom"/>
          </w:tcPr>
          <w:p>
            <w:pPr>
              <w:spacing w:after="0"/>
              <w:rPr>
                <w:sz w:val="17"/>
                <w:szCs w:val="17"/>
                <w:color w:val="auto"/>
              </w:rPr>
            </w:pPr>
          </w:p>
        </w:tc>
        <w:tc>
          <w:tcPr>
            <w:tcW w:w="1100" w:type="dxa"/>
            <w:vAlign w:val="bottom"/>
            <w:tcBorders>
              <w:right w:val="single" w:sz="8" w:color="auto"/>
            </w:tcBorders>
          </w:tcPr>
          <w:p>
            <w:pPr>
              <w:jc w:val="right"/>
              <w:ind w:right="413"/>
              <w:spacing w:after="0" w:line="202" w:lineRule="exact"/>
              <w:rPr>
                <w:sz w:val="20"/>
                <w:szCs w:val="20"/>
                <w:color w:val="auto"/>
              </w:rPr>
            </w:pPr>
            <w:r>
              <w:rPr>
                <w:rFonts w:ascii="Arial" w:cs="Arial" w:eastAsia="Arial" w:hAnsi="Arial"/>
                <w:sz w:val="18"/>
                <w:szCs w:val="18"/>
                <w:color w:val="auto"/>
              </w:rPr>
              <w:t>8.4</w:t>
            </w:r>
          </w:p>
        </w:tc>
        <w:tc>
          <w:tcPr>
            <w:tcW w:w="60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8.4</w:t>
            </w:r>
          </w:p>
        </w:tc>
      </w:tr>
      <w:tr>
        <w:trPr>
          <w:trHeight w:val="203"/>
        </w:trPr>
        <w:tc>
          <w:tcPr>
            <w:tcW w:w="6720" w:type="dxa"/>
            <w:vAlign w:val="bottom"/>
            <w:tcBorders>
              <w:bottom w:val="single" w:sz="8" w:color="auto"/>
              <w:right w:val="single" w:sz="8" w:color="auto"/>
            </w:tcBorders>
            <w:shd w:val="clear" w:color="auto" w:fill="CCEEFF"/>
          </w:tcPr>
          <w:p>
            <w:pPr>
              <w:ind w:left="120"/>
              <w:spacing w:after="0" w:line="202" w:lineRule="exact"/>
              <w:rPr>
                <w:sz w:val="20"/>
                <w:szCs w:val="20"/>
                <w:color w:val="auto"/>
              </w:rPr>
            </w:pPr>
            <w:r>
              <w:rPr>
                <w:rFonts w:ascii="Arial" w:cs="Arial" w:eastAsia="Arial" w:hAnsi="Arial"/>
                <w:sz w:val="18"/>
                <w:szCs w:val="18"/>
                <w:color w:val="auto"/>
              </w:rPr>
              <w:t>Security &amp; Storage</w:t>
            </w:r>
          </w:p>
        </w:tc>
        <w:tc>
          <w:tcPr>
            <w:tcW w:w="6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right w:val="single" w:sz="8" w:color="auto"/>
            </w:tcBorders>
            <w:shd w:val="clear" w:color="auto" w:fill="CCEEFF"/>
          </w:tcPr>
          <w:p>
            <w:pPr>
              <w:jc w:val="right"/>
              <w:ind w:right="433"/>
              <w:spacing w:after="0" w:line="202" w:lineRule="exact"/>
              <w:rPr>
                <w:sz w:val="20"/>
                <w:szCs w:val="20"/>
                <w:color w:val="auto"/>
              </w:rPr>
            </w:pPr>
            <w:r>
              <w:rPr>
                <w:rFonts w:ascii="Arial" w:cs="Arial" w:eastAsia="Arial" w:hAnsi="Arial"/>
                <w:sz w:val="18"/>
                <w:szCs w:val="18"/>
                <w:color w:val="auto"/>
              </w:rPr>
              <w:t>0.5</w:t>
            </w:r>
          </w:p>
        </w:tc>
        <w:tc>
          <w:tcPr>
            <w:tcW w:w="6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right w:val="single" w:sz="8" w:color="auto"/>
            </w:tcBorders>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0.5</w:t>
            </w:r>
          </w:p>
        </w:tc>
        <w:tc>
          <w:tcPr>
            <w:tcW w:w="6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0.4</w:t>
            </w:r>
          </w:p>
        </w:tc>
      </w:tr>
      <w:tr>
        <w:trPr>
          <w:trHeight w:val="196"/>
        </w:trPr>
        <w:tc>
          <w:tcPr>
            <w:tcW w:w="6720" w:type="dxa"/>
            <w:vAlign w:val="bottom"/>
            <w:tcBorders>
              <w:bottom w:val="single" w:sz="8" w:color="auto"/>
              <w:right w:val="single" w:sz="8" w:color="auto"/>
            </w:tcBorders>
          </w:tcPr>
          <w:p>
            <w:pPr>
              <w:ind w:left="340"/>
              <w:spacing w:after="0" w:line="196" w:lineRule="exact"/>
              <w:rPr>
                <w:sz w:val="20"/>
                <w:szCs w:val="20"/>
                <w:color w:val="auto"/>
              </w:rPr>
            </w:pPr>
            <w:r>
              <w:rPr>
                <w:rFonts w:ascii="Arial" w:cs="Arial" w:eastAsia="Arial" w:hAnsi="Arial"/>
                <w:sz w:val="18"/>
                <w:szCs w:val="18"/>
                <w:color w:val="auto"/>
              </w:rPr>
              <w:t>Amortization of intangible assets</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433"/>
              <w:spacing w:after="0" w:line="196" w:lineRule="exact"/>
              <w:rPr>
                <w:sz w:val="20"/>
                <w:szCs w:val="20"/>
                <w:color w:val="auto"/>
              </w:rPr>
            </w:pPr>
            <w:r>
              <w:rPr>
                <w:rFonts w:ascii="Arial" w:cs="Arial" w:eastAsia="Arial" w:hAnsi="Arial"/>
                <w:sz w:val="18"/>
                <w:szCs w:val="18"/>
                <w:color w:val="auto"/>
              </w:rPr>
              <w:t>14.4</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413"/>
              <w:spacing w:after="0" w:line="196" w:lineRule="exact"/>
              <w:rPr>
                <w:sz w:val="20"/>
                <w:szCs w:val="20"/>
                <w:color w:val="auto"/>
              </w:rPr>
            </w:pPr>
            <w:r>
              <w:rPr>
                <w:rFonts w:ascii="Arial" w:cs="Arial" w:eastAsia="Arial" w:hAnsi="Arial"/>
                <w:sz w:val="18"/>
                <w:szCs w:val="18"/>
                <w:color w:val="auto"/>
              </w:rPr>
              <w:t>15.7</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16.1</w:t>
            </w:r>
          </w:p>
        </w:tc>
      </w:tr>
      <w:tr>
        <w:trPr>
          <w:trHeight w:val="237"/>
        </w:trPr>
        <w:tc>
          <w:tcPr>
            <w:tcW w:w="672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03"/>
        </w:trPr>
        <w:tc>
          <w:tcPr>
            <w:tcW w:w="6720" w:type="dxa"/>
            <w:vAlign w:val="bottom"/>
            <w:tcBorders>
              <w:right w:val="single" w:sz="8" w:color="auto"/>
            </w:tcBorders>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Capital expenditures:</w:t>
            </w:r>
          </w:p>
        </w:tc>
        <w:tc>
          <w:tcPr>
            <w:tcW w:w="6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672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Kitchen &amp; Bath Cabinetry</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tcPr>
          <w:p>
            <w:pPr>
              <w:jc w:val="right"/>
              <w:ind w:right="433"/>
              <w:spacing w:after="0" w:line="202" w:lineRule="exact"/>
              <w:rPr>
                <w:sz w:val="20"/>
                <w:szCs w:val="20"/>
                <w:color w:val="auto"/>
              </w:rPr>
            </w:pPr>
            <w:r>
              <w:rPr>
                <w:rFonts w:ascii="Arial" w:cs="Arial" w:eastAsia="Arial" w:hAnsi="Arial"/>
                <w:sz w:val="18"/>
                <w:szCs w:val="18"/>
                <w:color w:val="auto"/>
              </w:rPr>
              <w:t>29.1</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tcPr>
          <w:p>
            <w:pPr>
              <w:jc w:val="right"/>
              <w:ind w:right="413"/>
              <w:spacing w:after="0" w:line="202" w:lineRule="exact"/>
              <w:rPr>
                <w:sz w:val="20"/>
                <w:szCs w:val="20"/>
                <w:color w:val="auto"/>
              </w:rPr>
            </w:pPr>
            <w:r>
              <w:rPr>
                <w:rFonts w:ascii="Arial" w:cs="Arial" w:eastAsia="Arial" w:hAnsi="Arial"/>
                <w:sz w:val="18"/>
                <w:szCs w:val="18"/>
                <w:color w:val="auto"/>
              </w:rPr>
              <w:t>25.0</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12.1</w:t>
            </w:r>
          </w:p>
        </w:tc>
      </w:tr>
      <w:tr>
        <w:trPr>
          <w:trHeight w:val="203"/>
        </w:trPr>
        <w:tc>
          <w:tcPr>
            <w:tcW w:w="6720" w:type="dxa"/>
            <w:vAlign w:val="bottom"/>
            <w:tcBorders>
              <w:right w:val="single" w:sz="8" w:color="auto"/>
            </w:tcBorders>
            <w:shd w:val="clear" w:color="auto" w:fill="CCEEFF"/>
          </w:tcPr>
          <w:p>
            <w:pPr>
              <w:ind w:left="120"/>
              <w:spacing w:after="0" w:line="202" w:lineRule="exact"/>
              <w:rPr>
                <w:sz w:val="20"/>
                <w:szCs w:val="20"/>
                <w:color w:val="auto"/>
              </w:rPr>
            </w:pPr>
            <w:r>
              <w:rPr>
                <w:rFonts w:ascii="Arial" w:cs="Arial" w:eastAsia="Arial" w:hAnsi="Arial"/>
                <w:sz w:val="18"/>
                <w:szCs w:val="18"/>
                <w:color w:val="auto"/>
              </w:rPr>
              <w:t>Plumbing &amp; Accessories</w:t>
            </w:r>
          </w:p>
        </w:tc>
        <w:tc>
          <w:tcPr>
            <w:tcW w:w="6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433"/>
              <w:spacing w:after="0" w:line="202" w:lineRule="exact"/>
              <w:rPr>
                <w:sz w:val="20"/>
                <w:szCs w:val="20"/>
                <w:color w:val="auto"/>
              </w:rPr>
            </w:pPr>
            <w:r>
              <w:rPr>
                <w:rFonts w:ascii="Arial" w:cs="Arial" w:eastAsia="Arial" w:hAnsi="Arial"/>
                <w:sz w:val="18"/>
                <w:szCs w:val="18"/>
                <w:color w:val="auto"/>
              </w:rPr>
              <w:t>16.5</w:t>
            </w:r>
          </w:p>
        </w:tc>
        <w:tc>
          <w:tcPr>
            <w:tcW w:w="6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13.7</w:t>
            </w: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14.1</w:t>
            </w:r>
          </w:p>
        </w:tc>
      </w:tr>
      <w:tr>
        <w:trPr>
          <w:trHeight w:val="203"/>
        </w:trPr>
        <w:tc>
          <w:tcPr>
            <w:tcW w:w="672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Advanced Material Windows &amp; Door Systems</w:t>
            </w:r>
          </w:p>
        </w:tc>
        <w:tc>
          <w:tcPr>
            <w:tcW w:w="600" w:type="dxa"/>
            <w:vAlign w:val="bottom"/>
          </w:tcPr>
          <w:p>
            <w:pPr>
              <w:spacing w:after="0"/>
              <w:rPr>
                <w:sz w:val="17"/>
                <w:szCs w:val="17"/>
                <w:color w:val="auto"/>
              </w:rPr>
            </w:pPr>
          </w:p>
        </w:tc>
        <w:tc>
          <w:tcPr>
            <w:tcW w:w="1100" w:type="dxa"/>
            <w:vAlign w:val="bottom"/>
            <w:tcBorders>
              <w:right w:val="single" w:sz="8" w:color="auto"/>
            </w:tcBorders>
          </w:tcPr>
          <w:p>
            <w:pPr>
              <w:jc w:val="right"/>
              <w:ind w:right="433"/>
              <w:spacing w:after="0" w:line="202" w:lineRule="exact"/>
              <w:rPr>
                <w:sz w:val="20"/>
                <w:szCs w:val="20"/>
                <w:color w:val="auto"/>
              </w:rPr>
            </w:pPr>
            <w:r>
              <w:rPr>
                <w:rFonts w:ascii="Arial" w:cs="Arial" w:eastAsia="Arial" w:hAnsi="Arial"/>
                <w:sz w:val="18"/>
                <w:szCs w:val="18"/>
                <w:color w:val="auto"/>
              </w:rPr>
              <w:t>13.5</w:t>
            </w:r>
          </w:p>
        </w:tc>
        <w:tc>
          <w:tcPr>
            <w:tcW w:w="600" w:type="dxa"/>
            <w:vAlign w:val="bottom"/>
          </w:tcPr>
          <w:p>
            <w:pPr>
              <w:spacing w:after="0"/>
              <w:rPr>
                <w:sz w:val="17"/>
                <w:szCs w:val="17"/>
                <w:color w:val="auto"/>
              </w:rPr>
            </w:pPr>
          </w:p>
        </w:tc>
        <w:tc>
          <w:tcPr>
            <w:tcW w:w="1100" w:type="dxa"/>
            <w:vAlign w:val="bottom"/>
            <w:tcBorders>
              <w:right w:val="single" w:sz="8" w:color="auto"/>
            </w:tcBorders>
          </w:tcPr>
          <w:p>
            <w:pPr>
              <w:jc w:val="right"/>
              <w:ind w:right="413"/>
              <w:spacing w:after="0" w:line="202" w:lineRule="exact"/>
              <w:rPr>
                <w:sz w:val="20"/>
                <w:szCs w:val="20"/>
                <w:color w:val="auto"/>
              </w:rPr>
            </w:pPr>
            <w:r>
              <w:rPr>
                <w:rFonts w:ascii="Arial" w:cs="Arial" w:eastAsia="Arial" w:hAnsi="Arial"/>
                <w:sz w:val="18"/>
                <w:szCs w:val="18"/>
                <w:color w:val="auto"/>
              </w:rPr>
              <w:t>9.3</w:t>
            </w:r>
          </w:p>
        </w:tc>
        <w:tc>
          <w:tcPr>
            <w:tcW w:w="60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8.2</w:t>
            </w:r>
          </w:p>
        </w:tc>
      </w:tr>
      <w:tr>
        <w:trPr>
          <w:trHeight w:val="203"/>
        </w:trPr>
        <w:tc>
          <w:tcPr>
            <w:tcW w:w="6720" w:type="dxa"/>
            <w:vAlign w:val="bottom"/>
            <w:tcBorders>
              <w:bottom w:val="single" w:sz="8" w:color="auto"/>
              <w:right w:val="single" w:sz="8" w:color="auto"/>
            </w:tcBorders>
            <w:shd w:val="clear" w:color="auto" w:fill="CCEEFF"/>
          </w:tcPr>
          <w:p>
            <w:pPr>
              <w:ind w:left="120"/>
              <w:spacing w:after="0" w:line="202" w:lineRule="exact"/>
              <w:rPr>
                <w:sz w:val="20"/>
                <w:szCs w:val="20"/>
                <w:color w:val="auto"/>
              </w:rPr>
            </w:pPr>
            <w:r>
              <w:rPr>
                <w:rFonts w:ascii="Arial" w:cs="Arial" w:eastAsia="Arial" w:hAnsi="Arial"/>
                <w:sz w:val="18"/>
                <w:szCs w:val="18"/>
                <w:color w:val="auto"/>
              </w:rPr>
              <w:t>Security &amp; Storage</w:t>
            </w:r>
          </w:p>
        </w:tc>
        <w:tc>
          <w:tcPr>
            <w:tcW w:w="6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right w:val="single" w:sz="8" w:color="auto"/>
            </w:tcBorders>
            <w:shd w:val="clear" w:color="auto" w:fill="CCEEFF"/>
          </w:tcPr>
          <w:p>
            <w:pPr>
              <w:jc w:val="right"/>
              <w:ind w:right="433"/>
              <w:spacing w:after="0" w:line="202" w:lineRule="exact"/>
              <w:rPr>
                <w:sz w:val="20"/>
                <w:szCs w:val="20"/>
                <w:color w:val="auto"/>
              </w:rPr>
            </w:pPr>
            <w:r>
              <w:rPr>
                <w:rFonts w:ascii="Arial" w:cs="Arial" w:eastAsia="Arial" w:hAnsi="Arial"/>
                <w:sz w:val="18"/>
                <w:szCs w:val="18"/>
                <w:color w:val="auto"/>
              </w:rPr>
              <w:t>9.4</w:t>
            </w:r>
          </w:p>
        </w:tc>
        <w:tc>
          <w:tcPr>
            <w:tcW w:w="6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right w:val="single" w:sz="8" w:color="auto"/>
            </w:tcBorders>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10.3</w:t>
            </w:r>
          </w:p>
        </w:tc>
        <w:tc>
          <w:tcPr>
            <w:tcW w:w="6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8.9</w:t>
            </w:r>
          </w:p>
        </w:tc>
      </w:tr>
      <w:tr>
        <w:trPr>
          <w:trHeight w:val="196"/>
        </w:trPr>
        <w:tc>
          <w:tcPr>
            <w:tcW w:w="6720" w:type="dxa"/>
            <w:vAlign w:val="bottom"/>
            <w:tcBorders>
              <w:bottom w:val="single" w:sz="8" w:color="auto"/>
              <w:right w:val="single" w:sz="8" w:color="auto"/>
            </w:tcBorders>
          </w:tcPr>
          <w:p>
            <w:pPr>
              <w:ind w:left="340"/>
              <w:spacing w:after="0" w:line="196" w:lineRule="exact"/>
              <w:rPr>
                <w:sz w:val="20"/>
                <w:szCs w:val="20"/>
                <w:color w:val="auto"/>
              </w:rPr>
            </w:pPr>
            <w:r>
              <w:rPr>
                <w:rFonts w:ascii="Arial" w:cs="Arial" w:eastAsia="Arial" w:hAnsi="Arial"/>
                <w:sz w:val="18"/>
                <w:szCs w:val="18"/>
                <w:color w:val="auto"/>
              </w:rPr>
              <w:t>Capital expenditures, gross</w:t>
            </w:r>
          </w:p>
        </w:tc>
        <w:tc>
          <w:tcPr>
            <w:tcW w:w="60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jc w:val="right"/>
              <w:ind w:right="433"/>
              <w:spacing w:after="0" w:line="196" w:lineRule="exact"/>
              <w:rPr>
                <w:sz w:val="20"/>
                <w:szCs w:val="20"/>
                <w:color w:val="auto"/>
              </w:rPr>
            </w:pPr>
            <w:r>
              <w:rPr>
                <w:rFonts w:ascii="Arial" w:cs="Arial" w:eastAsia="Arial" w:hAnsi="Arial"/>
                <w:sz w:val="18"/>
                <w:szCs w:val="18"/>
                <w:color w:val="auto"/>
              </w:rPr>
              <w:t>68.5</w:t>
            </w:r>
          </w:p>
        </w:tc>
        <w:tc>
          <w:tcPr>
            <w:tcW w:w="60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jc w:val="right"/>
              <w:ind w:right="413"/>
              <w:spacing w:after="0" w:line="196" w:lineRule="exact"/>
              <w:rPr>
                <w:sz w:val="20"/>
                <w:szCs w:val="20"/>
                <w:color w:val="auto"/>
              </w:rPr>
            </w:pPr>
            <w:r>
              <w:rPr>
                <w:rFonts w:ascii="Arial" w:cs="Arial" w:eastAsia="Arial" w:hAnsi="Arial"/>
                <w:sz w:val="18"/>
                <w:szCs w:val="18"/>
                <w:color w:val="auto"/>
              </w:rPr>
              <w:t>58.3</w:t>
            </w:r>
          </w:p>
        </w:tc>
        <w:tc>
          <w:tcPr>
            <w:tcW w:w="6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43.3</w:t>
            </w:r>
          </w:p>
        </w:tc>
      </w:tr>
      <w:tr>
        <w:trPr>
          <w:trHeight w:val="196"/>
        </w:trPr>
        <w:tc>
          <w:tcPr>
            <w:tcW w:w="6720" w:type="dxa"/>
            <w:vAlign w:val="bottom"/>
            <w:tcBorders>
              <w:bottom w:val="single" w:sz="8" w:color="auto"/>
              <w:right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Less: proceeds from disposition of assets</w:t>
            </w:r>
          </w:p>
        </w:tc>
        <w:tc>
          <w:tcPr>
            <w:tcW w:w="6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right w:val="single" w:sz="8" w:color="auto"/>
            </w:tcBorders>
            <w:shd w:val="clear" w:color="auto" w:fill="CCEEFF"/>
          </w:tcPr>
          <w:p>
            <w:pPr>
              <w:jc w:val="right"/>
              <w:ind w:right="373"/>
              <w:spacing w:after="0" w:line="196" w:lineRule="exact"/>
              <w:rPr>
                <w:sz w:val="20"/>
                <w:szCs w:val="20"/>
                <w:color w:val="auto"/>
              </w:rPr>
            </w:pPr>
            <w:r>
              <w:rPr>
                <w:rFonts w:ascii="Arial" w:cs="Arial" w:eastAsia="Arial" w:hAnsi="Arial"/>
                <w:sz w:val="18"/>
                <w:szCs w:val="18"/>
                <w:color w:val="auto"/>
              </w:rPr>
              <w:t>(3.5)</w:t>
            </w:r>
          </w:p>
        </w:tc>
        <w:tc>
          <w:tcPr>
            <w:tcW w:w="6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right w:val="single" w:sz="8" w:color="auto"/>
            </w:tcBorders>
            <w:shd w:val="clear" w:color="auto" w:fill="CCEEFF"/>
          </w:tcPr>
          <w:p>
            <w:pPr>
              <w:jc w:val="right"/>
              <w:ind w:right="373"/>
              <w:spacing w:after="0" w:line="196" w:lineRule="exact"/>
              <w:rPr>
                <w:sz w:val="20"/>
                <w:szCs w:val="20"/>
                <w:color w:val="auto"/>
              </w:rPr>
            </w:pPr>
            <w:r>
              <w:rPr>
                <w:rFonts w:ascii="Arial" w:cs="Arial" w:eastAsia="Arial" w:hAnsi="Arial"/>
                <w:sz w:val="18"/>
                <w:szCs w:val="18"/>
                <w:color w:val="auto"/>
              </w:rPr>
              <w:t>(2.6)</w:t>
            </w:r>
          </w:p>
        </w:tc>
        <w:tc>
          <w:tcPr>
            <w:tcW w:w="6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196"/>
        </w:trPr>
        <w:tc>
          <w:tcPr>
            <w:tcW w:w="67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Capital expenditures, net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433"/>
              <w:spacing w:after="0" w:line="196" w:lineRule="exact"/>
              <w:rPr>
                <w:sz w:val="20"/>
                <w:szCs w:val="20"/>
                <w:color w:val="auto"/>
              </w:rPr>
            </w:pPr>
            <w:r>
              <w:rPr>
                <w:rFonts w:ascii="Arial" w:cs="Arial" w:eastAsia="Arial" w:hAnsi="Arial"/>
                <w:sz w:val="18"/>
                <w:szCs w:val="18"/>
                <w:color w:val="auto"/>
              </w:rPr>
              <w:t>65.0</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413"/>
              <w:spacing w:after="0" w:line="196" w:lineRule="exact"/>
              <w:rPr>
                <w:sz w:val="20"/>
                <w:szCs w:val="20"/>
                <w:color w:val="auto"/>
              </w:rPr>
            </w:pPr>
            <w:r>
              <w:rPr>
                <w:rFonts w:ascii="Arial" w:cs="Arial" w:eastAsia="Arial" w:hAnsi="Arial"/>
                <w:sz w:val="18"/>
                <w:szCs w:val="18"/>
                <w:color w:val="auto"/>
              </w:rPr>
              <w:t>55.7</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32.0</w:t>
            </w:r>
          </w:p>
        </w:tc>
      </w:tr>
      <w:tr>
        <w:trPr>
          <w:trHeight w:val="237"/>
        </w:trPr>
        <w:tc>
          <w:tcPr>
            <w:tcW w:w="672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03"/>
        </w:trPr>
        <w:tc>
          <w:tcPr>
            <w:tcW w:w="6720" w:type="dxa"/>
            <w:vAlign w:val="bottom"/>
            <w:tcBorders>
              <w:right w:val="single" w:sz="8" w:color="auto"/>
            </w:tcBorders>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Net sales by geographic region</w:t>
            </w:r>
            <w:r>
              <w:rPr>
                <w:rFonts w:ascii="Arial" w:cs="Arial" w:eastAsia="Arial" w:hAnsi="Arial"/>
                <w:sz w:val="11"/>
                <w:szCs w:val="11"/>
                <w:b w:val="1"/>
                <w:bCs w:val="1"/>
                <w:color w:val="auto"/>
              </w:rPr>
              <w:t>(a)</w:t>
            </w:r>
            <w:r>
              <w:rPr>
                <w:rFonts w:ascii="Arial" w:cs="Arial" w:eastAsia="Arial" w:hAnsi="Arial"/>
                <w:sz w:val="18"/>
                <w:szCs w:val="18"/>
                <w:b w:val="1"/>
                <w:bCs w:val="1"/>
                <w:color w:val="auto"/>
              </w:rPr>
              <w:t>:</w:t>
            </w:r>
          </w:p>
        </w:tc>
        <w:tc>
          <w:tcPr>
            <w:tcW w:w="6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672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United States</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tcPr>
          <w:p>
            <w:pPr>
              <w:jc w:val="right"/>
              <w:ind w:right="433"/>
              <w:spacing w:after="0" w:line="202" w:lineRule="exact"/>
              <w:rPr>
                <w:sz w:val="20"/>
                <w:szCs w:val="20"/>
                <w:color w:val="auto"/>
              </w:rPr>
            </w:pPr>
            <w:r>
              <w:rPr>
                <w:rFonts w:ascii="Arial" w:cs="Arial" w:eastAsia="Arial" w:hAnsi="Arial"/>
                <w:sz w:val="18"/>
                <w:szCs w:val="18"/>
                <w:color w:val="auto"/>
                <w:w w:val="93"/>
              </w:rPr>
              <w:t>2,755.0</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tcPr>
          <w:p>
            <w:pPr>
              <w:jc w:val="right"/>
              <w:ind w:right="413"/>
              <w:spacing w:after="0" w:line="202" w:lineRule="exact"/>
              <w:rPr>
                <w:sz w:val="20"/>
                <w:szCs w:val="20"/>
                <w:color w:val="auto"/>
              </w:rPr>
            </w:pPr>
            <w:r>
              <w:rPr>
                <w:rFonts w:ascii="Arial" w:cs="Arial" w:eastAsia="Arial" w:hAnsi="Arial"/>
                <w:sz w:val="18"/>
                <w:szCs w:val="18"/>
                <w:color w:val="auto"/>
                <w:w w:val="96"/>
              </w:rPr>
              <w:t>2,691.6</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w w:val="96"/>
              </w:rPr>
              <w:t>2,550.6</w:t>
            </w:r>
          </w:p>
        </w:tc>
      </w:tr>
      <w:tr>
        <w:trPr>
          <w:trHeight w:val="203"/>
        </w:trPr>
        <w:tc>
          <w:tcPr>
            <w:tcW w:w="6720" w:type="dxa"/>
            <w:vAlign w:val="bottom"/>
            <w:tcBorders>
              <w:right w:val="single" w:sz="8" w:color="auto"/>
            </w:tcBorders>
            <w:shd w:val="clear" w:color="auto" w:fill="CCEEFF"/>
          </w:tcPr>
          <w:p>
            <w:pPr>
              <w:ind w:left="120"/>
              <w:spacing w:after="0" w:line="202" w:lineRule="exact"/>
              <w:rPr>
                <w:sz w:val="20"/>
                <w:szCs w:val="20"/>
                <w:color w:val="auto"/>
              </w:rPr>
            </w:pPr>
            <w:r>
              <w:rPr>
                <w:rFonts w:ascii="Arial" w:cs="Arial" w:eastAsia="Arial" w:hAnsi="Arial"/>
                <w:sz w:val="18"/>
                <w:szCs w:val="18"/>
                <w:color w:val="auto"/>
              </w:rPr>
              <w:t>Canada</w:t>
            </w:r>
          </w:p>
        </w:tc>
        <w:tc>
          <w:tcPr>
            <w:tcW w:w="6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433"/>
              <w:spacing w:after="0" w:line="202" w:lineRule="exact"/>
              <w:rPr>
                <w:sz w:val="20"/>
                <w:szCs w:val="20"/>
                <w:color w:val="auto"/>
              </w:rPr>
            </w:pPr>
            <w:r>
              <w:rPr>
                <w:rFonts w:ascii="Arial" w:cs="Arial" w:eastAsia="Arial" w:hAnsi="Arial"/>
                <w:sz w:val="18"/>
                <w:szCs w:val="18"/>
                <w:color w:val="auto"/>
              </w:rPr>
              <w:t>390.3</w:t>
            </w:r>
          </w:p>
        </w:tc>
        <w:tc>
          <w:tcPr>
            <w:tcW w:w="6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395.2</w:t>
            </w: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328.2</w:t>
            </w:r>
          </w:p>
        </w:tc>
      </w:tr>
      <w:tr>
        <w:trPr>
          <w:trHeight w:val="203"/>
        </w:trPr>
        <w:tc>
          <w:tcPr>
            <w:tcW w:w="6720" w:type="dxa"/>
            <w:vAlign w:val="bottom"/>
            <w:tcBorders>
              <w:bottom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China and other international</w:t>
            </w:r>
          </w:p>
        </w:tc>
        <w:tc>
          <w:tcPr>
            <w:tcW w:w="60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jc w:val="right"/>
              <w:ind w:right="433"/>
              <w:spacing w:after="0" w:line="202" w:lineRule="exact"/>
              <w:rPr>
                <w:sz w:val="20"/>
                <w:szCs w:val="20"/>
                <w:color w:val="auto"/>
              </w:rPr>
            </w:pPr>
            <w:r>
              <w:rPr>
                <w:rFonts w:ascii="Arial" w:cs="Arial" w:eastAsia="Arial" w:hAnsi="Arial"/>
                <w:sz w:val="18"/>
                <w:szCs w:val="18"/>
                <w:color w:val="auto"/>
              </w:rPr>
              <w:t>183.3</w:t>
            </w:r>
          </w:p>
        </w:tc>
        <w:tc>
          <w:tcPr>
            <w:tcW w:w="60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jc w:val="right"/>
              <w:ind w:right="413"/>
              <w:spacing w:after="0" w:line="202" w:lineRule="exact"/>
              <w:rPr>
                <w:sz w:val="20"/>
                <w:szCs w:val="20"/>
                <w:color w:val="auto"/>
              </w:rPr>
            </w:pPr>
            <w:r>
              <w:rPr>
                <w:rFonts w:ascii="Arial" w:cs="Arial" w:eastAsia="Arial" w:hAnsi="Arial"/>
                <w:sz w:val="18"/>
                <w:szCs w:val="18"/>
                <w:color w:val="auto"/>
              </w:rPr>
              <w:t>146.7</w:t>
            </w:r>
          </w:p>
        </w:tc>
        <w:tc>
          <w:tcPr>
            <w:tcW w:w="6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128.0</w:t>
            </w:r>
          </w:p>
        </w:tc>
      </w:tr>
      <w:tr>
        <w:trPr>
          <w:trHeight w:val="196"/>
        </w:trPr>
        <w:tc>
          <w:tcPr>
            <w:tcW w:w="6720" w:type="dxa"/>
            <w:vAlign w:val="bottom"/>
            <w:tcBorders>
              <w:bottom w:val="single" w:sz="8" w:color="auto"/>
              <w:right w:val="single" w:sz="8" w:color="auto"/>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Net sales</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433"/>
              <w:spacing w:after="0" w:line="196" w:lineRule="exact"/>
              <w:rPr>
                <w:sz w:val="20"/>
                <w:szCs w:val="20"/>
                <w:color w:val="auto"/>
              </w:rPr>
            </w:pPr>
            <w:r>
              <w:rPr>
                <w:rFonts w:ascii="Arial" w:cs="Arial" w:eastAsia="Arial" w:hAnsi="Arial"/>
                <w:sz w:val="18"/>
                <w:szCs w:val="18"/>
                <w:color w:val="auto"/>
                <w:w w:val="93"/>
              </w:rPr>
              <w:t>3,328.6</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413"/>
              <w:spacing w:after="0" w:line="196" w:lineRule="exact"/>
              <w:rPr>
                <w:sz w:val="20"/>
                <w:szCs w:val="20"/>
                <w:color w:val="auto"/>
              </w:rPr>
            </w:pPr>
            <w:r>
              <w:rPr>
                <w:rFonts w:ascii="Arial" w:cs="Arial" w:eastAsia="Arial" w:hAnsi="Arial"/>
                <w:sz w:val="18"/>
                <w:szCs w:val="18"/>
                <w:color w:val="auto"/>
                <w:w w:val="96"/>
              </w:rPr>
              <w:t>3,233.5</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w w:val="96"/>
              </w:rPr>
              <w:t>3,006.8</w:t>
            </w:r>
          </w:p>
        </w:tc>
      </w:tr>
      <w:tr>
        <w:trPr>
          <w:trHeight w:val="439"/>
        </w:trPr>
        <w:tc>
          <w:tcPr>
            <w:tcW w:w="672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Property, plant and equipment, net:</w:t>
            </w:r>
          </w:p>
        </w:tc>
        <w:tc>
          <w:tcPr>
            <w:tcW w:w="60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6720" w:type="dxa"/>
            <w:vAlign w:val="bottom"/>
            <w:tcBorders>
              <w:right w:val="single" w:sz="8" w:color="auto"/>
            </w:tcBorders>
            <w:shd w:val="clear" w:color="auto" w:fill="CCEEFF"/>
          </w:tcPr>
          <w:p>
            <w:pPr>
              <w:ind w:left="120"/>
              <w:spacing w:after="0" w:line="202" w:lineRule="exact"/>
              <w:rPr>
                <w:sz w:val="20"/>
                <w:szCs w:val="20"/>
                <w:color w:val="auto"/>
              </w:rPr>
            </w:pPr>
            <w:r>
              <w:rPr>
                <w:rFonts w:ascii="Arial" w:cs="Arial" w:eastAsia="Arial" w:hAnsi="Arial"/>
                <w:sz w:val="18"/>
                <w:szCs w:val="18"/>
                <w:color w:val="auto"/>
              </w:rPr>
              <w:t>United States</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shd w:val="clear" w:color="auto" w:fill="CCEEFF"/>
          </w:tcPr>
          <w:p>
            <w:pPr>
              <w:jc w:val="right"/>
              <w:ind w:right="433"/>
              <w:spacing w:after="0" w:line="202" w:lineRule="exact"/>
              <w:rPr>
                <w:sz w:val="20"/>
                <w:szCs w:val="20"/>
                <w:color w:val="auto"/>
              </w:rPr>
            </w:pPr>
            <w:r>
              <w:rPr>
                <w:rFonts w:ascii="Arial" w:cs="Arial" w:eastAsia="Arial" w:hAnsi="Arial"/>
                <w:sz w:val="18"/>
                <w:szCs w:val="18"/>
                <w:color w:val="auto"/>
              </w:rPr>
              <w:t>443.7</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458.7</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492.7</w:t>
            </w:r>
          </w:p>
        </w:tc>
      </w:tr>
      <w:tr>
        <w:trPr>
          <w:trHeight w:val="203"/>
        </w:trPr>
        <w:tc>
          <w:tcPr>
            <w:tcW w:w="672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Mexico</w:t>
            </w:r>
          </w:p>
        </w:tc>
        <w:tc>
          <w:tcPr>
            <w:tcW w:w="600" w:type="dxa"/>
            <w:vAlign w:val="bottom"/>
          </w:tcPr>
          <w:p>
            <w:pPr>
              <w:spacing w:after="0"/>
              <w:rPr>
                <w:sz w:val="17"/>
                <w:szCs w:val="17"/>
                <w:color w:val="auto"/>
              </w:rPr>
            </w:pPr>
          </w:p>
        </w:tc>
        <w:tc>
          <w:tcPr>
            <w:tcW w:w="1100" w:type="dxa"/>
            <w:vAlign w:val="bottom"/>
            <w:tcBorders>
              <w:right w:val="single" w:sz="8" w:color="auto"/>
            </w:tcBorders>
          </w:tcPr>
          <w:p>
            <w:pPr>
              <w:jc w:val="right"/>
              <w:ind w:right="433"/>
              <w:spacing w:after="0" w:line="202" w:lineRule="exact"/>
              <w:rPr>
                <w:sz w:val="20"/>
                <w:szCs w:val="20"/>
                <w:color w:val="auto"/>
              </w:rPr>
            </w:pPr>
            <w:r>
              <w:rPr>
                <w:rFonts w:ascii="Arial" w:cs="Arial" w:eastAsia="Arial" w:hAnsi="Arial"/>
                <w:sz w:val="18"/>
                <w:szCs w:val="18"/>
                <w:color w:val="auto"/>
              </w:rPr>
              <w:t>39.1</w:t>
            </w:r>
          </w:p>
        </w:tc>
        <w:tc>
          <w:tcPr>
            <w:tcW w:w="600" w:type="dxa"/>
            <w:vAlign w:val="bottom"/>
          </w:tcPr>
          <w:p>
            <w:pPr>
              <w:spacing w:after="0"/>
              <w:rPr>
                <w:sz w:val="17"/>
                <w:szCs w:val="17"/>
                <w:color w:val="auto"/>
              </w:rPr>
            </w:pPr>
          </w:p>
        </w:tc>
        <w:tc>
          <w:tcPr>
            <w:tcW w:w="1100" w:type="dxa"/>
            <w:vAlign w:val="bottom"/>
            <w:tcBorders>
              <w:right w:val="single" w:sz="8" w:color="auto"/>
            </w:tcBorders>
          </w:tcPr>
          <w:p>
            <w:pPr>
              <w:jc w:val="right"/>
              <w:ind w:right="413"/>
              <w:spacing w:after="0" w:line="202" w:lineRule="exact"/>
              <w:rPr>
                <w:sz w:val="20"/>
                <w:szCs w:val="20"/>
                <w:color w:val="auto"/>
              </w:rPr>
            </w:pPr>
            <w:r>
              <w:rPr>
                <w:rFonts w:ascii="Arial" w:cs="Arial" w:eastAsia="Arial" w:hAnsi="Arial"/>
                <w:sz w:val="18"/>
                <w:szCs w:val="18"/>
                <w:color w:val="auto"/>
              </w:rPr>
              <w:t>46.4</w:t>
            </w:r>
          </w:p>
        </w:tc>
        <w:tc>
          <w:tcPr>
            <w:tcW w:w="60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52.3</w:t>
            </w:r>
          </w:p>
        </w:tc>
      </w:tr>
      <w:tr>
        <w:trPr>
          <w:trHeight w:val="203"/>
        </w:trPr>
        <w:tc>
          <w:tcPr>
            <w:tcW w:w="6720" w:type="dxa"/>
            <w:vAlign w:val="bottom"/>
            <w:tcBorders>
              <w:right w:val="single" w:sz="8" w:color="auto"/>
            </w:tcBorders>
            <w:shd w:val="clear" w:color="auto" w:fill="CCEEFF"/>
          </w:tcPr>
          <w:p>
            <w:pPr>
              <w:ind w:left="120"/>
              <w:spacing w:after="0" w:line="202" w:lineRule="exact"/>
              <w:rPr>
                <w:sz w:val="20"/>
                <w:szCs w:val="20"/>
                <w:color w:val="auto"/>
              </w:rPr>
            </w:pPr>
            <w:r>
              <w:rPr>
                <w:rFonts w:ascii="Arial" w:cs="Arial" w:eastAsia="Arial" w:hAnsi="Arial"/>
                <w:sz w:val="18"/>
                <w:szCs w:val="18"/>
                <w:color w:val="auto"/>
              </w:rPr>
              <w:t>Canada</w:t>
            </w:r>
          </w:p>
        </w:tc>
        <w:tc>
          <w:tcPr>
            <w:tcW w:w="6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433"/>
              <w:spacing w:after="0" w:line="202" w:lineRule="exact"/>
              <w:rPr>
                <w:sz w:val="20"/>
                <w:szCs w:val="20"/>
                <w:color w:val="auto"/>
              </w:rPr>
            </w:pPr>
            <w:r>
              <w:rPr>
                <w:rFonts w:ascii="Arial" w:cs="Arial" w:eastAsia="Arial" w:hAnsi="Arial"/>
                <w:sz w:val="18"/>
                <w:szCs w:val="18"/>
                <w:color w:val="auto"/>
              </w:rPr>
              <w:t>32.8</w:t>
            </w:r>
          </w:p>
        </w:tc>
        <w:tc>
          <w:tcPr>
            <w:tcW w:w="6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33.6</w:t>
            </w: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31.9</w:t>
            </w:r>
          </w:p>
        </w:tc>
      </w:tr>
      <w:tr>
        <w:trPr>
          <w:trHeight w:val="203"/>
        </w:trPr>
        <w:tc>
          <w:tcPr>
            <w:tcW w:w="6720" w:type="dxa"/>
            <w:vAlign w:val="bottom"/>
            <w:tcBorders>
              <w:bottom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China and other international</w:t>
            </w:r>
          </w:p>
        </w:tc>
        <w:tc>
          <w:tcPr>
            <w:tcW w:w="60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jc w:val="right"/>
              <w:ind w:right="433"/>
              <w:spacing w:after="0" w:line="202" w:lineRule="exact"/>
              <w:rPr>
                <w:sz w:val="20"/>
                <w:szCs w:val="20"/>
                <w:color w:val="auto"/>
              </w:rPr>
            </w:pPr>
            <w:r>
              <w:rPr>
                <w:rFonts w:ascii="Arial" w:cs="Arial" w:eastAsia="Arial" w:hAnsi="Arial"/>
                <w:sz w:val="18"/>
                <w:szCs w:val="18"/>
                <w:color w:val="auto"/>
              </w:rPr>
              <w:t>10.2</w:t>
            </w:r>
          </w:p>
        </w:tc>
        <w:tc>
          <w:tcPr>
            <w:tcW w:w="60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jc w:val="right"/>
              <w:ind w:right="413"/>
              <w:spacing w:after="0" w:line="202" w:lineRule="exact"/>
              <w:rPr>
                <w:sz w:val="20"/>
                <w:szCs w:val="20"/>
                <w:color w:val="auto"/>
              </w:rPr>
            </w:pPr>
            <w:r>
              <w:rPr>
                <w:rFonts w:ascii="Arial" w:cs="Arial" w:eastAsia="Arial" w:hAnsi="Arial"/>
                <w:sz w:val="18"/>
                <w:szCs w:val="18"/>
                <w:color w:val="auto"/>
              </w:rPr>
              <w:t>11.3</w:t>
            </w:r>
          </w:p>
        </w:tc>
        <w:tc>
          <w:tcPr>
            <w:tcW w:w="6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13.3</w:t>
            </w:r>
          </w:p>
        </w:tc>
      </w:tr>
      <w:tr>
        <w:trPr>
          <w:trHeight w:val="203"/>
        </w:trPr>
        <w:tc>
          <w:tcPr>
            <w:tcW w:w="6720" w:type="dxa"/>
            <w:vAlign w:val="bottom"/>
            <w:tcBorders>
              <w:bottom w:val="single" w:sz="8" w:color="auto"/>
              <w:right w:val="single" w:sz="8" w:color="auto"/>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Property, plant and equipment, net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433"/>
              <w:spacing w:after="0" w:line="196" w:lineRule="exact"/>
              <w:rPr>
                <w:sz w:val="20"/>
                <w:szCs w:val="20"/>
                <w:color w:val="auto"/>
              </w:rPr>
            </w:pPr>
            <w:r>
              <w:rPr>
                <w:rFonts w:ascii="Arial" w:cs="Arial" w:eastAsia="Arial" w:hAnsi="Arial"/>
                <w:sz w:val="18"/>
                <w:szCs w:val="18"/>
                <w:color w:val="auto"/>
              </w:rPr>
              <w:t>525.8</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413"/>
              <w:spacing w:after="0" w:line="196" w:lineRule="exact"/>
              <w:rPr>
                <w:sz w:val="20"/>
                <w:szCs w:val="20"/>
                <w:color w:val="auto"/>
              </w:rPr>
            </w:pPr>
            <w:r>
              <w:rPr>
                <w:rFonts w:ascii="Arial" w:cs="Arial" w:eastAsia="Arial" w:hAnsi="Arial"/>
                <w:sz w:val="18"/>
                <w:szCs w:val="18"/>
                <w:color w:val="auto"/>
              </w:rPr>
              <w:t>550.0</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rPr>
              <w:t>590.2</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(a)</w:t>
      </w:r>
      <w:r>
        <w:rPr>
          <w:rFonts w:ascii="Arial" w:cs="Arial" w:eastAsia="Arial" w:hAnsi="Arial"/>
          <w:sz w:val="14"/>
          <w:szCs w:val="14"/>
          <w:color w:val="auto"/>
        </w:rPr>
        <w:t xml:space="preserve">  Based on country of destination</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20" w:type="dxa"/>
            <w:vAlign w:val="bottom"/>
          </w:tcPr>
          <w:p>
            <w:pPr>
              <w:spacing w:after="0"/>
              <w:rPr>
                <w:sz w:val="20"/>
                <w:szCs w:val="20"/>
                <w:color w:val="auto"/>
              </w:rPr>
            </w:pPr>
            <w:r>
              <w:rPr>
                <w:rFonts w:ascii="Arial" w:cs="Arial" w:eastAsia="Arial" w:hAnsi="Arial"/>
                <w:sz w:val="18"/>
                <w:szCs w:val="18"/>
                <w:b w:val="1"/>
                <w:bCs w:val="1"/>
                <w:color w:val="auto"/>
              </w:rPr>
              <w:t>18.</w:t>
            </w:r>
          </w:p>
        </w:tc>
        <w:tc>
          <w:tcPr>
            <w:tcW w:w="6560" w:type="dxa"/>
            <w:vAlign w:val="bottom"/>
          </w:tcPr>
          <w:p>
            <w:pPr>
              <w:ind w:left="120"/>
              <w:spacing w:after="0"/>
              <w:rPr>
                <w:sz w:val="20"/>
                <w:szCs w:val="20"/>
                <w:color w:val="auto"/>
              </w:rPr>
            </w:pPr>
            <w:r>
              <w:rPr>
                <w:rFonts w:ascii="Arial" w:cs="Arial" w:eastAsia="Arial" w:hAnsi="Arial"/>
                <w:sz w:val="18"/>
                <w:szCs w:val="18"/>
                <w:b w:val="1"/>
                <w:bCs w:val="1"/>
                <w:color w:val="auto"/>
              </w:rPr>
              <w:t>Quarterly Financial Data</w:t>
            </w: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65"/>
        </w:trPr>
        <w:tc>
          <w:tcPr>
            <w:tcW w:w="6880" w:type="dxa"/>
            <w:vAlign w:val="bottom"/>
            <w:gridSpan w:val="2"/>
          </w:tcPr>
          <w:p>
            <w:pPr>
              <w:spacing w:after="0"/>
              <w:rPr>
                <w:sz w:val="20"/>
                <w:szCs w:val="20"/>
                <w:color w:val="auto"/>
              </w:rPr>
            </w:pPr>
            <w:r>
              <w:rPr>
                <w:rFonts w:ascii="Arial" w:cs="Arial" w:eastAsia="Arial" w:hAnsi="Arial"/>
                <w:sz w:val="18"/>
                <w:szCs w:val="18"/>
                <w:i w:val="1"/>
                <w:iCs w:val="1"/>
                <w:color w:val="auto"/>
              </w:rPr>
              <w:t>Unaudited</w:t>
            </w: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12"/>
        </w:trPr>
        <w:tc>
          <w:tcPr>
            <w:tcW w:w="6880" w:type="dxa"/>
            <w:vAlign w:val="bottom"/>
            <w:gridSpan w:val="2"/>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0"/>
        </w:trPr>
        <w:tc>
          <w:tcPr>
            <w:tcW w:w="320" w:type="dxa"/>
            <w:vAlign w:val="bottom"/>
            <w:tcBorders>
              <w:bottom w:val="single" w:sz="8" w:color="auto"/>
            </w:tcBorders>
          </w:tcPr>
          <w:p>
            <w:pPr>
              <w:spacing w:after="0"/>
              <w:rPr>
                <w:sz w:val="16"/>
                <w:szCs w:val="16"/>
                <w:color w:val="auto"/>
              </w:rPr>
            </w:pPr>
          </w:p>
        </w:tc>
        <w:tc>
          <w:tcPr>
            <w:tcW w:w="65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385"/>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2011</w:t>
            </w:r>
          </w:p>
        </w:tc>
        <w:tc>
          <w:tcPr>
            <w:tcW w:w="65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84"/>
              <w:spacing w:after="0"/>
              <w:rPr>
                <w:sz w:val="20"/>
                <w:szCs w:val="20"/>
                <w:color w:val="auto"/>
              </w:rPr>
            </w:pPr>
            <w:r>
              <w:rPr>
                <w:rFonts w:ascii="Arial" w:cs="Arial" w:eastAsia="Arial" w:hAnsi="Arial"/>
                <w:sz w:val="27"/>
                <w:szCs w:val="27"/>
                <w:color w:val="auto"/>
                <w:w w:val="85"/>
                <w:vertAlign w:val="subscript"/>
              </w:rPr>
              <w:t>1</w:t>
            </w:r>
            <w:r>
              <w:rPr>
                <w:rFonts w:ascii="Arial" w:cs="Arial" w:eastAsia="Arial" w:hAnsi="Arial"/>
                <w:sz w:val="11"/>
                <w:szCs w:val="11"/>
                <w:color w:val="auto"/>
                <w:w w:val="85"/>
              </w:rPr>
              <w:t>st</w:t>
            </w:r>
          </w:p>
        </w:tc>
        <w:tc>
          <w:tcPr>
            <w:tcW w:w="1040" w:type="dxa"/>
            <w:vAlign w:val="bottom"/>
            <w:tcBorders>
              <w:bottom w:val="single" w:sz="8" w:color="auto"/>
            </w:tcBorders>
          </w:tcPr>
          <w:p>
            <w:pPr>
              <w:jc w:val="right"/>
              <w:ind w:right="17"/>
              <w:spacing w:after="0"/>
              <w:rPr>
                <w:sz w:val="20"/>
                <w:szCs w:val="20"/>
                <w:color w:val="auto"/>
              </w:rPr>
            </w:pPr>
            <w:r>
              <w:rPr>
                <w:rFonts w:ascii="Arial" w:cs="Arial" w:eastAsia="Arial" w:hAnsi="Arial"/>
                <w:sz w:val="27"/>
                <w:szCs w:val="27"/>
                <w:color w:val="auto"/>
                <w:vertAlign w:val="subscript"/>
              </w:rPr>
              <w:t>2</w:t>
            </w:r>
            <w:r>
              <w:rPr>
                <w:rFonts w:ascii="Arial" w:cs="Arial" w:eastAsia="Arial" w:hAnsi="Arial"/>
                <w:sz w:val="11"/>
                <w:szCs w:val="11"/>
                <w:color w:val="auto"/>
              </w:rPr>
              <w:t>nd</w:t>
            </w:r>
          </w:p>
        </w:tc>
        <w:tc>
          <w:tcPr>
            <w:tcW w:w="5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27"/>
                <w:szCs w:val="27"/>
                <w:color w:val="auto"/>
                <w:vertAlign w:val="subscript"/>
              </w:rPr>
              <w:t>3</w:t>
            </w:r>
            <w:r>
              <w:rPr>
                <w:rFonts w:ascii="Arial" w:cs="Arial" w:eastAsia="Arial" w:hAnsi="Arial"/>
                <w:sz w:val="11"/>
                <w:szCs w:val="11"/>
                <w:color w:val="auto"/>
              </w:rPr>
              <w:t>rd</w:t>
            </w:r>
          </w:p>
        </w:tc>
        <w:tc>
          <w:tcPr>
            <w:tcW w:w="1160" w:type="dxa"/>
            <w:vAlign w:val="bottom"/>
            <w:tcBorders>
              <w:bottom w:val="single" w:sz="8" w:color="auto"/>
            </w:tcBorders>
          </w:tcPr>
          <w:p>
            <w:pPr>
              <w:jc w:val="right"/>
              <w:ind w:right="337"/>
              <w:spacing w:after="0"/>
              <w:rPr>
                <w:sz w:val="20"/>
                <w:szCs w:val="20"/>
                <w:color w:val="auto"/>
              </w:rPr>
            </w:pPr>
            <w:r>
              <w:rPr>
                <w:rFonts w:ascii="Arial" w:cs="Arial" w:eastAsia="Arial" w:hAnsi="Arial"/>
                <w:sz w:val="27"/>
                <w:szCs w:val="27"/>
                <w:color w:val="auto"/>
                <w:vertAlign w:val="subscript"/>
              </w:rPr>
              <w:t>4</w:t>
            </w:r>
            <w:r>
              <w:rPr>
                <w:rFonts w:ascii="Arial" w:cs="Arial" w:eastAsia="Arial" w:hAnsi="Arial"/>
                <w:sz w:val="11"/>
                <w:szCs w:val="11"/>
                <w:color w:val="auto"/>
              </w:rPr>
              <w:t>th</w:t>
            </w:r>
          </w:p>
        </w:tc>
      </w:tr>
      <w:tr>
        <w:trPr>
          <w:trHeight w:val="196"/>
        </w:trPr>
        <w:tc>
          <w:tcPr>
            <w:tcW w:w="6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000" w:type="dxa"/>
            <w:vAlign w:val="bottom"/>
            <w:gridSpan w:val="2"/>
            <w:shd w:val="clear" w:color="auto" w:fill="CCEEFF"/>
          </w:tcPr>
          <w:p>
            <w:pPr>
              <w:jc w:val="right"/>
              <w:ind w:right="84"/>
              <w:spacing w:after="0" w:line="196" w:lineRule="exact"/>
              <w:rPr>
                <w:sz w:val="20"/>
                <w:szCs w:val="20"/>
                <w:color w:val="auto"/>
              </w:rPr>
            </w:pPr>
            <w:r>
              <w:rPr>
                <w:rFonts w:ascii="Arial" w:cs="Arial" w:eastAsia="Arial" w:hAnsi="Arial"/>
                <w:sz w:val="18"/>
                <w:szCs w:val="18"/>
                <w:color w:val="auto"/>
              </w:rPr>
              <w:t>$714.8</w:t>
            </w:r>
          </w:p>
        </w:tc>
        <w:tc>
          <w:tcPr>
            <w:tcW w:w="1040" w:type="dxa"/>
            <w:vAlign w:val="bottom"/>
            <w:tcBorders>
              <w:right w:val="single" w:sz="8" w:color="CCEEFF"/>
            </w:tcBorders>
            <w:shd w:val="clear" w:color="auto" w:fill="CCEEFF"/>
          </w:tcPr>
          <w:p>
            <w:pPr>
              <w:jc w:val="right"/>
              <w:ind w:right="17"/>
              <w:spacing w:after="0" w:line="196" w:lineRule="exact"/>
              <w:rPr>
                <w:sz w:val="20"/>
                <w:szCs w:val="20"/>
                <w:color w:val="auto"/>
              </w:rPr>
            </w:pPr>
            <w:r>
              <w:rPr>
                <w:rFonts w:ascii="Arial" w:cs="Arial" w:eastAsia="Arial" w:hAnsi="Arial"/>
                <w:sz w:val="18"/>
                <w:szCs w:val="18"/>
                <w:color w:val="auto"/>
              </w:rPr>
              <w:t>$889.7</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ind w:right="297"/>
              <w:spacing w:after="0" w:line="196" w:lineRule="exact"/>
              <w:rPr>
                <w:sz w:val="20"/>
                <w:szCs w:val="20"/>
                <w:color w:val="auto"/>
              </w:rPr>
            </w:pPr>
            <w:r>
              <w:rPr>
                <w:rFonts w:ascii="Arial" w:cs="Arial" w:eastAsia="Arial" w:hAnsi="Arial"/>
                <w:sz w:val="18"/>
                <w:szCs w:val="18"/>
                <w:color w:val="auto"/>
                <w:w w:val="93"/>
              </w:rPr>
              <w:t>848.0</w:t>
            </w:r>
          </w:p>
        </w:tc>
        <w:tc>
          <w:tcPr>
            <w:tcW w:w="1160" w:type="dxa"/>
            <w:vAlign w:val="bottom"/>
            <w:shd w:val="clear" w:color="auto" w:fill="CCEEFF"/>
          </w:tcPr>
          <w:p>
            <w:pPr>
              <w:jc w:val="right"/>
              <w:ind w:right="337"/>
              <w:spacing w:after="0" w:line="196" w:lineRule="exact"/>
              <w:rPr>
                <w:sz w:val="20"/>
                <w:szCs w:val="20"/>
                <w:color w:val="auto"/>
              </w:rPr>
            </w:pPr>
            <w:r>
              <w:rPr>
                <w:rFonts w:ascii="Arial" w:cs="Arial" w:eastAsia="Arial" w:hAnsi="Arial"/>
                <w:sz w:val="18"/>
                <w:szCs w:val="18"/>
                <w:color w:val="auto"/>
              </w:rPr>
              <w:t>$ 876.1</w:t>
            </w:r>
          </w:p>
        </w:tc>
      </w:tr>
      <w:tr>
        <w:trPr>
          <w:trHeight w:val="203"/>
        </w:trPr>
        <w:tc>
          <w:tcPr>
            <w:tcW w:w="6880" w:type="dxa"/>
            <w:vAlign w:val="bottom"/>
            <w:gridSpan w:val="2"/>
          </w:tcPr>
          <w:p>
            <w:pPr>
              <w:spacing w:after="0" w:line="202" w:lineRule="exact"/>
              <w:rPr>
                <w:sz w:val="20"/>
                <w:szCs w:val="20"/>
                <w:color w:val="auto"/>
              </w:rPr>
            </w:pPr>
            <w:r>
              <w:rPr>
                <w:rFonts w:ascii="Arial" w:cs="Arial" w:eastAsia="Arial" w:hAnsi="Arial"/>
                <w:sz w:val="18"/>
                <w:szCs w:val="18"/>
                <w:color w:val="auto"/>
              </w:rPr>
              <w:t>Gross profit</w:t>
            </w:r>
          </w:p>
        </w:tc>
        <w:tc>
          <w:tcPr>
            <w:tcW w:w="1000" w:type="dxa"/>
            <w:vAlign w:val="bottom"/>
            <w:gridSpan w:val="2"/>
          </w:tcPr>
          <w:p>
            <w:pPr>
              <w:jc w:val="right"/>
              <w:ind w:right="84"/>
              <w:spacing w:after="0" w:line="202" w:lineRule="exact"/>
              <w:rPr>
                <w:sz w:val="20"/>
                <w:szCs w:val="20"/>
                <w:color w:val="auto"/>
              </w:rPr>
            </w:pPr>
            <w:r>
              <w:rPr>
                <w:rFonts w:ascii="Arial" w:cs="Arial" w:eastAsia="Arial" w:hAnsi="Arial"/>
                <w:sz w:val="18"/>
                <w:szCs w:val="18"/>
                <w:color w:val="auto"/>
              </w:rPr>
              <w:t>210.3</w:t>
            </w: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291.3</w:t>
            </w:r>
          </w:p>
        </w:tc>
        <w:tc>
          <w:tcPr>
            <w:tcW w:w="520" w:type="dxa"/>
            <w:vAlign w:val="bottom"/>
          </w:tcPr>
          <w:p>
            <w:pPr>
              <w:spacing w:after="0"/>
              <w:rPr>
                <w:sz w:val="17"/>
                <w:szCs w:val="17"/>
                <w:color w:val="auto"/>
              </w:rPr>
            </w:pPr>
          </w:p>
        </w:tc>
        <w:tc>
          <w:tcPr>
            <w:tcW w:w="820" w:type="dxa"/>
            <w:vAlign w:val="bottom"/>
          </w:tcPr>
          <w:p>
            <w:pPr>
              <w:jc w:val="right"/>
              <w:ind w:right="297"/>
              <w:spacing w:after="0" w:line="202" w:lineRule="exact"/>
              <w:rPr>
                <w:sz w:val="20"/>
                <w:szCs w:val="20"/>
                <w:color w:val="auto"/>
              </w:rPr>
            </w:pPr>
            <w:r>
              <w:rPr>
                <w:rFonts w:ascii="Arial" w:cs="Arial" w:eastAsia="Arial" w:hAnsi="Arial"/>
                <w:sz w:val="18"/>
                <w:szCs w:val="18"/>
                <w:color w:val="auto"/>
                <w:w w:val="93"/>
              </w:rPr>
              <w:t>255.8</w:t>
            </w:r>
          </w:p>
        </w:tc>
        <w:tc>
          <w:tcPr>
            <w:tcW w:w="1160" w:type="dxa"/>
            <w:vAlign w:val="bottom"/>
          </w:tcPr>
          <w:p>
            <w:pPr>
              <w:jc w:val="right"/>
              <w:ind w:right="337"/>
              <w:spacing w:after="0" w:line="202" w:lineRule="exact"/>
              <w:rPr>
                <w:sz w:val="20"/>
                <w:szCs w:val="20"/>
                <w:color w:val="auto"/>
              </w:rPr>
            </w:pPr>
            <w:r>
              <w:rPr>
                <w:rFonts w:ascii="Arial" w:cs="Arial" w:eastAsia="Arial" w:hAnsi="Arial"/>
                <w:sz w:val="18"/>
                <w:szCs w:val="18"/>
                <w:color w:val="auto"/>
              </w:rPr>
              <w:t>239.1</w:t>
            </w:r>
          </w:p>
        </w:tc>
      </w:tr>
      <w:tr>
        <w:trPr>
          <w:trHeight w:val="203"/>
        </w:trPr>
        <w:tc>
          <w:tcPr>
            <w:tcW w:w="6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income (loss)</w:t>
            </w:r>
          </w:p>
        </w:tc>
        <w:tc>
          <w:tcPr>
            <w:tcW w:w="1000" w:type="dxa"/>
            <w:vAlign w:val="bottom"/>
            <w:gridSpan w:val="2"/>
            <w:shd w:val="clear" w:color="auto" w:fill="CCEEFF"/>
          </w:tcPr>
          <w:p>
            <w:pPr>
              <w:jc w:val="right"/>
              <w:ind w:right="84"/>
              <w:spacing w:after="0" w:line="202" w:lineRule="exact"/>
              <w:rPr>
                <w:sz w:val="20"/>
                <w:szCs w:val="20"/>
                <w:color w:val="auto"/>
              </w:rPr>
            </w:pPr>
            <w:r>
              <w:rPr>
                <w:rFonts w:ascii="Arial" w:cs="Arial" w:eastAsia="Arial" w:hAnsi="Arial"/>
                <w:sz w:val="18"/>
                <w:szCs w:val="18"/>
                <w:color w:val="auto"/>
              </w:rPr>
              <w:t>7.8</w:t>
            </w:r>
          </w:p>
        </w:tc>
        <w:tc>
          <w:tcPr>
            <w:tcW w:w="1040" w:type="dxa"/>
            <w:vAlign w:val="bottom"/>
            <w:tcBorders>
              <w:right w:val="single" w:sz="8" w:color="CCEEFF"/>
            </w:tcBorders>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65.2</w:t>
            </w:r>
          </w:p>
        </w:tc>
        <w:tc>
          <w:tcPr>
            <w:tcW w:w="5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ind w:right="297"/>
              <w:spacing w:after="0" w:line="202" w:lineRule="exact"/>
              <w:rPr>
                <w:sz w:val="20"/>
                <w:szCs w:val="20"/>
                <w:color w:val="auto"/>
              </w:rPr>
            </w:pPr>
            <w:r>
              <w:rPr>
                <w:rFonts w:ascii="Arial" w:cs="Arial" w:eastAsia="Arial" w:hAnsi="Arial"/>
                <w:sz w:val="18"/>
                <w:szCs w:val="18"/>
                <w:color w:val="auto"/>
              </w:rPr>
              <w:t>20.8</w:t>
            </w:r>
          </w:p>
        </w:tc>
        <w:tc>
          <w:tcPr>
            <w:tcW w:w="1160" w:type="dxa"/>
            <w:vAlign w:val="bottom"/>
            <w:shd w:val="clear" w:color="auto" w:fill="CCEEFF"/>
          </w:tcPr>
          <w:p>
            <w:pPr>
              <w:jc w:val="right"/>
              <w:ind w:right="277"/>
              <w:spacing w:after="0" w:line="202" w:lineRule="exact"/>
              <w:rPr>
                <w:sz w:val="20"/>
                <w:szCs w:val="20"/>
                <w:color w:val="auto"/>
              </w:rPr>
            </w:pPr>
            <w:r>
              <w:rPr>
                <w:rFonts w:ascii="Arial" w:cs="Arial" w:eastAsia="Arial" w:hAnsi="Arial"/>
                <w:sz w:val="18"/>
                <w:szCs w:val="18"/>
                <w:color w:val="auto"/>
              </w:rPr>
              <w:t>(109.4)</w:t>
            </w:r>
          </w:p>
        </w:tc>
      </w:tr>
      <w:tr>
        <w:trPr>
          <w:trHeight w:val="203"/>
        </w:trPr>
        <w:tc>
          <w:tcPr>
            <w:tcW w:w="6880" w:type="dxa"/>
            <w:vAlign w:val="bottom"/>
            <w:gridSpan w:val="2"/>
          </w:tcPr>
          <w:p>
            <w:pPr>
              <w:spacing w:after="0" w:line="202" w:lineRule="exact"/>
              <w:rPr>
                <w:sz w:val="20"/>
                <w:szCs w:val="20"/>
                <w:color w:val="auto"/>
              </w:rPr>
            </w:pPr>
            <w:r>
              <w:rPr>
                <w:rFonts w:ascii="Arial" w:cs="Arial" w:eastAsia="Arial" w:hAnsi="Arial"/>
                <w:sz w:val="18"/>
                <w:szCs w:val="18"/>
                <w:color w:val="auto"/>
              </w:rPr>
              <w:t>Net (loss) income</w:t>
            </w:r>
          </w:p>
        </w:tc>
        <w:tc>
          <w:tcPr>
            <w:tcW w:w="1000" w:type="dxa"/>
            <w:vAlign w:val="bottom"/>
            <w:gridSpan w:val="2"/>
          </w:tcPr>
          <w:p>
            <w:pPr>
              <w:jc w:val="right"/>
              <w:ind w:right="24"/>
              <w:spacing w:after="0" w:line="202" w:lineRule="exact"/>
              <w:rPr>
                <w:sz w:val="20"/>
                <w:szCs w:val="20"/>
                <w:color w:val="auto"/>
              </w:rPr>
            </w:pPr>
            <w:r>
              <w:rPr>
                <w:rFonts w:ascii="Arial" w:cs="Arial" w:eastAsia="Arial" w:hAnsi="Arial"/>
                <w:sz w:val="18"/>
                <w:szCs w:val="18"/>
                <w:color w:val="auto"/>
              </w:rPr>
              <w:t>(10.3)</w:t>
            </w: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44.1</w:t>
            </w:r>
          </w:p>
        </w:tc>
        <w:tc>
          <w:tcPr>
            <w:tcW w:w="520" w:type="dxa"/>
            <w:vAlign w:val="bottom"/>
          </w:tcPr>
          <w:p>
            <w:pPr>
              <w:spacing w:after="0"/>
              <w:rPr>
                <w:sz w:val="17"/>
                <w:szCs w:val="17"/>
                <w:color w:val="auto"/>
              </w:rPr>
            </w:pPr>
          </w:p>
        </w:tc>
        <w:tc>
          <w:tcPr>
            <w:tcW w:w="820" w:type="dxa"/>
            <w:vAlign w:val="bottom"/>
          </w:tcPr>
          <w:p>
            <w:pPr>
              <w:jc w:val="right"/>
              <w:ind w:right="297"/>
              <w:spacing w:after="0" w:line="202" w:lineRule="exact"/>
              <w:rPr>
                <w:sz w:val="20"/>
                <w:szCs w:val="20"/>
                <w:color w:val="auto"/>
              </w:rPr>
            </w:pPr>
            <w:r>
              <w:rPr>
                <w:rFonts w:ascii="Arial" w:cs="Arial" w:eastAsia="Arial" w:hAnsi="Arial"/>
                <w:sz w:val="18"/>
                <w:szCs w:val="18"/>
                <w:color w:val="auto"/>
              </w:rPr>
              <w:t>2.5</w:t>
            </w:r>
          </w:p>
        </w:tc>
        <w:tc>
          <w:tcPr>
            <w:tcW w:w="1160" w:type="dxa"/>
            <w:vAlign w:val="bottom"/>
          </w:tcPr>
          <w:p>
            <w:pPr>
              <w:jc w:val="right"/>
              <w:ind w:right="277"/>
              <w:spacing w:after="0" w:line="202" w:lineRule="exact"/>
              <w:rPr>
                <w:sz w:val="20"/>
                <w:szCs w:val="20"/>
                <w:color w:val="auto"/>
              </w:rPr>
            </w:pPr>
            <w:r>
              <w:rPr>
                <w:rFonts w:ascii="Arial" w:cs="Arial" w:eastAsia="Arial" w:hAnsi="Arial"/>
                <w:sz w:val="18"/>
                <w:szCs w:val="18"/>
                <w:color w:val="auto"/>
              </w:rPr>
              <w:t>(70.9)</w:t>
            </w:r>
          </w:p>
        </w:tc>
      </w:tr>
      <w:tr>
        <w:trPr>
          <w:trHeight w:val="203"/>
        </w:trPr>
        <w:tc>
          <w:tcPr>
            <w:tcW w:w="6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(loss) income attributable to Home &amp; Security</w:t>
            </w:r>
          </w:p>
        </w:tc>
        <w:tc>
          <w:tcPr>
            <w:tcW w:w="1000" w:type="dxa"/>
            <w:vAlign w:val="bottom"/>
            <w:gridSpan w:val="2"/>
            <w:shd w:val="clear" w:color="auto" w:fill="CCEEFF"/>
          </w:tcPr>
          <w:p>
            <w:pPr>
              <w:jc w:val="right"/>
              <w:ind w:right="24"/>
              <w:spacing w:after="0" w:line="202" w:lineRule="exact"/>
              <w:rPr>
                <w:sz w:val="20"/>
                <w:szCs w:val="20"/>
                <w:color w:val="auto"/>
              </w:rPr>
            </w:pPr>
            <w:r>
              <w:rPr>
                <w:rFonts w:ascii="Arial" w:cs="Arial" w:eastAsia="Arial" w:hAnsi="Arial"/>
                <w:sz w:val="18"/>
                <w:szCs w:val="18"/>
                <w:color w:val="auto"/>
              </w:rPr>
              <w:t>(10.5)</w:t>
            </w:r>
          </w:p>
        </w:tc>
        <w:tc>
          <w:tcPr>
            <w:tcW w:w="1040" w:type="dxa"/>
            <w:vAlign w:val="bottom"/>
            <w:tcBorders>
              <w:right w:val="single" w:sz="8" w:color="CCEEFF"/>
            </w:tcBorders>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43.7</w:t>
            </w:r>
          </w:p>
        </w:tc>
        <w:tc>
          <w:tcPr>
            <w:tcW w:w="5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ind w:right="297"/>
              <w:spacing w:after="0" w:line="202" w:lineRule="exact"/>
              <w:rPr>
                <w:sz w:val="20"/>
                <w:szCs w:val="20"/>
                <w:color w:val="auto"/>
              </w:rPr>
            </w:pPr>
            <w:r>
              <w:rPr>
                <w:rFonts w:ascii="Arial" w:cs="Arial" w:eastAsia="Arial" w:hAnsi="Arial"/>
                <w:sz w:val="18"/>
                <w:szCs w:val="18"/>
                <w:color w:val="auto"/>
              </w:rPr>
              <w:t>2.2</w:t>
            </w:r>
          </w:p>
        </w:tc>
        <w:tc>
          <w:tcPr>
            <w:tcW w:w="1160" w:type="dxa"/>
            <w:vAlign w:val="bottom"/>
            <w:shd w:val="clear" w:color="auto" w:fill="CCEEFF"/>
          </w:tcPr>
          <w:p>
            <w:pPr>
              <w:jc w:val="right"/>
              <w:ind w:right="277"/>
              <w:spacing w:after="0" w:line="202" w:lineRule="exact"/>
              <w:rPr>
                <w:sz w:val="20"/>
                <w:szCs w:val="20"/>
                <w:color w:val="auto"/>
              </w:rPr>
            </w:pPr>
            <w:r>
              <w:rPr>
                <w:rFonts w:ascii="Arial" w:cs="Arial" w:eastAsia="Arial" w:hAnsi="Arial"/>
                <w:sz w:val="18"/>
                <w:szCs w:val="18"/>
                <w:color w:val="auto"/>
              </w:rPr>
              <w:t>(71.0)</w:t>
            </w:r>
          </w:p>
        </w:tc>
      </w:tr>
      <w:tr>
        <w:trPr>
          <w:trHeight w:val="203"/>
        </w:trPr>
        <w:tc>
          <w:tcPr>
            <w:tcW w:w="688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color w:val="auto"/>
              </w:rPr>
              <w:t>Basic and diluted (loss) earnings per common share</w:t>
            </w:r>
          </w:p>
        </w:tc>
        <w:tc>
          <w:tcPr>
            <w:tcW w:w="1000" w:type="dxa"/>
            <w:vAlign w:val="bottom"/>
            <w:tcBorders>
              <w:bottom w:val="single" w:sz="8" w:color="auto"/>
            </w:tcBorders>
            <w:gridSpan w:val="2"/>
          </w:tcPr>
          <w:p>
            <w:pPr>
              <w:jc w:val="right"/>
              <w:ind w:right="24"/>
              <w:spacing w:after="0" w:line="202" w:lineRule="exact"/>
              <w:rPr>
                <w:sz w:val="20"/>
                <w:szCs w:val="20"/>
                <w:color w:val="auto"/>
              </w:rPr>
            </w:pPr>
            <w:r>
              <w:rPr>
                <w:rFonts w:ascii="Arial" w:cs="Arial" w:eastAsia="Arial" w:hAnsi="Arial"/>
                <w:sz w:val="18"/>
                <w:szCs w:val="18"/>
                <w:color w:val="auto"/>
              </w:rPr>
              <w:t>(0.07)</w:t>
            </w:r>
          </w:p>
        </w:tc>
        <w:tc>
          <w:tcPr>
            <w:tcW w:w="1040" w:type="dxa"/>
            <w:vAlign w:val="bottom"/>
            <w:tcBorders>
              <w:bottom w:val="single" w:sz="8" w:color="auto"/>
            </w:tcBorders>
          </w:tcPr>
          <w:p>
            <w:pPr>
              <w:jc w:val="right"/>
              <w:ind w:right="17"/>
              <w:spacing w:after="0" w:line="202" w:lineRule="exact"/>
              <w:rPr>
                <w:sz w:val="20"/>
                <w:szCs w:val="20"/>
                <w:color w:val="auto"/>
              </w:rPr>
            </w:pPr>
            <w:r>
              <w:rPr>
                <w:rFonts w:ascii="Arial" w:cs="Arial" w:eastAsia="Arial" w:hAnsi="Arial"/>
                <w:sz w:val="18"/>
                <w:szCs w:val="18"/>
                <w:color w:val="auto"/>
              </w:rPr>
              <w:t>0.28</w:t>
            </w:r>
          </w:p>
        </w:tc>
        <w:tc>
          <w:tcPr>
            <w:tcW w:w="5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7"/>
              <w:spacing w:after="0" w:line="202" w:lineRule="exact"/>
              <w:rPr>
                <w:sz w:val="20"/>
                <w:szCs w:val="20"/>
                <w:color w:val="auto"/>
              </w:rPr>
            </w:pPr>
            <w:r>
              <w:rPr>
                <w:rFonts w:ascii="Arial" w:cs="Arial" w:eastAsia="Arial" w:hAnsi="Arial"/>
                <w:sz w:val="18"/>
                <w:szCs w:val="18"/>
                <w:color w:val="auto"/>
              </w:rPr>
              <w:t>0.01</w:t>
            </w:r>
          </w:p>
        </w:tc>
        <w:tc>
          <w:tcPr>
            <w:tcW w:w="1160" w:type="dxa"/>
            <w:vAlign w:val="bottom"/>
            <w:tcBorders>
              <w:bottom w:val="single" w:sz="8" w:color="auto"/>
            </w:tcBorders>
          </w:tcPr>
          <w:p>
            <w:pPr>
              <w:jc w:val="right"/>
              <w:ind w:right="277"/>
              <w:spacing w:after="0" w:line="202" w:lineRule="exact"/>
              <w:rPr>
                <w:sz w:val="20"/>
                <w:szCs w:val="20"/>
                <w:color w:val="auto"/>
              </w:rPr>
            </w:pPr>
            <w:r>
              <w:rPr>
                <w:rFonts w:ascii="Arial" w:cs="Arial" w:eastAsia="Arial" w:hAnsi="Arial"/>
                <w:sz w:val="18"/>
                <w:szCs w:val="18"/>
                <w:color w:val="auto"/>
              </w:rPr>
              <w:t>(0.46)</w:t>
            </w:r>
          </w:p>
        </w:tc>
      </w:tr>
      <w:tr>
        <w:trPr>
          <w:trHeight w:val="142"/>
        </w:trPr>
        <w:tc>
          <w:tcPr>
            <w:tcW w:w="320" w:type="dxa"/>
            <w:vAlign w:val="bottom"/>
            <w:tcBorders>
              <w:bottom w:val="single" w:sz="8" w:color="auto"/>
            </w:tcBorders>
          </w:tcPr>
          <w:p>
            <w:pPr>
              <w:spacing w:after="0"/>
              <w:rPr>
                <w:sz w:val="12"/>
                <w:szCs w:val="12"/>
                <w:color w:val="auto"/>
              </w:rPr>
            </w:pPr>
          </w:p>
        </w:tc>
        <w:tc>
          <w:tcPr>
            <w:tcW w:w="65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r>
      <w:tr>
        <w:trPr>
          <w:trHeight w:val="385"/>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2010</w:t>
            </w:r>
          </w:p>
        </w:tc>
        <w:tc>
          <w:tcPr>
            <w:tcW w:w="65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84"/>
              <w:spacing w:after="0"/>
              <w:rPr>
                <w:sz w:val="20"/>
                <w:szCs w:val="20"/>
                <w:color w:val="auto"/>
              </w:rPr>
            </w:pPr>
            <w:r>
              <w:rPr>
                <w:rFonts w:ascii="Arial" w:cs="Arial" w:eastAsia="Arial" w:hAnsi="Arial"/>
                <w:sz w:val="27"/>
                <w:szCs w:val="27"/>
                <w:color w:val="auto"/>
                <w:w w:val="85"/>
                <w:vertAlign w:val="subscript"/>
              </w:rPr>
              <w:t>1</w:t>
            </w:r>
            <w:r>
              <w:rPr>
                <w:rFonts w:ascii="Arial" w:cs="Arial" w:eastAsia="Arial" w:hAnsi="Arial"/>
                <w:sz w:val="11"/>
                <w:szCs w:val="11"/>
                <w:color w:val="auto"/>
                <w:w w:val="85"/>
              </w:rPr>
              <w:t>st</w:t>
            </w:r>
          </w:p>
        </w:tc>
        <w:tc>
          <w:tcPr>
            <w:tcW w:w="1040" w:type="dxa"/>
            <w:vAlign w:val="bottom"/>
            <w:tcBorders>
              <w:bottom w:val="single" w:sz="8" w:color="auto"/>
            </w:tcBorders>
          </w:tcPr>
          <w:p>
            <w:pPr>
              <w:jc w:val="right"/>
              <w:ind w:right="17"/>
              <w:spacing w:after="0"/>
              <w:rPr>
                <w:sz w:val="20"/>
                <w:szCs w:val="20"/>
                <w:color w:val="auto"/>
              </w:rPr>
            </w:pPr>
            <w:r>
              <w:rPr>
                <w:rFonts w:ascii="Arial" w:cs="Arial" w:eastAsia="Arial" w:hAnsi="Arial"/>
                <w:sz w:val="27"/>
                <w:szCs w:val="27"/>
                <w:color w:val="auto"/>
                <w:vertAlign w:val="subscript"/>
              </w:rPr>
              <w:t>2</w:t>
            </w:r>
            <w:r>
              <w:rPr>
                <w:rFonts w:ascii="Arial" w:cs="Arial" w:eastAsia="Arial" w:hAnsi="Arial"/>
                <w:sz w:val="11"/>
                <w:szCs w:val="11"/>
                <w:color w:val="auto"/>
              </w:rPr>
              <w:t>nd</w:t>
            </w:r>
          </w:p>
        </w:tc>
        <w:tc>
          <w:tcPr>
            <w:tcW w:w="5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27"/>
                <w:szCs w:val="27"/>
                <w:color w:val="auto"/>
                <w:vertAlign w:val="subscript"/>
              </w:rPr>
              <w:t>3</w:t>
            </w:r>
            <w:r>
              <w:rPr>
                <w:rFonts w:ascii="Arial" w:cs="Arial" w:eastAsia="Arial" w:hAnsi="Arial"/>
                <w:sz w:val="11"/>
                <w:szCs w:val="11"/>
                <w:color w:val="auto"/>
              </w:rPr>
              <w:t>rd</w:t>
            </w:r>
          </w:p>
        </w:tc>
        <w:tc>
          <w:tcPr>
            <w:tcW w:w="1160" w:type="dxa"/>
            <w:vAlign w:val="bottom"/>
            <w:tcBorders>
              <w:bottom w:val="single" w:sz="8" w:color="auto"/>
            </w:tcBorders>
          </w:tcPr>
          <w:p>
            <w:pPr>
              <w:jc w:val="right"/>
              <w:ind w:right="337"/>
              <w:spacing w:after="0"/>
              <w:rPr>
                <w:sz w:val="20"/>
                <w:szCs w:val="20"/>
                <w:color w:val="auto"/>
              </w:rPr>
            </w:pPr>
            <w:r>
              <w:rPr>
                <w:rFonts w:ascii="Arial" w:cs="Arial" w:eastAsia="Arial" w:hAnsi="Arial"/>
                <w:sz w:val="27"/>
                <w:szCs w:val="27"/>
                <w:color w:val="auto"/>
                <w:vertAlign w:val="subscript"/>
              </w:rPr>
              <w:t>4</w:t>
            </w:r>
            <w:r>
              <w:rPr>
                <w:rFonts w:ascii="Arial" w:cs="Arial" w:eastAsia="Arial" w:hAnsi="Arial"/>
                <w:sz w:val="11"/>
                <w:szCs w:val="11"/>
                <w:color w:val="auto"/>
              </w:rPr>
              <w:t>th</w:t>
            </w:r>
          </w:p>
        </w:tc>
      </w:tr>
      <w:tr>
        <w:trPr>
          <w:trHeight w:val="196"/>
        </w:trPr>
        <w:tc>
          <w:tcPr>
            <w:tcW w:w="6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000" w:type="dxa"/>
            <w:vAlign w:val="bottom"/>
            <w:gridSpan w:val="2"/>
            <w:shd w:val="clear" w:color="auto" w:fill="CCEEFF"/>
          </w:tcPr>
          <w:p>
            <w:pPr>
              <w:jc w:val="right"/>
              <w:ind w:right="84"/>
              <w:spacing w:after="0" w:line="196" w:lineRule="exact"/>
              <w:rPr>
                <w:sz w:val="20"/>
                <w:szCs w:val="20"/>
                <w:color w:val="auto"/>
              </w:rPr>
            </w:pPr>
            <w:r>
              <w:rPr>
                <w:rFonts w:ascii="Arial" w:cs="Arial" w:eastAsia="Arial" w:hAnsi="Arial"/>
                <w:sz w:val="18"/>
                <w:szCs w:val="18"/>
                <w:color w:val="auto"/>
              </w:rPr>
              <w:t>$698.7</w:t>
            </w:r>
          </w:p>
        </w:tc>
        <w:tc>
          <w:tcPr>
            <w:tcW w:w="1040" w:type="dxa"/>
            <w:vAlign w:val="bottom"/>
            <w:tcBorders>
              <w:right w:val="single" w:sz="8" w:color="CCEEFF"/>
            </w:tcBorders>
            <w:shd w:val="clear" w:color="auto" w:fill="CCEEFF"/>
          </w:tcPr>
          <w:p>
            <w:pPr>
              <w:jc w:val="right"/>
              <w:ind w:right="17"/>
              <w:spacing w:after="0" w:line="196" w:lineRule="exact"/>
              <w:rPr>
                <w:sz w:val="20"/>
                <w:szCs w:val="20"/>
                <w:color w:val="auto"/>
              </w:rPr>
            </w:pPr>
            <w:r>
              <w:rPr>
                <w:rFonts w:ascii="Arial" w:cs="Arial" w:eastAsia="Arial" w:hAnsi="Arial"/>
                <w:sz w:val="18"/>
                <w:szCs w:val="18"/>
                <w:color w:val="auto"/>
              </w:rPr>
              <w:t>$878.0</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ind w:right="297"/>
              <w:spacing w:after="0" w:line="196" w:lineRule="exact"/>
              <w:rPr>
                <w:sz w:val="20"/>
                <w:szCs w:val="20"/>
                <w:color w:val="auto"/>
              </w:rPr>
            </w:pPr>
            <w:r>
              <w:rPr>
                <w:rFonts w:ascii="Arial" w:cs="Arial" w:eastAsia="Arial" w:hAnsi="Arial"/>
                <w:sz w:val="18"/>
                <w:szCs w:val="18"/>
                <w:color w:val="auto"/>
                <w:w w:val="93"/>
              </w:rPr>
              <w:t>813.1</w:t>
            </w:r>
          </w:p>
        </w:tc>
        <w:tc>
          <w:tcPr>
            <w:tcW w:w="1160" w:type="dxa"/>
            <w:vAlign w:val="bottom"/>
            <w:shd w:val="clear" w:color="auto" w:fill="CCEEFF"/>
          </w:tcPr>
          <w:p>
            <w:pPr>
              <w:jc w:val="right"/>
              <w:ind w:right="337"/>
              <w:spacing w:after="0" w:line="196" w:lineRule="exact"/>
              <w:rPr>
                <w:sz w:val="20"/>
                <w:szCs w:val="20"/>
                <w:color w:val="auto"/>
              </w:rPr>
            </w:pPr>
            <w:r>
              <w:rPr>
                <w:rFonts w:ascii="Arial" w:cs="Arial" w:eastAsia="Arial" w:hAnsi="Arial"/>
                <w:sz w:val="18"/>
                <w:szCs w:val="18"/>
                <w:color w:val="auto"/>
              </w:rPr>
              <w:t>$ 843.7</w:t>
            </w:r>
          </w:p>
        </w:tc>
      </w:tr>
      <w:tr>
        <w:trPr>
          <w:trHeight w:val="203"/>
        </w:trPr>
        <w:tc>
          <w:tcPr>
            <w:tcW w:w="6880" w:type="dxa"/>
            <w:vAlign w:val="bottom"/>
            <w:gridSpan w:val="2"/>
          </w:tcPr>
          <w:p>
            <w:pPr>
              <w:spacing w:after="0" w:line="202" w:lineRule="exact"/>
              <w:rPr>
                <w:sz w:val="20"/>
                <w:szCs w:val="20"/>
                <w:color w:val="auto"/>
              </w:rPr>
            </w:pPr>
            <w:r>
              <w:rPr>
                <w:rFonts w:ascii="Arial" w:cs="Arial" w:eastAsia="Arial" w:hAnsi="Arial"/>
                <w:sz w:val="18"/>
                <w:szCs w:val="18"/>
                <w:color w:val="auto"/>
              </w:rPr>
              <w:t>Gross profit</w:t>
            </w:r>
          </w:p>
        </w:tc>
        <w:tc>
          <w:tcPr>
            <w:tcW w:w="1000" w:type="dxa"/>
            <w:vAlign w:val="bottom"/>
            <w:gridSpan w:val="2"/>
          </w:tcPr>
          <w:p>
            <w:pPr>
              <w:jc w:val="right"/>
              <w:ind w:right="84"/>
              <w:spacing w:after="0" w:line="202" w:lineRule="exact"/>
              <w:rPr>
                <w:sz w:val="20"/>
                <w:szCs w:val="20"/>
                <w:color w:val="auto"/>
              </w:rPr>
            </w:pPr>
            <w:r>
              <w:rPr>
                <w:rFonts w:ascii="Arial" w:cs="Arial" w:eastAsia="Arial" w:hAnsi="Arial"/>
                <w:sz w:val="18"/>
                <w:szCs w:val="18"/>
                <w:color w:val="auto"/>
              </w:rPr>
              <w:t>219.6</w:t>
            </w: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298.0</w:t>
            </w:r>
          </w:p>
        </w:tc>
        <w:tc>
          <w:tcPr>
            <w:tcW w:w="520" w:type="dxa"/>
            <w:vAlign w:val="bottom"/>
          </w:tcPr>
          <w:p>
            <w:pPr>
              <w:spacing w:after="0"/>
              <w:rPr>
                <w:sz w:val="17"/>
                <w:szCs w:val="17"/>
                <w:color w:val="auto"/>
              </w:rPr>
            </w:pPr>
          </w:p>
        </w:tc>
        <w:tc>
          <w:tcPr>
            <w:tcW w:w="820" w:type="dxa"/>
            <w:vAlign w:val="bottom"/>
          </w:tcPr>
          <w:p>
            <w:pPr>
              <w:jc w:val="right"/>
              <w:ind w:right="297"/>
              <w:spacing w:after="0" w:line="202" w:lineRule="exact"/>
              <w:rPr>
                <w:sz w:val="20"/>
                <w:szCs w:val="20"/>
                <w:color w:val="auto"/>
              </w:rPr>
            </w:pPr>
            <w:r>
              <w:rPr>
                <w:rFonts w:ascii="Arial" w:cs="Arial" w:eastAsia="Arial" w:hAnsi="Arial"/>
                <w:sz w:val="18"/>
                <w:szCs w:val="18"/>
                <w:color w:val="auto"/>
                <w:w w:val="93"/>
              </w:rPr>
              <w:t>272.4</w:t>
            </w:r>
          </w:p>
        </w:tc>
        <w:tc>
          <w:tcPr>
            <w:tcW w:w="1160" w:type="dxa"/>
            <w:vAlign w:val="bottom"/>
          </w:tcPr>
          <w:p>
            <w:pPr>
              <w:jc w:val="right"/>
              <w:ind w:right="337"/>
              <w:spacing w:after="0" w:line="202" w:lineRule="exact"/>
              <w:rPr>
                <w:sz w:val="20"/>
                <w:szCs w:val="20"/>
                <w:color w:val="auto"/>
              </w:rPr>
            </w:pPr>
            <w:r>
              <w:rPr>
                <w:rFonts w:ascii="Arial" w:cs="Arial" w:eastAsia="Arial" w:hAnsi="Arial"/>
                <w:sz w:val="18"/>
                <w:szCs w:val="18"/>
                <w:color w:val="auto"/>
              </w:rPr>
              <w:t>266.4</w:t>
            </w:r>
          </w:p>
        </w:tc>
      </w:tr>
      <w:tr>
        <w:trPr>
          <w:trHeight w:val="203"/>
        </w:trPr>
        <w:tc>
          <w:tcPr>
            <w:tcW w:w="6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000" w:type="dxa"/>
            <w:vAlign w:val="bottom"/>
            <w:gridSpan w:val="2"/>
            <w:shd w:val="clear" w:color="auto" w:fill="CCEEFF"/>
          </w:tcPr>
          <w:p>
            <w:pPr>
              <w:jc w:val="right"/>
              <w:ind w:right="84"/>
              <w:spacing w:after="0" w:line="202" w:lineRule="exact"/>
              <w:rPr>
                <w:sz w:val="20"/>
                <w:szCs w:val="20"/>
                <w:color w:val="auto"/>
              </w:rPr>
            </w:pPr>
            <w:r>
              <w:rPr>
                <w:rFonts w:ascii="Arial" w:cs="Arial" w:eastAsia="Arial" w:hAnsi="Arial"/>
                <w:sz w:val="18"/>
                <w:szCs w:val="18"/>
                <w:color w:val="auto"/>
              </w:rPr>
              <w:t>14.0</w:t>
            </w:r>
          </w:p>
        </w:tc>
        <w:tc>
          <w:tcPr>
            <w:tcW w:w="1040" w:type="dxa"/>
            <w:vAlign w:val="bottom"/>
            <w:tcBorders>
              <w:right w:val="single" w:sz="8" w:color="CCEEFF"/>
            </w:tcBorders>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81.2</w:t>
            </w:r>
          </w:p>
        </w:tc>
        <w:tc>
          <w:tcPr>
            <w:tcW w:w="5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ind w:right="297"/>
              <w:spacing w:after="0" w:line="202" w:lineRule="exact"/>
              <w:rPr>
                <w:sz w:val="20"/>
                <w:szCs w:val="20"/>
                <w:color w:val="auto"/>
              </w:rPr>
            </w:pPr>
            <w:r>
              <w:rPr>
                <w:rFonts w:ascii="Arial" w:cs="Arial" w:eastAsia="Arial" w:hAnsi="Arial"/>
                <w:sz w:val="18"/>
                <w:szCs w:val="18"/>
                <w:color w:val="auto"/>
              </w:rPr>
              <w:t>66.8</w:t>
            </w:r>
          </w:p>
        </w:tc>
        <w:tc>
          <w:tcPr>
            <w:tcW w:w="1160" w:type="dxa"/>
            <w:vAlign w:val="bottom"/>
            <w:shd w:val="clear" w:color="auto" w:fill="CCEEFF"/>
          </w:tcPr>
          <w:p>
            <w:pPr>
              <w:jc w:val="right"/>
              <w:ind w:right="337"/>
              <w:spacing w:after="0" w:line="202" w:lineRule="exact"/>
              <w:rPr>
                <w:sz w:val="20"/>
                <w:szCs w:val="20"/>
                <w:color w:val="auto"/>
              </w:rPr>
            </w:pPr>
            <w:r>
              <w:rPr>
                <w:rFonts w:ascii="Arial" w:cs="Arial" w:eastAsia="Arial" w:hAnsi="Arial"/>
                <w:sz w:val="18"/>
                <w:szCs w:val="18"/>
                <w:color w:val="auto"/>
              </w:rPr>
              <w:t>36.4</w:t>
            </w:r>
          </w:p>
        </w:tc>
      </w:tr>
      <w:tr>
        <w:trPr>
          <w:trHeight w:val="203"/>
        </w:trPr>
        <w:tc>
          <w:tcPr>
            <w:tcW w:w="6880" w:type="dxa"/>
            <w:vAlign w:val="bottom"/>
            <w:gridSpan w:val="2"/>
          </w:tcPr>
          <w:p>
            <w:pPr>
              <w:spacing w:after="0" w:line="202" w:lineRule="exact"/>
              <w:rPr>
                <w:sz w:val="20"/>
                <w:szCs w:val="20"/>
                <w:color w:val="auto"/>
              </w:rPr>
            </w:pPr>
            <w:r>
              <w:rPr>
                <w:rFonts w:ascii="Arial" w:cs="Arial" w:eastAsia="Arial" w:hAnsi="Arial"/>
                <w:sz w:val="18"/>
                <w:szCs w:val="18"/>
                <w:color w:val="auto"/>
              </w:rPr>
              <w:t>Net (loss) income</w:t>
            </w:r>
          </w:p>
        </w:tc>
        <w:tc>
          <w:tcPr>
            <w:tcW w:w="1000" w:type="dxa"/>
            <w:vAlign w:val="bottom"/>
            <w:gridSpan w:val="2"/>
          </w:tcPr>
          <w:p>
            <w:pPr>
              <w:jc w:val="right"/>
              <w:ind w:right="24"/>
              <w:spacing w:after="0" w:line="202" w:lineRule="exact"/>
              <w:rPr>
                <w:sz w:val="20"/>
                <w:szCs w:val="20"/>
                <w:color w:val="auto"/>
              </w:rPr>
            </w:pPr>
            <w:r>
              <w:rPr>
                <w:rFonts w:ascii="Arial" w:cs="Arial" w:eastAsia="Arial" w:hAnsi="Arial"/>
                <w:sz w:val="18"/>
                <w:szCs w:val="18"/>
                <w:color w:val="auto"/>
              </w:rPr>
              <w:t>(12.5)</w:t>
            </w: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37.3</w:t>
            </w:r>
          </w:p>
        </w:tc>
        <w:tc>
          <w:tcPr>
            <w:tcW w:w="520" w:type="dxa"/>
            <w:vAlign w:val="bottom"/>
          </w:tcPr>
          <w:p>
            <w:pPr>
              <w:spacing w:after="0"/>
              <w:rPr>
                <w:sz w:val="17"/>
                <w:szCs w:val="17"/>
                <w:color w:val="auto"/>
              </w:rPr>
            </w:pPr>
          </w:p>
        </w:tc>
        <w:tc>
          <w:tcPr>
            <w:tcW w:w="820" w:type="dxa"/>
            <w:vAlign w:val="bottom"/>
          </w:tcPr>
          <w:p>
            <w:pPr>
              <w:jc w:val="right"/>
              <w:ind w:right="297"/>
              <w:spacing w:after="0" w:line="202" w:lineRule="exact"/>
              <w:rPr>
                <w:sz w:val="20"/>
                <w:szCs w:val="20"/>
                <w:color w:val="auto"/>
              </w:rPr>
            </w:pPr>
            <w:r>
              <w:rPr>
                <w:rFonts w:ascii="Arial" w:cs="Arial" w:eastAsia="Arial" w:hAnsi="Arial"/>
                <w:sz w:val="18"/>
                <w:szCs w:val="18"/>
                <w:color w:val="auto"/>
              </w:rPr>
              <w:t>28.6</w:t>
            </w:r>
          </w:p>
        </w:tc>
        <w:tc>
          <w:tcPr>
            <w:tcW w:w="1160" w:type="dxa"/>
            <w:vAlign w:val="bottom"/>
          </w:tcPr>
          <w:p>
            <w:pPr>
              <w:jc w:val="right"/>
              <w:ind w:right="337"/>
              <w:spacing w:after="0" w:line="202" w:lineRule="exact"/>
              <w:rPr>
                <w:sz w:val="20"/>
                <w:szCs w:val="20"/>
                <w:color w:val="auto"/>
              </w:rPr>
            </w:pPr>
            <w:r>
              <w:rPr>
                <w:rFonts w:ascii="Arial" w:cs="Arial" w:eastAsia="Arial" w:hAnsi="Arial"/>
                <w:sz w:val="18"/>
                <w:szCs w:val="18"/>
                <w:color w:val="auto"/>
              </w:rPr>
              <w:t>11.6</w:t>
            </w:r>
          </w:p>
        </w:tc>
      </w:tr>
      <w:tr>
        <w:trPr>
          <w:trHeight w:val="203"/>
        </w:trPr>
        <w:tc>
          <w:tcPr>
            <w:tcW w:w="6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(loss) income attributable to Home &amp; Security</w:t>
            </w:r>
          </w:p>
        </w:tc>
        <w:tc>
          <w:tcPr>
            <w:tcW w:w="1000" w:type="dxa"/>
            <w:vAlign w:val="bottom"/>
            <w:gridSpan w:val="2"/>
            <w:shd w:val="clear" w:color="auto" w:fill="CCEEFF"/>
          </w:tcPr>
          <w:p>
            <w:pPr>
              <w:jc w:val="right"/>
              <w:ind w:right="24"/>
              <w:spacing w:after="0" w:line="202" w:lineRule="exact"/>
              <w:rPr>
                <w:sz w:val="20"/>
                <w:szCs w:val="20"/>
                <w:color w:val="auto"/>
              </w:rPr>
            </w:pPr>
            <w:r>
              <w:rPr>
                <w:rFonts w:ascii="Arial" w:cs="Arial" w:eastAsia="Arial" w:hAnsi="Arial"/>
                <w:sz w:val="18"/>
                <w:szCs w:val="18"/>
                <w:color w:val="auto"/>
              </w:rPr>
              <w:t>(12.9)</w:t>
            </w:r>
          </w:p>
        </w:tc>
        <w:tc>
          <w:tcPr>
            <w:tcW w:w="1040" w:type="dxa"/>
            <w:vAlign w:val="bottom"/>
            <w:tcBorders>
              <w:right w:val="single" w:sz="8" w:color="CCEEFF"/>
            </w:tcBorders>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37.2</w:t>
            </w:r>
          </w:p>
        </w:tc>
        <w:tc>
          <w:tcPr>
            <w:tcW w:w="5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ind w:right="297"/>
              <w:spacing w:after="0" w:line="202" w:lineRule="exact"/>
              <w:rPr>
                <w:sz w:val="20"/>
                <w:szCs w:val="20"/>
                <w:color w:val="auto"/>
              </w:rPr>
            </w:pPr>
            <w:r>
              <w:rPr>
                <w:rFonts w:ascii="Arial" w:cs="Arial" w:eastAsia="Arial" w:hAnsi="Arial"/>
                <w:sz w:val="18"/>
                <w:szCs w:val="18"/>
                <w:color w:val="auto"/>
              </w:rPr>
              <w:t>28.3</w:t>
            </w:r>
          </w:p>
        </w:tc>
        <w:tc>
          <w:tcPr>
            <w:tcW w:w="1160" w:type="dxa"/>
            <w:vAlign w:val="bottom"/>
            <w:shd w:val="clear" w:color="auto" w:fill="CCEEFF"/>
          </w:tcPr>
          <w:p>
            <w:pPr>
              <w:jc w:val="right"/>
              <w:ind w:right="337"/>
              <w:spacing w:after="0" w:line="202" w:lineRule="exact"/>
              <w:rPr>
                <w:sz w:val="20"/>
                <w:szCs w:val="20"/>
                <w:color w:val="auto"/>
              </w:rPr>
            </w:pPr>
            <w:r>
              <w:rPr>
                <w:rFonts w:ascii="Arial" w:cs="Arial" w:eastAsia="Arial" w:hAnsi="Arial"/>
                <w:sz w:val="18"/>
                <w:szCs w:val="18"/>
                <w:color w:val="auto"/>
              </w:rPr>
              <w:t>11.2</w:t>
            </w:r>
          </w:p>
        </w:tc>
      </w:tr>
      <w:tr>
        <w:trPr>
          <w:trHeight w:val="203"/>
        </w:trPr>
        <w:tc>
          <w:tcPr>
            <w:tcW w:w="688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color w:val="auto"/>
              </w:rPr>
              <w:t>Basic and diluted (loss) earnings per common share</w:t>
            </w:r>
          </w:p>
        </w:tc>
        <w:tc>
          <w:tcPr>
            <w:tcW w:w="1000" w:type="dxa"/>
            <w:vAlign w:val="bottom"/>
            <w:tcBorders>
              <w:bottom w:val="single" w:sz="8" w:color="auto"/>
            </w:tcBorders>
            <w:gridSpan w:val="2"/>
          </w:tcPr>
          <w:p>
            <w:pPr>
              <w:jc w:val="right"/>
              <w:ind w:right="24"/>
              <w:spacing w:after="0" w:line="202" w:lineRule="exact"/>
              <w:rPr>
                <w:sz w:val="20"/>
                <w:szCs w:val="20"/>
                <w:color w:val="auto"/>
              </w:rPr>
            </w:pPr>
            <w:r>
              <w:rPr>
                <w:rFonts w:ascii="Arial" w:cs="Arial" w:eastAsia="Arial" w:hAnsi="Arial"/>
                <w:sz w:val="18"/>
                <w:szCs w:val="18"/>
                <w:color w:val="auto"/>
              </w:rPr>
              <w:t>(0.08)</w:t>
            </w:r>
          </w:p>
        </w:tc>
        <w:tc>
          <w:tcPr>
            <w:tcW w:w="1040" w:type="dxa"/>
            <w:vAlign w:val="bottom"/>
            <w:tcBorders>
              <w:bottom w:val="single" w:sz="8" w:color="auto"/>
            </w:tcBorders>
          </w:tcPr>
          <w:p>
            <w:pPr>
              <w:jc w:val="right"/>
              <w:ind w:right="17"/>
              <w:spacing w:after="0" w:line="202" w:lineRule="exact"/>
              <w:rPr>
                <w:sz w:val="20"/>
                <w:szCs w:val="20"/>
                <w:color w:val="auto"/>
              </w:rPr>
            </w:pPr>
            <w:r>
              <w:rPr>
                <w:rFonts w:ascii="Arial" w:cs="Arial" w:eastAsia="Arial" w:hAnsi="Arial"/>
                <w:sz w:val="18"/>
                <w:szCs w:val="18"/>
                <w:color w:val="auto"/>
              </w:rPr>
              <w:t>0.24</w:t>
            </w:r>
          </w:p>
        </w:tc>
        <w:tc>
          <w:tcPr>
            <w:tcW w:w="5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7"/>
              <w:spacing w:after="0" w:line="202" w:lineRule="exact"/>
              <w:rPr>
                <w:sz w:val="20"/>
                <w:szCs w:val="20"/>
                <w:color w:val="auto"/>
              </w:rPr>
            </w:pPr>
            <w:r>
              <w:rPr>
                <w:rFonts w:ascii="Arial" w:cs="Arial" w:eastAsia="Arial" w:hAnsi="Arial"/>
                <w:sz w:val="18"/>
                <w:szCs w:val="18"/>
                <w:color w:val="auto"/>
              </w:rPr>
              <w:t>0.18</w:t>
            </w:r>
          </w:p>
        </w:tc>
        <w:tc>
          <w:tcPr>
            <w:tcW w:w="1160" w:type="dxa"/>
            <w:vAlign w:val="bottom"/>
            <w:tcBorders>
              <w:bottom w:val="single" w:sz="8" w:color="auto"/>
            </w:tcBorders>
          </w:tcPr>
          <w:p>
            <w:pPr>
              <w:jc w:val="right"/>
              <w:ind w:right="337"/>
              <w:spacing w:after="0" w:line="202" w:lineRule="exact"/>
              <w:rPr>
                <w:sz w:val="20"/>
                <w:szCs w:val="20"/>
                <w:color w:val="auto"/>
              </w:rPr>
            </w:pPr>
            <w:r>
              <w:rPr>
                <w:rFonts w:ascii="Arial" w:cs="Arial" w:eastAsia="Arial" w:hAnsi="Arial"/>
                <w:sz w:val="18"/>
                <w:szCs w:val="18"/>
                <w:color w:val="auto"/>
              </w:rPr>
              <w:t>0.07</w:t>
            </w:r>
          </w:p>
        </w:tc>
      </w:tr>
      <w:tr>
        <w:trPr>
          <w:trHeight w:val="370"/>
        </w:trPr>
        <w:tc>
          <w:tcPr>
            <w:tcW w:w="320" w:type="dxa"/>
            <w:vAlign w:val="bottom"/>
          </w:tcPr>
          <w:p>
            <w:pPr>
              <w:spacing w:after="0"/>
              <w:rPr>
                <w:sz w:val="20"/>
                <w:szCs w:val="20"/>
                <w:color w:val="auto"/>
              </w:rPr>
            </w:pPr>
            <w:r>
              <w:rPr>
                <w:rFonts w:ascii="Arial" w:cs="Arial" w:eastAsia="Arial" w:hAnsi="Arial"/>
                <w:sz w:val="18"/>
                <w:szCs w:val="18"/>
                <w:b w:val="1"/>
                <w:bCs w:val="1"/>
                <w:color w:val="auto"/>
              </w:rPr>
              <w:t>19.</w:t>
            </w:r>
          </w:p>
        </w:tc>
        <w:tc>
          <w:tcPr>
            <w:tcW w:w="6560" w:type="dxa"/>
            <w:vAlign w:val="bottom"/>
          </w:tcPr>
          <w:p>
            <w:pPr>
              <w:ind w:left="120"/>
              <w:spacing w:after="0"/>
              <w:rPr>
                <w:sz w:val="20"/>
                <w:szCs w:val="20"/>
                <w:color w:val="auto"/>
              </w:rPr>
            </w:pPr>
            <w:r>
              <w:rPr>
                <w:rFonts w:ascii="Arial" w:cs="Arial" w:eastAsia="Arial" w:hAnsi="Arial"/>
                <w:sz w:val="18"/>
                <w:szCs w:val="18"/>
                <w:b w:val="1"/>
                <w:bCs w:val="1"/>
                <w:color w:val="auto"/>
              </w:rPr>
              <w:t>Earnings Per Share</w:t>
            </w: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65"/>
        </w:trPr>
        <w:tc>
          <w:tcPr>
            <w:tcW w:w="6880" w:type="dxa"/>
            <w:vAlign w:val="bottom"/>
            <w:gridSpan w:val="2"/>
          </w:tcPr>
          <w:p>
            <w:pPr>
              <w:spacing w:after="0"/>
              <w:rPr>
                <w:sz w:val="20"/>
                <w:szCs w:val="20"/>
                <w:color w:val="auto"/>
              </w:rPr>
            </w:pPr>
            <w:r>
              <w:rPr>
                <w:rFonts w:ascii="Arial" w:cs="Arial" w:eastAsia="Arial" w:hAnsi="Arial"/>
                <w:sz w:val="18"/>
                <w:szCs w:val="18"/>
                <w:color w:val="auto"/>
              </w:rPr>
              <w:t>The computations of earnings per common share were as follows:</w:t>
            </w: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1"/>
        </w:trPr>
        <w:tc>
          <w:tcPr>
            <w:tcW w:w="6880" w:type="dxa"/>
            <w:vAlign w:val="bottom"/>
            <w:tcBorders>
              <w:bottom w:val="single" w:sz="8" w:color="auto"/>
            </w:tcBorders>
            <w:gridSpan w:val="2"/>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385"/>
        </w:trPr>
        <w:tc>
          <w:tcPr>
            <w:tcW w:w="68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i w:val="1"/>
                <w:iCs w:val="1"/>
                <w:color w:val="auto"/>
              </w:rPr>
              <w:t>(In millions, except per share data)</w:t>
            </w:r>
          </w:p>
        </w:tc>
        <w:tc>
          <w:tcPr>
            <w:tcW w:w="68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jc w:val="right"/>
              <w:ind w:right="357"/>
              <w:spacing w:after="0"/>
              <w:rPr>
                <w:sz w:val="20"/>
                <w:szCs w:val="20"/>
                <w:color w:val="auto"/>
              </w:rPr>
            </w:pPr>
            <w:r>
              <w:rPr>
                <w:rFonts w:ascii="Arial" w:cs="Arial" w:eastAsia="Arial" w:hAnsi="Arial"/>
                <w:sz w:val="14"/>
                <w:szCs w:val="14"/>
                <w:i w:val="1"/>
                <w:iCs w:val="1"/>
                <w:color w:val="auto"/>
              </w:rPr>
              <w:t>2011</w:t>
            </w:r>
          </w:p>
        </w:tc>
        <w:tc>
          <w:tcPr>
            <w:tcW w:w="52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jc w:val="right"/>
              <w:ind w:right="337"/>
              <w:spacing w:after="0"/>
              <w:rPr>
                <w:sz w:val="20"/>
                <w:szCs w:val="20"/>
                <w:color w:val="auto"/>
              </w:rPr>
            </w:pPr>
            <w:r>
              <w:rPr>
                <w:rFonts w:ascii="Arial" w:cs="Arial" w:eastAsia="Arial" w:hAnsi="Arial"/>
                <w:sz w:val="14"/>
                <w:szCs w:val="14"/>
                <w:color w:val="auto"/>
              </w:rPr>
              <w:t>2010</w:t>
            </w: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2009</w:t>
            </w:r>
          </w:p>
        </w:tc>
      </w:tr>
      <w:tr>
        <w:trPr>
          <w:trHeight w:val="196"/>
        </w:trPr>
        <w:tc>
          <w:tcPr>
            <w:tcW w:w="6880" w:type="dxa"/>
            <w:vAlign w:val="bottom"/>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Net (loss) income attributable to Home &amp; Security</w:t>
            </w:r>
          </w:p>
        </w:tc>
        <w:tc>
          <w:tcPr>
            <w:tcW w:w="68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jc w:val="right"/>
              <w:ind w:right="297"/>
              <w:spacing w:after="0" w:line="196" w:lineRule="exact"/>
              <w:rPr>
                <w:sz w:val="20"/>
                <w:szCs w:val="20"/>
                <w:color w:val="auto"/>
              </w:rPr>
            </w:pPr>
            <w:r>
              <w:rPr>
                <w:rFonts w:ascii="Arial" w:cs="Arial" w:eastAsia="Arial" w:hAnsi="Arial"/>
                <w:sz w:val="18"/>
                <w:szCs w:val="18"/>
                <w:color w:val="auto"/>
              </w:rPr>
              <w:t>$ (35.6)</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CEEFF"/>
          </w:tcPr>
          <w:p>
            <w:pPr>
              <w:jc w:val="right"/>
              <w:ind w:right="337"/>
              <w:spacing w:after="0" w:line="196" w:lineRule="exact"/>
              <w:rPr>
                <w:sz w:val="20"/>
                <w:szCs w:val="20"/>
                <w:color w:val="auto"/>
              </w:rPr>
            </w:pPr>
            <w:r>
              <w:rPr>
                <w:rFonts w:ascii="Arial" w:cs="Arial" w:eastAsia="Arial" w:hAnsi="Arial"/>
                <w:sz w:val="18"/>
                <w:szCs w:val="18"/>
                <w:color w:val="auto"/>
              </w:rPr>
              <w:t>63.8</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(39.0)</w:t>
            </w:r>
          </w:p>
        </w:tc>
      </w:tr>
      <w:tr>
        <w:trPr>
          <w:trHeight w:val="203"/>
        </w:trPr>
        <w:tc>
          <w:tcPr>
            <w:tcW w:w="68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Basic and diluted (loss) earnings per common share</w:t>
            </w:r>
          </w:p>
        </w:tc>
        <w:tc>
          <w:tcPr>
            <w:tcW w:w="68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Borders>
              <w:right w:val="single" w:sz="8" w:color="auto"/>
            </w:tcBorders>
          </w:tcPr>
          <w:p>
            <w:pPr>
              <w:jc w:val="right"/>
              <w:ind w:right="297"/>
              <w:spacing w:after="0" w:line="202" w:lineRule="exact"/>
              <w:rPr>
                <w:sz w:val="20"/>
                <w:szCs w:val="20"/>
                <w:color w:val="auto"/>
              </w:rPr>
            </w:pPr>
            <w:r>
              <w:rPr>
                <w:rFonts w:ascii="Arial" w:cs="Arial" w:eastAsia="Arial" w:hAnsi="Arial"/>
                <w:sz w:val="18"/>
                <w:szCs w:val="18"/>
                <w:color w:val="auto"/>
              </w:rPr>
              <w:t>$ (0.23)</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337"/>
              <w:spacing w:after="0" w:line="202" w:lineRule="exact"/>
              <w:rPr>
                <w:sz w:val="20"/>
                <w:szCs w:val="20"/>
                <w:color w:val="auto"/>
              </w:rPr>
            </w:pPr>
            <w:r>
              <w:rPr>
                <w:rFonts w:ascii="Arial" w:cs="Arial" w:eastAsia="Arial" w:hAnsi="Arial"/>
                <w:sz w:val="18"/>
                <w:szCs w:val="18"/>
                <w:color w:val="auto"/>
              </w:rPr>
              <w:t>0.41</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 (0.25)</w:t>
            </w:r>
          </w:p>
        </w:tc>
      </w:tr>
      <w:tr>
        <w:trPr>
          <w:trHeight w:val="203"/>
        </w:trPr>
        <w:tc>
          <w:tcPr>
            <w:tcW w:w="68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Basic and diluted average shares outstanding</w:t>
            </w:r>
          </w:p>
        </w:tc>
        <w:tc>
          <w:tcPr>
            <w:tcW w:w="68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jc w:val="right"/>
              <w:ind w:right="357"/>
              <w:spacing w:after="0" w:line="202" w:lineRule="exact"/>
              <w:rPr>
                <w:sz w:val="20"/>
                <w:szCs w:val="20"/>
                <w:color w:val="auto"/>
              </w:rPr>
            </w:pPr>
            <w:r>
              <w:rPr>
                <w:rFonts w:ascii="Arial" w:cs="Arial" w:eastAsia="Arial" w:hAnsi="Arial"/>
                <w:sz w:val="18"/>
                <w:szCs w:val="18"/>
                <w:color w:val="auto"/>
              </w:rPr>
              <w:t>155.2</w:t>
            </w:r>
          </w:p>
        </w:tc>
        <w:tc>
          <w:tcPr>
            <w:tcW w:w="1340" w:type="dxa"/>
            <w:vAlign w:val="bottom"/>
            <w:tcBorders>
              <w:right w:val="single" w:sz="8" w:color="auto"/>
            </w:tcBorders>
            <w:gridSpan w:val="2"/>
            <w:shd w:val="clear" w:color="auto" w:fill="CCEEFF"/>
          </w:tcPr>
          <w:p>
            <w:pPr>
              <w:jc w:val="right"/>
              <w:ind w:right="337"/>
              <w:spacing w:after="0" w:line="202" w:lineRule="exact"/>
              <w:rPr>
                <w:sz w:val="20"/>
                <w:szCs w:val="20"/>
                <w:color w:val="auto"/>
              </w:rPr>
            </w:pPr>
            <w:r>
              <w:rPr>
                <w:rFonts w:ascii="Arial" w:cs="Arial" w:eastAsia="Arial" w:hAnsi="Arial"/>
                <w:sz w:val="18"/>
                <w:szCs w:val="18"/>
                <w:color w:val="auto"/>
              </w:rPr>
              <w:t>155.1</w:t>
            </w:r>
          </w:p>
        </w:tc>
        <w:tc>
          <w:tcPr>
            <w:tcW w:w="116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155.1</w:t>
            </w:r>
          </w:p>
        </w:tc>
      </w:tr>
      <w:tr>
        <w:trPr>
          <w:trHeight w:val="206"/>
        </w:trPr>
        <w:tc>
          <w:tcPr>
            <w:tcW w:w="6880" w:type="dxa"/>
            <w:vAlign w:val="bottom"/>
            <w:gridSpan w:val="2"/>
          </w:tcPr>
          <w:p>
            <w:pPr>
              <w:ind w:left="120"/>
              <w:spacing w:after="0" w:line="206" w:lineRule="exact"/>
              <w:rPr>
                <w:sz w:val="20"/>
                <w:szCs w:val="20"/>
                <w:color w:val="auto"/>
              </w:rPr>
            </w:pPr>
            <w:r>
              <w:rPr>
                <w:rFonts w:ascii="Arial" w:cs="Arial" w:eastAsia="Arial" w:hAnsi="Arial"/>
                <w:sz w:val="18"/>
                <w:szCs w:val="18"/>
                <w:color w:val="auto"/>
              </w:rPr>
              <w:t>Antidilutive stock-based awards excluded from weighted-average number of shares</w:t>
            </w:r>
          </w:p>
        </w:tc>
        <w:tc>
          <w:tcPr>
            <w:tcW w:w="68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r>
      <w:tr>
        <w:trPr>
          <w:trHeight w:val="206"/>
        </w:trPr>
        <w:tc>
          <w:tcPr>
            <w:tcW w:w="320" w:type="dxa"/>
            <w:vAlign w:val="bottom"/>
            <w:tcBorders>
              <w:bottom w:val="single" w:sz="8" w:color="auto"/>
            </w:tcBorders>
          </w:tcPr>
          <w:p>
            <w:pPr>
              <w:spacing w:after="0"/>
              <w:rPr>
                <w:sz w:val="17"/>
                <w:szCs w:val="17"/>
                <w:color w:val="auto"/>
              </w:rPr>
            </w:pPr>
          </w:p>
        </w:tc>
        <w:tc>
          <w:tcPr>
            <w:tcW w:w="656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outstanding for diluted earnings per share</w:t>
            </w:r>
          </w:p>
        </w:tc>
        <w:tc>
          <w:tcPr>
            <w:tcW w:w="68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jc w:val="right"/>
              <w:ind w:right="357"/>
              <w:spacing w:after="0" w:line="200" w:lineRule="exact"/>
              <w:rPr>
                <w:sz w:val="20"/>
                <w:szCs w:val="20"/>
                <w:color w:val="auto"/>
              </w:rPr>
            </w:pPr>
            <w:r>
              <w:rPr>
                <w:rFonts w:ascii="Arial" w:cs="Arial" w:eastAsia="Arial" w:hAnsi="Arial"/>
                <w:sz w:val="18"/>
                <w:szCs w:val="18"/>
                <w:color w:val="auto"/>
              </w:rPr>
              <w:t>22.1</w:t>
            </w:r>
          </w:p>
        </w:tc>
        <w:tc>
          <w:tcPr>
            <w:tcW w:w="52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jc w:val="right"/>
              <w:ind w:right="337"/>
              <w:spacing w:after="0" w:line="200"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w:t>
            </w:r>
          </w:p>
        </w:tc>
      </w:tr>
    </w:tbl>
    <w:p>
      <w:pPr>
        <w:spacing w:after="0" w:line="16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Prior to the Separation, the total number of outstanding shares of the Company’s common stock increased significantly. On September 27, 2011, the Separation was accomplished by increasing the total number issued and outstanding shares such that 155,052,629 shares of Home &amp; Security common stock were available for distribution to the holders of common stock of our Former Parent. Basic and diluted earnings per common share and the average number of common shares outstanding were retrospectively restated adjusting the number of shares of Home &amp; Security common stock for the stock split. Prior to the Separation, the same number of shares was used to calculate basic and diluted earnings per share since no Home &amp; Security stock-based awards were outstanding prior to the Separation. Stock-based awards were antidilutive in 2011 due to the Company’s net loss.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40" w:hanging="432"/>
        <w:spacing w:after="0"/>
        <w:tabs>
          <w:tab w:leader="none" w:pos="4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Other Expense (Income), Net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expense (income), net, for the years ended December 31, 2011, 2010 and 2009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405"/>
        </w:trPr>
        <w:tc>
          <w:tcPr>
            <w:tcW w:w="5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i w:val="1"/>
                <w:iCs w:val="1"/>
                <w:color w:val="auto"/>
              </w:rPr>
              <w:t>(In millions)</w:t>
            </w:r>
          </w:p>
        </w:tc>
        <w:tc>
          <w:tcPr>
            <w:tcW w:w="3260" w:type="dxa"/>
            <w:vAlign w:val="bottom"/>
            <w:tcBorders>
              <w:top w:val="single" w:sz="8" w:color="auto"/>
              <w:bottom w:val="single" w:sz="8" w:color="auto"/>
              <w:right w:val="single" w:sz="8" w:color="auto"/>
            </w:tcBorders>
          </w:tcPr>
          <w:p>
            <w:pPr>
              <w:jc w:val="right"/>
              <w:ind w:right="337"/>
              <w:spacing w:after="0"/>
              <w:rPr>
                <w:sz w:val="20"/>
                <w:szCs w:val="20"/>
                <w:color w:val="auto"/>
              </w:rPr>
            </w:pPr>
            <w:r>
              <w:rPr>
                <w:rFonts w:ascii="Arial" w:cs="Arial" w:eastAsia="Arial" w:hAnsi="Arial"/>
                <w:sz w:val="14"/>
                <w:szCs w:val="14"/>
                <w:i w:val="1"/>
                <w:iCs w:val="1"/>
                <w:color w:val="auto"/>
              </w:rPr>
              <w:t>2011</w:t>
            </w:r>
          </w:p>
        </w:tc>
        <w:tc>
          <w:tcPr>
            <w:tcW w:w="1460" w:type="dxa"/>
            <w:vAlign w:val="bottom"/>
            <w:tcBorders>
              <w:top w:val="single" w:sz="8" w:color="auto"/>
              <w:bottom w:val="single" w:sz="8" w:color="auto"/>
              <w:right w:val="single" w:sz="8" w:color="auto"/>
            </w:tcBorders>
          </w:tcPr>
          <w:p>
            <w:pPr>
              <w:jc w:val="right"/>
              <w:ind w:right="457"/>
              <w:spacing w:after="0"/>
              <w:rPr>
                <w:sz w:val="20"/>
                <w:szCs w:val="20"/>
                <w:color w:val="auto"/>
              </w:rPr>
            </w:pPr>
            <w:r>
              <w:rPr>
                <w:rFonts w:ascii="Arial" w:cs="Arial" w:eastAsia="Arial" w:hAnsi="Arial"/>
                <w:sz w:val="14"/>
                <w:szCs w:val="14"/>
                <w:color w:val="auto"/>
              </w:rPr>
              <w:t>2010</w:t>
            </w:r>
          </w:p>
        </w:tc>
        <w:tc>
          <w:tcPr>
            <w:tcW w:w="9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4"/>
                <w:szCs w:val="14"/>
                <w:color w:val="auto"/>
              </w:rPr>
              <w:t>2009</w:t>
            </w:r>
          </w:p>
        </w:tc>
      </w:tr>
      <w:tr>
        <w:trPr>
          <w:trHeight w:val="196"/>
        </w:trPr>
        <w:tc>
          <w:tcPr>
            <w:tcW w:w="5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Foreign currency transaction losses (gains)</w:t>
            </w:r>
          </w:p>
        </w:tc>
        <w:tc>
          <w:tcPr>
            <w:tcW w:w="3260" w:type="dxa"/>
            <w:vAlign w:val="bottom"/>
            <w:tcBorders>
              <w:right w:val="single" w:sz="8" w:color="auto"/>
            </w:tcBorders>
            <w:shd w:val="clear" w:color="auto" w:fill="CCEEFF"/>
          </w:tcPr>
          <w:p>
            <w:pPr>
              <w:jc w:val="right"/>
              <w:ind w:right="337"/>
              <w:spacing w:after="0" w:line="196" w:lineRule="exact"/>
              <w:rPr>
                <w:sz w:val="20"/>
                <w:szCs w:val="20"/>
                <w:color w:val="auto"/>
              </w:rPr>
            </w:pPr>
            <w:r>
              <w:rPr>
                <w:rFonts w:ascii="Arial" w:cs="Arial" w:eastAsia="Arial" w:hAnsi="Arial"/>
                <w:sz w:val="18"/>
                <w:szCs w:val="18"/>
                <w:color w:val="auto"/>
              </w:rPr>
              <w:t>$ 2.7</w:t>
            </w:r>
          </w:p>
        </w:tc>
        <w:tc>
          <w:tcPr>
            <w:tcW w:w="1460" w:type="dxa"/>
            <w:vAlign w:val="bottom"/>
            <w:tcBorders>
              <w:right w:val="single" w:sz="8" w:color="auto"/>
            </w:tcBorders>
            <w:shd w:val="clear" w:color="auto" w:fill="CCEEFF"/>
          </w:tcPr>
          <w:p>
            <w:pPr>
              <w:jc w:val="right"/>
              <w:ind w:right="397"/>
              <w:spacing w:after="0" w:line="196" w:lineRule="exact"/>
              <w:rPr>
                <w:sz w:val="20"/>
                <w:szCs w:val="20"/>
                <w:color w:val="auto"/>
              </w:rPr>
            </w:pPr>
            <w:r>
              <w:rPr>
                <w:rFonts w:ascii="Arial" w:cs="Arial" w:eastAsia="Arial" w:hAnsi="Arial"/>
                <w:sz w:val="18"/>
                <w:szCs w:val="18"/>
                <w:color w:val="auto"/>
              </w:rPr>
              <w:t>$(0.5)</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3"/>
        </w:trPr>
        <w:tc>
          <w:tcPr>
            <w:tcW w:w="57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items, net</w:t>
            </w:r>
          </w:p>
        </w:tc>
        <w:tc>
          <w:tcPr>
            <w:tcW w:w="3260" w:type="dxa"/>
            <w:vAlign w:val="bottom"/>
            <w:tcBorders>
              <w:bottom w:val="single" w:sz="8" w:color="auto"/>
              <w:right w:val="single" w:sz="8" w:color="auto"/>
            </w:tcBorders>
          </w:tcPr>
          <w:p>
            <w:pPr>
              <w:jc w:val="right"/>
              <w:ind w:right="277"/>
              <w:spacing w:after="0" w:line="202" w:lineRule="exact"/>
              <w:rPr>
                <w:sz w:val="20"/>
                <w:szCs w:val="20"/>
                <w:color w:val="auto"/>
              </w:rPr>
            </w:pPr>
            <w:r>
              <w:rPr>
                <w:rFonts w:ascii="Arial" w:cs="Arial" w:eastAsia="Arial" w:hAnsi="Arial"/>
                <w:sz w:val="18"/>
                <w:szCs w:val="18"/>
                <w:color w:val="auto"/>
              </w:rPr>
              <w:t>(1.1)</w:t>
            </w:r>
          </w:p>
        </w:tc>
        <w:tc>
          <w:tcPr>
            <w:tcW w:w="1460" w:type="dxa"/>
            <w:vAlign w:val="bottom"/>
            <w:tcBorders>
              <w:bottom w:val="single" w:sz="8" w:color="auto"/>
              <w:right w:val="single" w:sz="8" w:color="auto"/>
            </w:tcBorders>
          </w:tcPr>
          <w:p>
            <w:pPr>
              <w:jc w:val="right"/>
              <w:ind w:right="397"/>
              <w:spacing w:after="0" w:line="202" w:lineRule="exact"/>
              <w:rPr>
                <w:sz w:val="20"/>
                <w:szCs w:val="20"/>
                <w:color w:val="auto"/>
              </w:rPr>
            </w:pPr>
            <w:r>
              <w:rPr>
                <w:rFonts w:ascii="Arial" w:cs="Arial" w:eastAsia="Arial" w:hAnsi="Arial"/>
                <w:sz w:val="18"/>
                <w:szCs w:val="18"/>
                <w:color w:val="auto"/>
              </w:rPr>
              <w:t>(0.5)</w:t>
            </w:r>
          </w:p>
        </w:tc>
        <w:tc>
          <w:tcPr>
            <w:tcW w:w="920" w:type="dxa"/>
            <w:vAlign w:val="bottom"/>
            <w:tcBorders>
              <w:bottom w:val="single" w:sz="8" w:color="auto"/>
            </w:tcBorders>
          </w:tcPr>
          <w:p>
            <w:pPr>
              <w:jc w:val="right"/>
              <w:ind w:right="17"/>
              <w:spacing w:after="0" w:line="202" w:lineRule="exact"/>
              <w:rPr>
                <w:sz w:val="20"/>
                <w:szCs w:val="20"/>
                <w:color w:val="auto"/>
              </w:rPr>
            </w:pPr>
            <w:r>
              <w:rPr>
                <w:rFonts w:ascii="Arial" w:cs="Arial" w:eastAsia="Arial" w:hAnsi="Arial"/>
                <w:sz w:val="18"/>
                <w:szCs w:val="18"/>
                <w:color w:val="auto"/>
              </w:rPr>
              <w:t>0.2</w:t>
            </w:r>
          </w:p>
        </w:tc>
      </w:tr>
      <w:tr>
        <w:trPr>
          <w:trHeight w:val="203"/>
        </w:trPr>
        <w:tc>
          <w:tcPr>
            <w:tcW w:w="57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other expense (income), net</w:t>
            </w:r>
          </w:p>
        </w:tc>
        <w:tc>
          <w:tcPr>
            <w:tcW w:w="3260" w:type="dxa"/>
            <w:vAlign w:val="bottom"/>
            <w:tcBorders>
              <w:bottom w:val="single" w:sz="8" w:color="auto"/>
              <w:right w:val="single" w:sz="8" w:color="auto"/>
            </w:tcBorders>
            <w:shd w:val="clear" w:color="auto" w:fill="CCEEFF"/>
          </w:tcPr>
          <w:p>
            <w:pPr>
              <w:jc w:val="right"/>
              <w:ind w:right="337"/>
              <w:spacing w:after="0" w:line="196" w:lineRule="exact"/>
              <w:rPr>
                <w:sz w:val="20"/>
                <w:szCs w:val="20"/>
                <w:color w:val="auto"/>
              </w:rPr>
            </w:pPr>
            <w:r>
              <w:rPr>
                <w:rFonts w:ascii="Arial" w:cs="Arial" w:eastAsia="Arial" w:hAnsi="Arial"/>
                <w:sz w:val="18"/>
                <w:szCs w:val="18"/>
                <w:color w:val="auto"/>
              </w:rPr>
              <w:t>$ 1.6</w:t>
            </w:r>
          </w:p>
        </w:tc>
        <w:tc>
          <w:tcPr>
            <w:tcW w:w="1460" w:type="dxa"/>
            <w:vAlign w:val="bottom"/>
            <w:tcBorders>
              <w:bottom w:val="single" w:sz="8" w:color="auto"/>
              <w:right w:val="single" w:sz="8" w:color="auto"/>
            </w:tcBorders>
            <w:shd w:val="clear" w:color="auto" w:fill="CCEEFF"/>
          </w:tcPr>
          <w:p>
            <w:pPr>
              <w:jc w:val="right"/>
              <w:ind w:right="397"/>
              <w:spacing w:after="0" w:line="196" w:lineRule="exact"/>
              <w:rPr>
                <w:sz w:val="20"/>
                <w:szCs w:val="20"/>
                <w:color w:val="auto"/>
              </w:rPr>
            </w:pPr>
            <w:r>
              <w:rPr>
                <w:rFonts w:ascii="Arial" w:cs="Arial" w:eastAsia="Arial" w:hAnsi="Arial"/>
                <w:sz w:val="18"/>
                <w:szCs w:val="18"/>
                <w:color w:val="auto"/>
              </w:rPr>
              <w:t>$(1.0)</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r>
    </w:tbl>
    <w:p>
      <w:pPr>
        <w:spacing w:after="0" w:line="143" w:lineRule="exact"/>
        <w:rPr>
          <w:sz w:val="20"/>
          <w:szCs w:val="20"/>
          <w:color w:val="auto"/>
        </w:rPr>
      </w:pPr>
    </w:p>
    <w:p>
      <w:pPr>
        <w:ind w:left="440" w:hanging="432"/>
        <w:spacing w:after="0"/>
        <w:tabs>
          <w:tab w:leader="none" w:pos="4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w:t>
      </w:r>
    </w:p>
    <w:p>
      <w:pPr>
        <w:spacing w:after="0" w:line="180"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Total accumulated other comprehensive income consists of net income (loss) and other changes in business equity from transactions and other events from sources other than shareholders. It includes currency translation gains and losses, unrealized gains and losses from derivative instruments designated as cash flow hedges, and defined benefit plan adjustments. The components of and changes in accumulated other comprehensive income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18"/>
              <w:spacing w:after="0"/>
              <w:rPr>
                <w:sz w:val="20"/>
                <w:szCs w:val="20"/>
                <w:color w:val="auto"/>
              </w:rPr>
            </w:pPr>
            <w:r>
              <w:rPr>
                <w:rFonts w:ascii="Arial" w:cs="Arial" w:eastAsia="Arial" w:hAnsi="Arial"/>
                <w:sz w:val="14"/>
                <w:szCs w:val="14"/>
                <w:color w:val="auto"/>
              </w:rPr>
              <w:t>Accumulated</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0" w:type="dxa"/>
            <w:vAlign w:val="bottom"/>
          </w:tcPr>
          <w:p>
            <w:pPr>
              <w:jc w:val="right"/>
              <w:ind w:right="317"/>
              <w:spacing w:after="0" w:line="149" w:lineRule="exact"/>
              <w:rPr>
                <w:sz w:val="20"/>
                <w:szCs w:val="20"/>
                <w:color w:val="auto"/>
              </w:rPr>
            </w:pPr>
            <w:r>
              <w:rPr>
                <w:rFonts w:ascii="Arial" w:cs="Arial" w:eastAsia="Arial" w:hAnsi="Arial"/>
                <w:sz w:val="14"/>
                <w:szCs w:val="14"/>
                <w:color w:val="auto"/>
              </w:rPr>
              <w:t>Foreign</w:t>
            </w:r>
          </w:p>
        </w:tc>
        <w:tc>
          <w:tcPr>
            <w:tcW w:w="520" w:type="dxa"/>
            <w:vAlign w:val="bottom"/>
          </w:tcPr>
          <w:p>
            <w:pPr>
              <w:spacing w:after="0"/>
              <w:rPr>
                <w:sz w:val="12"/>
                <w:szCs w:val="12"/>
                <w:color w:val="auto"/>
              </w:rPr>
            </w:pPr>
          </w:p>
        </w:tc>
        <w:tc>
          <w:tcPr>
            <w:tcW w:w="940" w:type="dxa"/>
            <w:vAlign w:val="bottom"/>
          </w:tcPr>
          <w:p>
            <w:pPr>
              <w:jc w:val="right"/>
              <w:ind w:right="295"/>
              <w:spacing w:after="0" w:line="149" w:lineRule="exact"/>
              <w:rPr>
                <w:sz w:val="20"/>
                <w:szCs w:val="20"/>
                <w:color w:val="auto"/>
              </w:rPr>
            </w:pPr>
            <w:r>
              <w:rPr>
                <w:rFonts w:ascii="Arial" w:cs="Arial" w:eastAsia="Arial" w:hAnsi="Arial"/>
                <w:sz w:val="14"/>
                <w:szCs w:val="14"/>
                <w:color w:val="auto"/>
              </w:rPr>
              <w:t>Defined</w:t>
            </w:r>
          </w:p>
        </w:tc>
        <w:tc>
          <w:tcPr>
            <w:tcW w:w="440" w:type="dxa"/>
            <w:vAlign w:val="bottom"/>
          </w:tcPr>
          <w:p>
            <w:pPr>
              <w:spacing w:after="0"/>
              <w:rPr>
                <w:sz w:val="12"/>
                <w:szCs w:val="12"/>
                <w:color w:val="auto"/>
              </w:rPr>
            </w:pPr>
          </w:p>
        </w:tc>
        <w:tc>
          <w:tcPr>
            <w:tcW w:w="980" w:type="dxa"/>
            <w:vAlign w:val="bottom"/>
          </w:tcPr>
          <w:p>
            <w:pPr>
              <w:jc w:val="right"/>
              <w:ind w:right="297"/>
              <w:spacing w:after="0" w:line="149" w:lineRule="exact"/>
              <w:rPr>
                <w:sz w:val="20"/>
                <w:szCs w:val="20"/>
                <w:color w:val="auto"/>
              </w:rPr>
            </w:pPr>
            <w:r>
              <w:rPr>
                <w:rFonts w:ascii="Arial" w:cs="Arial" w:eastAsia="Arial" w:hAnsi="Arial"/>
                <w:sz w:val="14"/>
                <w:szCs w:val="14"/>
                <w:color w:val="auto"/>
                <w:w w:val="93"/>
              </w:rPr>
              <w:t>Derivative</w:t>
            </w:r>
          </w:p>
        </w:tc>
        <w:tc>
          <w:tcPr>
            <w:tcW w:w="440" w:type="dxa"/>
            <w:vAlign w:val="bottom"/>
          </w:tcPr>
          <w:p>
            <w:pPr>
              <w:spacing w:after="0"/>
              <w:rPr>
                <w:sz w:val="12"/>
                <w:szCs w:val="12"/>
                <w:color w:val="auto"/>
              </w:rPr>
            </w:pPr>
          </w:p>
        </w:tc>
        <w:tc>
          <w:tcPr>
            <w:tcW w:w="960" w:type="dxa"/>
            <w:vAlign w:val="bottom"/>
          </w:tcPr>
          <w:p>
            <w:pPr>
              <w:jc w:val="right"/>
              <w:ind w:right="18"/>
              <w:spacing w:after="0" w:line="149" w:lineRule="exact"/>
              <w:rPr>
                <w:sz w:val="20"/>
                <w:szCs w:val="20"/>
                <w:color w:val="auto"/>
              </w:rPr>
            </w:pPr>
            <w:r>
              <w:rPr>
                <w:rFonts w:ascii="Arial" w:cs="Arial" w:eastAsia="Arial" w:hAnsi="Arial"/>
                <w:sz w:val="14"/>
                <w:szCs w:val="14"/>
                <w:color w:val="auto"/>
              </w:rPr>
              <w:t>Other</w:t>
            </w:r>
          </w:p>
        </w:tc>
        <w:tc>
          <w:tcPr>
            <w:tcW w:w="0" w:type="dxa"/>
            <w:vAlign w:val="bottom"/>
          </w:tcPr>
          <w:p>
            <w:pPr>
              <w:spacing w:after="0"/>
              <w:rPr>
                <w:sz w:val="1"/>
                <w:szCs w:val="1"/>
                <w:color w:val="auto"/>
              </w:rPr>
            </w:pPr>
          </w:p>
        </w:tc>
      </w:tr>
      <w:tr>
        <w:trPr>
          <w:trHeight w:val="149"/>
        </w:trPr>
        <w:tc>
          <w:tcPr>
            <w:tcW w:w="420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940" w:type="dxa"/>
            <w:vAlign w:val="bottom"/>
          </w:tcPr>
          <w:p>
            <w:pPr>
              <w:spacing w:after="0"/>
              <w:rPr>
                <w:sz w:val="12"/>
                <w:szCs w:val="12"/>
                <w:color w:val="auto"/>
              </w:rPr>
            </w:pPr>
          </w:p>
        </w:tc>
        <w:tc>
          <w:tcPr>
            <w:tcW w:w="1000" w:type="dxa"/>
            <w:vAlign w:val="bottom"/>
          </w:tcPr>
          <w:p>
            <w:pPr>
              <w:jc w:val="right"/>
              <w:ind w:right="317"/>
              <w:spacing w:after="0" w:line="149" w:lineRule="exact"/>
              <w:rPr>
                <w:sz w:val="20"/>
                <w:szCs w:val="20"/>
                <w:color w:val="auto"/>
              </w:rPr>
            </w:pPr>
            <w:r>
              <w:rPr>
                <w:rFonts w:ascii="Arial" w:cs="Arial" w:eastAsia="Arial" w:hAnsi="Arial"/>
                <w:sz w:val="14"/>
                <w:szCs w:val="14"/>
                <w:color w:val="auto"/>
              </w:rPr>
              <w:t>Currency</w:t>
            </w:r>
          </w:p>
        </w:tc>
        <w:tc>
          <w:tcPr>
            <w:tcW w:w="1460" w:type="dxa"/>
            <w:vAlign w:val="bottom"/>
            <w:gridSpan w:val="2"/>
          </w:tcPr>
          <w:p>
            <w:pPr>
              <w:jc w:val="right"/>
              <w:ind w:right="295"/>
              <w:spacing w:after="0" w:line="149" w:lineRule="exact"/>
              <w:rPr>
                <w:sz w:val="20"/>
                <w:szCs w:val="20"/>
                <w:color w:val="auto"/>
              </w:rPr>
            </w:pPr>
            <w:r>
              <w:rPr>
                <w:rFonts w:ascii="Arial" w:cs="Arial" w:eastAsia="Arial" w:hAnsi="Arial"/>
                <w:sz w:val="14"/>
                <w:szCs w:val="14"/>
                <w:color w:val="auto"/>
              </w:rPr>
              <w:t>Benefit Plan</w:t>
            </w:r>
          </w:p>
        </w:tc>
        <w:tc>
          <w:tcPr>
            <w:tcW w:w="440" w:type="dxa"/>
            <w:vAlign w:val="bottom"/>
          </w:tcPr>
          <w:p>
            <w:pPr>
              <w:spacing w:after="0"/>
              <w:rPr>
                <w:sz w:val="12"/>
                <w:szCs w:val="12"/>
                <w:color w:val="auto"/>
              </w:rPr>
            </w:pPr>
          </w:p>
        </w:tc>
        <w:tc>
          <w:tcPr>
            <w:tcW w:w="980" w:type="dxa"/>
            <w:vAlign w:val="bottom"/>
          </w:tcPr>
          <w:p>
            <w:pPr>
              <w:jc w:val="right"/>
              <w:ind w:right="297"/>
              <w:spacing w:after="0" w:line="149" w:lineRule="exact"/>
              <w:rPr>
                <w:sz w:val="20"/>
                <w:szCs w:val="20"/>
                <w:color w:val="auto"/>
              </w:rPr>
            </w:pPr>
            <w:r>
              <w:rPr>
                <w:rFonts w:ascii="Arial" w:cs="Arial" w:eastAsia="Arial" w:hAnsi="Arial"/>
                <w:sz w:val="14"/>
                <w:szCs w:val="14"/>
                <w:color w:val="auto"/>
              </w:rPr>
              <w:t>Hedging</w:t>
            </w:r>
          </w:p>
        </w:tc>
        <w:tc>
          <w:tcPr>
            <w:tcW w:w="1400" w:type="dxa"/>
            <w:vAlign w:val="bottom"/>
            <w:gridSpan w:val="2"/>
          </w:tcPr>
          <w:p>
            <w:pPr>
              <w:jc w:val="right"/>
              <w:ind w:right="18"/>
              <w:spacing w:after="0" w:line="149" w:lineRule="exact"/>
              <w:rPr>
                <w:sz w:val="20"/>
                <w:szCs w:val="20"/>
                <w:color w:val="auto"/>
              </w:rPr>
            </w:pPr>
            <w:r>
              <w:rPr>
                <w:rFonts w:ascii="Arial" w:cs="Arial" w:eastAsia="Arial" w:hAnsi="Arial"/>
                <w:sz w:val="14"/>
                <w:szCs w:val="14"/>
                <w:color w:val="auto"/>
              </w:rPr>
              <w:t>Comprehensive</w:t>
            </w:r>
          </w:p>
        </w:tc>
        <w:tc>
          <w:tcPr>
            <w:tcW w:w="0" w:type="dxa"/>
            <w:vAlign w:val="bottom"/>
          </w:tcPr>
          <w:p>
            <w:pPr>
              <w:spacing w:after="0"/>
              <w:rPr>
                <w:sz w:val="1"/>
                <w:szCs w:val="1"/>
                <w:color w:val="auto"/>
              </w:rPr>
            </w:pPr>
          </w:p>
        </w:tc>
      </w:tr>
      <w:tr>
        <w:trPr>
          <w:trHeight w:val="149"/>
        </w:trPr>
        <w:tc>
          <w:tcPr>
            <w:tcW w:w="4200" w:type="dxa"/>
            <w:vAlign w:val="bottom"/>
            <w:tcBorders>
              <w:bottom w:val="single" w:sz="8" w:color="auto"/>
            </w:tcBorders>
            <w:vMerge w:val="continue"/>
          </w:tcPr>
          <w:p>
            <w:pPr>
              <w:spacing w:after="0"/>
              <w:rPr>
                <w:sz w:val="12"/>
                <w:szCs w:val="12"/>
                <w:color w:val="auto"/>
              </w:rPr>
            </w:pPr>
          </w:p>
        </w:tc>
        <w:tc>
          <w:tcPr>
            <w:tcW w:w="2940" w:type="dxa"/>
            <w:vAlign w:val="bottom"/>
            <w:tcBorders>
              <w:bottom w:val="single" w:sz="8" w:color="auto"/>
            </w:tcBorders>
            <w:gridSpan w:val="2"/>
          </w:tcPr>
          <w:p>
            <w:pPr>
              <w:jc w:val="right"/>
              <w:ind w:right="317"/>
              <w:spacing w:after="0" w:line="149" w:lineRule="exact"/>
              <w:rPr>
                <w:sz w:val="20"/>
                <w:szCs w:val="20"/>
                <w:color w:val="auto"/>
              </w:rPr>
            </w:pPr>
            <w:r>
              <w:rPr>
                <w:rFonts w:ascii="Arial" w:cs="Arial" w:eastAsia="Arial" w:hAnsi="Arial"/>
                <w:sz w:val="14"/>
                <w:szCs w:val="14"/>
                <w:color w:val="auto"/>
              </w:rPr>
              <w:t>Adjustments</w:t>
            </w:r>
          </w:p>
        </w:tc>
        <w:tc>
          <w:tcPr>
            <w:tcW w:w="1460" w:type="dxa"/>
            <w:vAlign w:val="bottom"/>
            <w:tcBorders>
              <w:bottom w:val="single" w:sz="8" w:color="auto"/>
            </w:tcBorders>
            <w:gridSpan w:val="2"/>
          </w:tcPr>
          <w:p>
            <w:pPr>
              <w:jc w:val="right"/>
              <w:ind w:right="295"/>
              <w:spacing w:after="0" w:line="149" w:lineRule="exact"/>
              <w:rPr>
                <w:sz w:val="20"/>
                <w:szCs w:val="20"/>
                <w:color w:val="auto"/>
              </w:rPr>
            </w:pPr>
            <w:r>
              <w:rPr>
                <w:rFonts w:ascii="Arial" w:cs="Arial" w:eastAsia="Arial" w:hAnsi="Arial"/>
                <w:sz w:val="14"/>
                <w:szCs w:val="14"/>
                <w:color w:val="auto"/>
              </w:rPr>
              <w:t>Adjustments</w:t>
            </w:r>
          </w:p>
        </w:tc>
        <w:tc>
          <w:tcPr>
            <w:tcW w:w="1420" w:type="dxa"/>
            <w:vAlign w:val="bottom"/>
            <w:tcBorders>
              <w:bottom w:val="single" w:sz="8" w:color="auto"/>
            </w:tcBorders>
            <w:gridSpan w:val="2"/>
          </w:tcPr>
          <w:p>
            <w:pPr>
              <w:jc w:val="right"/>
              <w:ind w:right="297"/>
              <w:spacing w:after="0" w:line="149" w:lineRule="exact"/>
              <w:rPr>
                <w:sz w:val="20"/>
                <w:szCs w:val="20"/>
                <w:color w:val="auto"/>
              </w:rPr>
            </w:pPr>
            <w:r>
              <w:rPr>
                <w:rFonts w:ascii="Arial" w:cs="Arial" w:eastAsia="Arial" w:hAnsi="Arial"/>
                <w:sz w:val="14"/>
                <w:szCs w:val="14"/>
                <w:color w:val="auto"/>
              </w:rPr>
              <w:t>Gain (Loss)</w:t>
            </w:r>
          </w:p>
        </w:tc>
        <w:tc>
          <w:tcPr>
            <w:tcW w:w="4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8"/>
              <w:spacing w:after="0" w:line="149" w:lineRule="exact"/>
              <w:rPr>
                <w:sz w:val="20"/>
                <w:szCs w:val="20"/>
                <w:color w:val="auto"/>
              </w:rPr>
            </w:pPr>
            <w:r>
              <w:rPr>
                <w:rFonts w:ascii="Arial" w:cs="Arial" w:eastAsia="Arial" w:hAnsi="Arial"/>
                <w:sz w:val="14"/>
                <w:szCs w:val="14"/>
                <w:color w:val="auto"/>
                <w:w w:val="94"/>
              </w:rPr>
              <w:t>Income/(Loss)</w:t>
            </w:r>
          </w:p>
        </w:tc>
        <w:tc>
          <w:tcPr>
            <w:tcW w:w="0" w:type="dxa"/>
            <w:vAlign w:val="bottom"/>
          </w:tcPr>
          <w:p>
            <w:pPr>
              <w:spacing w:after="0"/>
              <w:rPr>
                <w:sz w:val="1"/>
                <w:szCs w:val="1"/>
                <w:color w:val="auto"/>
              </w:rPr>
            </w:pPr>
          </w:p>
        </w:tc>
      </w:tr>
      <w:tr>
        <w:trPr>
          <w:trHeight w:val="196"/>
        </w:trPr>
        <w:tc>
          <w:tcPr>
            <w:tcW w:w="4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December 31, 2008</w:t>
            </w:r>
          </w:p>
        </w:tc>
        <w:tc>
          <w:tcPr>
            <w:tcW w:w="1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7"/>
              <w:spacing w:after="0" w:line="196" w:lineRule="exact"/>
              <w:rPr>
                <w:sz w:val="20"/>
                <w:szCs w:val="20"/>
                <w:color w:val="auto"/>
              </w:rPr>
            </w:pPr>
            <w:r>
              <w:rPr>
                <w:rFonts w:ascii="Arial" w:cs="Arial" w:eastAsia="Arial" w:hAnsi="Arial"/>
                <w:sz w:val="18"/>
                <w:szCs w:val="18"/>
                <w:color w:val="auto"/>
              </w:rPr>
              <w:t>20.3</w:t>
            </w:r>
          </w:p>
        </w:tc>
        <w:tc>
          <w:tcPr>
            <w:tcW w:w="520" w:type="dxa"/>
            <w:vAlign w:val="bottom"/>
            <w:shd w:val="clear" w:color="auto" w:fill="CCEEFF"/>
          </w:tcPr>
          <w:p>
            <w:pPr>
              <w:jc w:val="right"/>
              <w:ind w:right="22"/>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35"/>
              <w:spacing w:after="0" w:line="196" w:lineRule="exact"/>
              <w:rPr>
                <w:sz w:val="20"/>
                <w:szCs w:val="20"/>
                <w:color w:val="auto"/>
              </w:rPr>
            </w:pPr>
            <w:r>
              <w:rPr>
                <w:rFonts w:ascii="Arial" w:cs="Arial" w:eastAsia="Arial" w:hAnsi="Arial"/>
                <w:sz w:val="18"/>
                <w:szCs w:val="18"/>
                <w:color w:val="auto"/>
              </w:rPr>
              <w:t>(31.3)</w:t>
            </w: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97"/>
              <w:spacing w:after="0" w:line="196" w:lineRule="exact"/>
              <w:rPr>
                <w:sz w:val="20"/>
                <w:szCs w:val="20"/>
                <w:color w:val="auto"/>
              </w:rPr>
            </w:pPr>
            <w:r>
              <w:rPr>
                <w:rFonts w:ascii="Arial" w:cs="Arial" w:eastAsia="Arial" w:hAnsi="Arial"/>
                <w:sz w:val="18"/>
                <w:szCs w:val="18"/>
                <w:color w:val="auto"/>
              </w:rPr>
              <w:t>4.3</w:t>
            </w: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3"/>
        </w:trPr>
        <w:tc>
          <w:tcPr>
            <w:tcW w:w="42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Changes during year</w:t>
            </w:r>
          </w:p>
        </w:tc>
        <w:tc>
          <w:tcPr>
            <w:tcW w:w="19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7"/>
              <w:spacing w:after="0" w:line="202" w:lineRule="exact"/>
              <w:rPr>
                <w:sz w:val="20"/>
                <w:szCs w:val="20"/>
                <w:color w:val="auto"/>
              </w:rPr>
            </w:pPr>
            <w:r>
              <w:rPr>
                <w:rFonts w:ascii="Arial" w:cs="Arial" w:eastAsia="Arial" w:hAnsi="Arial"/>
                <w:sz w:val="18"/>
                <w:szCs w:val="18"/>
                <w:color w:val="auto"/>
              </w:rPr>
              <w:t>31.2</w:t>
            </w: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5"/>
              <w:spacing w:after="0" w:line="202" w:lineRule="exact"/>
              <w:rPr>
                <w:sz w:val="20"/>
                <w:szCs w:val="20"/>
                <w:color w:val="auto"/>
              </w:rPr>
            </w:pPr>
            <w:r>
              <w:rPr>
                <w:rFonts w:ascii="Arial" w:cs="Arial" w:eastAsia="Arial" w:hAnsi="Arial"/>
                <w:sz w:val="18"/>
                <w:szCs w:val="18"/>
                <w:color w:val="auto"/>
              </w:rPr>
              <w:t>1.9</w:t>
            </w: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37"/>
              <w:spacing w:after="0" w:line="202" w:lineRule="exact"/>
              <w:rPr>
                <w:sz w:val="20"/>
                <w:szCs w:val="20"/>
                <w:color w:val="auto"/>
              </w:rPr>
            </w:pPr>
            <w:r>
              <w:rPr>
                <w:rFonts w:ascii="Arial" w:cs="Arial" w:eastAsia="Arial" w:hAnsi="Arial"/>
                <w:sz w:val="18"/>
                <w:szCs w:val="18"/>
                <w:color w:val="auto"/>
              </w:rPr>
              <w:t>(3.6)</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8"/>
              <w:spacing w:after="0" w:line="202" w:lineRule="exact"/>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196"/>
        </w:trPr>
        <w:tc>
          <w:tcPr>
            <w:tcW w:w="4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December 31, 2009</w:t>
            </w:r>
          </w:p>
        </w:tc>
        <w:tc>
          <w:tcPr>
            <w:tcW w:w="19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17"/>
              <w:spacing w:after="0" w:line="196" w:lineRule="exact"/>
              <w:rPr>
                <w:sz w:val="20"/>
                <w:szCs w:val="20"/>
                <w:color w:val="auto"/>
              </w:rPr>
            </w:pPr>
            <w:r>
              <w:rPr>
                <w:rFonts w:ascii="Arial" w:cs="Arial" w:eastAsia="Arial" w:hAnsi="Arial"/>
                <w:sz w:val="18"/>
                <w:szCs w:val="18"/>
                <w:color w:val="auto"/>
              </w:rPr>
              <w:t>51.5</w:t>
            </w: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35"/>
              <w:spacing w:after="0" w:line="196" w:lineRule="exact"/>
              <w:rPr>
                <w:sz w:val="20"/>
                <w:szCs w:val="20"/>
                <w:color w:val="auto"/>
              </w:rPr>
            </w:pPr>
            <w:r>
              <w:rPr>
                <w:rFonts w:ascii="Arial" w:cs="Arial" w:eastAsia="Arial" w:hAnsi="Arial"/>
                <w:sz w:val="18"/>
                <w:szCs w:val="18"/>
                <w:color w:val="auto"/>
              </w:rPr>
              <w:t>(29.4)</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97"/>
              <w:spacing w:after="0" w:line="196" w:lineRule="exact"/>
              <w:rPr>
                <w:sz w:val="20"/>
                <w:szCs w:val="20"/>
                <w:color w:val="auto"/>
              </w:rPr>
            </w:pPr>
            <w:r>
              <w:rPr>
                <w:rFonts w:ascii="Arial" w:cs="Arial" w:eastAsia="Arial" w:hAnsi="Arial"/>
                <w:sz w:val="18"/>
                <w:szCs w:val="18"/>
                <w:color w:val="auto"/>
              </w:rPr>
              <w:t>0.7</w:t>
            </w: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8"/>
              <w:spacing w:after="0" w:line="196" w:lineRule="exact"/>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3"/>
        </w:trPr>
        <w:tc>
          <w:tcPr>
            <w:tcW w:w="42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Changes during year</w:t>
            </w:r>
          </w:p>
        </w:tc>
        <w:tc>
          <w:tcPr>
            <w:tcW w:w="19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7"/>
              <w:spacing w:after="0" w:line="202" w:lineRule="exact"/>
              <w:rPr>
                <w:sz w:val="20"/>
                <w:szCs w:val="20"/>
                <w:color w:val="auto"/>
              </w:rPr>
            </w:pPr>
            <w:r>
              <w:rPr>
                <w:rFonts w:ascii="Arial" w:cs="Arial" w:eastAsia="Arial" w:hAnsi="Arial"/>
                <w:sz w:val="18"/>
                <w:szCs w:val="18"/>
                <w:color w:val="auto"/>
              </w:rPr>
              <w:t>5.4</w:t>
            </w: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5"/>
              <w:spacing w:after="0" w:line="202" w:lineRule="exact"/>
              <w:rPr>
                <w:sz w:val="20"/>
                <w:szCs w:val="20"/>
                <w:color w:val="auto"/>
              </w:rPr>
            </w:pPr>
            <w:r>
              <w:rPr>
                <w:rFonts w:ascii="Arial" w:cs="Arial" w:eastAsia="Arial" w:hAnsi="Arial"/>
                <w:sz w:val="18"/>
                <w:szCs w:val="18"/>
                <w:color w:val="auto"/>
              </w:rPr>
              <w:t>0.8</w:t>
            </w: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7"/>
              <w:spacing w:after="0" w:line="202" w:lineRule="exact"/>
              <w:rPr>
                <w:sz w:val="20"/>
                <w:szCs w:val="20"/>
                <w:color w:val="auto"/>
              </w:rPr>
            </w:pPr>
            <w:r>
              <w:rPr>
                <w:rFonts w:ascii="Arial" w:cs="Arial" w:eastAsia="Arial" w:hAnsi="Arial"/>
                <w:sz w:val="18"/>
                <w:szCs w:val="18"/>
                <w:color w:val="auto"/>
              </w:rPr>
              <w:t>0.5</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8"/>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4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December 31, 2010</w:t>
            </w:r>
          </w:p>
        </w:tc>
        <w:tc>
          <w:tcPr>
            <w:tcW w:w="19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17"/>
              <w:spacing w:after="0" w:line="196" w:lineRule="exact"/>
              <w:rPr>
                <w:sz w:val="20"/>
                <w:szCs w:val="20"/>
                <w:color w:val="auto"/>
              </w:rPr>
            </w:pPr>
            <w:r>
              <w:rPr>
                <w:rFonts w:ascii="Arial" w:cs="Arial" w:eastAsia="Arial" w:hAnsi="Arial"/>
                <w:sz w:val="18"/>
                <w:szCs w:val="18"/>
                <w:color w:val="auto"/>
              </w:rPr>
              <w:t>56.9</w:t>
            </w: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35"/>
              <w:spacing w:after="0" w:line="196" w:lineRule="exact"/>
              <w:rPr>
                <w:sz w:val="20"/>
                <w:szCs w:val="20"/>
                <w:color w:val="auto"/>
              </w:rPr>
            </w:pPr>
            <w:r>
              <w:rPr>
                <w:rFonts w:ascii="Arial" w:cs="Arial" w:eastAsia="Arial" w:hAnsi="Arial"/>
                <w:sz w:val="18"/>
                <w:szCs w:val="18"/>
                <w:color w:val="auto"/>
              </w:rPr>
              <w:t>(28.6)</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97"/>
              <w:spacing w:after="0" w:line="196" w:lineRule="exact"/>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8"/>
              <w:spacing w:after="0" w:line="196" w:lineRule="exact"/>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3"/>
        </w:trPr>
        <w:tc>
          <w:tcPr>
            <w:tcW w:w="42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Changes during year</w:t>
            </w:r>
          </w:p>
        </w:tc>
        <w:tc>
          <w:tcPr>
            <w:tcW w:w="19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57"/>
              <w:spacing w:after="0" w:line="202" w:lineRule="exact"/>
              <w:rPr>
                <w:sz w:val="20"/>
                <w:szCs w:val="20"/>
                <w:color w:val="auto"/>
              </w:rPr>
            </w:pPr>
            <w:r>
              <w:rPr>
                <w:rFonts w:ascii="Arial" w:cs="Arial" w:eastAsia="Arial" w:hAnsi="Arial"/>
                <w:sz w:val="18"/>
                <w:szCs w:val="18"/>
                <w:color w:val="auto"/>
              </w:rPr>
              <w:t>(1.8)</w:t>
            </w: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5"/>
              <w:spacing w:after="0" w:line="202" w:lineRule="exact"/>
              <w:rPr>
                <w:sz w:val="20"/>
                <w:szCs w:val="20"/>
                <w:color w:val="auto"/>
              </w:rPr>
            </w:pPr>
            <w:r>
              <w:rPr>
                <w:rFonts w:ascii="Arial" w:cs="Arial" w:eastAsia="Arial" w:hAnsi="Arial"/>
                <w:sz w:val="18"/>
                <w:szCs w:val="18"/>
                <w:color w:val="auto"/>
              </w:rPr>
              <w:t>(16.4)</w:t>
            </w: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37"/>
              <w:spacing w:after="0" w:line="202" w:lineRule="exact"/>
              <w:rPr>
                <w:sz w:val="20"/>
                <w:szCs w:val="20"/>
                <w:color w:val="auto"/>
              </w:rPr>
            </w:pPr>
            <w:r>
              <w:rPr>
                <w:rFonts w:ascii="Arial" w:cs="Arial" w:eastAsia="Arial" w:hAnsi="Arial"/>
                <w:sz w:val="18"/>
                <w:szCs w:val="18"/>
                <w:color w:val="auto"/>
              </w:rPr>
              <w:t>(0.7)</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3"/>
        </w:trPr>
        <w:tc>
          <w:tcPr>
            <w:tcW w:w="4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December 31, 2011</w:t>
            </w:r>
          </w:p>
        </w:tc>
        <w:tc>
          <w:tcPr>
            <w:tcW w:w="1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17"/>
              <w:spacing w:after="0" w:line="196" w:lineRule="exact"/>
              <w:rPr>
                <w:sz w:val="20"/>
                <w:szCs w:val="20"/>
                <w:color w:val="auto"/>
              </w:rPr>
            </w:pPr>
            <w:r>
              <w:rPr>
                <w:rFonts w:ascii="Arial" w:cs="Arial" w:eastAsia="Arial" w:hAnsi="Arial"/>
                <w:sz w:val="18"/>
                <w:szCs w:val="18"/>
                <w:color w:val="auto"/>
              </w:rPr>
              <w:t>55.1</w:t>
            </w:r>
          </w:p>
        </w:tc>
        <w:tc>
          <w:tcPr>
            <w:tcW w:w="520" w:type="dxa"/>
            <w:vAlign w:val="bottom"/>
            <w:tcBorders>
              <w:bottom w:val="single" w:sz="8" w:color="auto"/>
            </w:tcBorders>
            <w:shd w:val="clear" w:color="auto" w:fill="CCEEFF"/>
          </w:tcPr>
          <w:p>
            <w:pPr>
              <w:jc w:val="right"/>
              <w:ind w:right="22"/>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235"/>
              <w:spacing w:after="0" w:line="196" w:lineRule="exact"/>
              <w:rPr>
                <w:sz w:val="20"/>
                <w:szCs w:val="20"/>
                <w:color w:val="auto"/>
              </w:rPr>
            </w:pPr>
            <w:r>
              <w:rPr>
                <w:rFonts w:ascii="Arial" w:cs="Arial" w:eastAsia="Arial" w:hAnsi="Arial"/>
                <w:sz w:val="18"/>
                <w:szCs w:val="18"/>
                <w:color w:val="auto"/>
              </w:rPr>
              <w:t>(45.0)</w:t>
            </w: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297"/>
              <w:spacing w:after="0" w:line="196" w:lineRule="exact"/>
              <w:rPr>
                <w:sz w:val="20"/>
                <w:szCs w:val="20"/>
                <w:color w:val="auto"/>
              </w:rPr>
            </w:pPr>
            <w:r>
              <w:rPr>
                <w:rFonts w:ascii="Arial" w:cs="Arial" w:eastAsia="Arial" w:hAnsi="Arial"/>
                <w:sz w:val="18"/>
                <w:szCs w:val="18"/>
                <w:color w:val="auto"/>
              </w:rPr>
              <w:t>0.5</w:t>
            </w: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8"/>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9760" w:firstLine="8"/>
        <w:spacing w:after="0" w:line="490" w:lineRule="auto"/>
        <w:tabs>
          <w:tab w:leader="none" w:pos="439"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Contingencies Litigation</w:t>
      </w:r>
    </w:p>
    <w:p>
      <w:pPr>
        <w:ind w:right="420"/>
        <w:spacing w:after="0" w:line="275" w:lineRule="auto"/>
        <w:rPr>
          <w:sz w:val="20"/>
          <w:szCs w:val="20"/>
          <w:color w:val="auto"/>
        </w:rPr>
      </w:pPr>
      <w:r>
        <w:rPr>
          <w:rFonts w:ascii="Arial" w:cs="Arial" w:eastAsia="Arial" w:hAnsi="Arial"/>
          <w:sz w:val="16"/>
          <w:szCs w:val="16"/>
          <w:color w:val="auto"/>
        </w:rPr>
        <w:t>The Company is a defendant in lawsuits associated with the normal conduct of its businesses and operations. It is not possible to predict the outcome of the pending actions, and, as with any litigation, it is possible that these actions could be decided unfavorably to the Company. The Company believes that there are meritorious defenses to these actions and that these actions will not have a material adverse effect upon the Company’s results of operations, cash flows or financial condition, and, where appropriate, these actions are being vigorously contested.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180" w:lineRule="exact"/>
        <w:rPr>
          <w:sz w:val="20"/>
          <w:szCs w:val="20"/>
          <w:color w:val="auto"/>
        </w:rPr>
      </w:pPr>
    </w:p>
    <w:p>
      <w:pPr>
        <w:ind w:right="200"/>
        <w:spacing w:after="0" w:line="269" w:lineRule="auto"/>
        <w:rPr>
          <w:sz w:val="20"/>
          <w:szCs w:val="20"/>
          <w:color w:val="auto"/>
        </w:rPr>
      </w:pPr>
      <w:r>
        <w:rPr>
          <w:rFonts w:ascii="Arial" w:cs="Arial" w:eastAsia="Arial" w:hAnsi="Arial"/>
          <w:sz w:val="16"/>
          <w:szCs w:val="16"/>
          <w:color w:val="auto"/>
        </w:rPr>
        <w:t>Compliance with federal, state and local laws regulating the discharge of materials into the environment, or otherwise relating to the protection of the environment, did not have a material effect on capital expenditures, earnings or the competitive position of Home &amp; Security. Several of our subsidiaries have been designated as potentially responsible parties (“PRP”) under “Superfund” or similar state laws. As of December 31, 2011, eight instances have not been dismissed, settled or otherwise resolved. In most instances where our subsidiaries are named as a PRP, we enter into cost-sharing arrangements with other PRPs. We give notice to insurance carriers of potential PRP liability, but very rarely, if ever, receive reimbursement from insurance for PRP costs. We believe that the cost of complying with the present environmental protection laws, before considering estimated recoveries either from other PRPs or insurance, will not have a material adverse effect on our results of operations, cash flows or financial condition. At December 31, 2011 and 2010, we had accruals of $7.9 million and $8.2 million, respectively, relating to environmental compliance and clean up including, but not limited to, the above mentioned Superfund sites.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the Board of Directors and Shareholders of Fortune Brands Home &amp; Security, Inc.:</w:t>
      </w:r>
    </w:p>
    <w:p>
      <w:pPr>
        <w:spacing w:after="0" w:line="176"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In our opinion, the consolidated financial statements listed in the index appearing under Item 15(a)(1) present fairly, in all material respects, the financial position of Fortune Brands Home &amp; Security, Inc. and its subsidiaries at December 31, 2011 and 2010, and the results of their operations and their cash flows for each of the three years in the period ended December 31, 2011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36"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As discussed in Note 2 to the consolidated financial statements, in 2011 the Company has changed its method of accounting for defined benefit costs. All periods have been retroactively restated for this accounting change.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4" w:lineRule="auto"/>
        <w:rPr>
          <w:sz w:val="20"/>
          <w:szCs w:val="20"/>
          <w:color w:val="auto"/>
        </w:rPr>
      </w:pPr>
      <w:r>
        <w:rPr>
          <w:rFonts w:ascii="Arial" w:cs="Arial" w:eastAsia="Arial" w:hAnsi="Arial"/>
          <w:sz w:val="18"/>
          <w:szCs w:val="18"/>
          <w:color w:val="auto"/>
        </w:rPr>
        <w:t>Chicago, Illinois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2012</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 Evaluationof Disclosure Controls and Procedures.</w:t>
      </w:r>
    </w:p>
    <w:p>
      <w:pPr>
        <w:spacing w:after="0" w:line="15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Company’s management has evaluated, with the participation of the Company’s Chief Executive Officer and Chief Financial Officer, the effectiveness of the Company’s disclosure controls and procedures (as defined in Rules 13a-15(e) and 15d-15(e) under the Exchange Act) as of the end of the period covered by this report. Based on that evaluation, the Chief Executive Officer and the Chief Financial Officer have concluded that the Company’s disclosure controls and procedures were effective as of the end of the period covered by this report.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(b) Management’sReport on Internal Control Over Financial Reporting; Report of the Registered Public Accounting Firm.</w:t>
      </w:r>
    </w:p>
    <w:p>
      <w:pPr>
        <w:spacing w:after="0" w:line="15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or an attestation report of PricewaterhouseCoopers LLP, the Company’s registered public accounting firm, due to a transition period established by rules of the SEC for newly public companies.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(c) Changesin Internal Control Over Financial Reporting.</w:t>
      </w:r>
    </w:p>
    <w:p>
      <w:pPr>
        <w:spacing w:after="0" w:line="15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There have not been any changes in the Company’s internal control over financial reporting that occurred during the Company’s fiscal quarter ended December 31, 2011 that have materially affected, or are reasonably likely to materially affect,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0"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See the information under the captions “Election of Directors,” “Board Committees — Audit Committee” and “Section 16(a) Beneficial Ownership Reporting Compliance” contained in the 2012 Proxy Statement, which information is incorporated herein by reference. See the information under the caption “Executive Officers of the Registrant” contained in Item 4A of Part I of this Annual Report on Form 10-K.</w:t>
      </w:r>
    </w:p>
    <w:p>
      <w:pPr>
        <w:spacing w:after="0" w:line="154"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The Company’s Board of Directors has adopted a Code of Ethics for Senior Financial Officers that applies to the Company’s principal executive officer, principal financial officer and principal accounting officer. The Code of Ethics for Senior Financial Officers is available, free of charge, on the Company’s website, http://ir.fbhs.com/governance.cfm. A copy of the Code of Ethics for Senior Financial Officers is also available and will be sent to shareholders free of charge upon written request to the Company’s Secretary. Any amendment to, or waiver from, the provisions of the Code of Ethics for Senior Financial Officers that applies to any of those officers will be posted to the same location on the Company’s website.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0" w:lineRule="exact"/>
        <w:rPr>
          <w:sz w:val="20"/>
          <w:szCs w:val="20"/>
          <w:color w:val="auto"/>
        </w:rPr>
      </w:pPr>
    </w:p>
    <w:p>
      <w:pPr>
        <w:jc w:val="both"/>
        <w:ind w:right="400"/>
        <w:spacing w:after="0" w:line="238" w:lineRule="auto"/>
        <w:rPr>
          <w:sz w:val="20"/>
          <w:szCs w:val="20"/>
          <w:color w:val="auto"/>
        </w:rPr>
      </w:pPr>
      <w:r>
        <w:rPr>
          <w:rFonts w:ascii="Arial" w:cs="Arial" w:eastAsia="Arial" w:hAnsi="Arial"/>
          <w:sz w:val="18"/>
          <w:szCs w:val="18"/>
          <w:color w:val="auto"/>
        </w:rPr>
        <w:t>See the information under the captions “Board Committees — Compensation and Stock Option Committee,” “2011 Executive Compensation,” “Compensation Discussion and Analysis” and “Compensation Committee Report” contained in the 2012 Proxy Statement, which information is incorporated herein by reference.</w:t>
      </w:r>
    </w:p>
    <w:p>
      <w:pPr>
        <w:spacing w:after="0" w:line="17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Equity Compensation Plan Information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40" w:type="dxa"/>
            <w:vAlign w:val="bottom"/>
          </w:tcPr>
          <w:p>
            <w:pPr>
              <w:jc w:val="right"/>
              <w:ind w:right="107"/>
              <w:spacing w:after="0"/>
              <w:rPr>
                <w:sz w:val="20"/>
                <w:szCs w:val="20"/>
                <w:color w:val="auto"/>
              </w:rPr>
            </w:pPr>
            <w:r>
              <w:rPr>
                <w:rFonts w:ascii="Arial" w:cs="Arial" w:eastAsia="Arial" w:hAnsi="Arial"/>
                <w:sz w:val="14"/>
                <w:szCs w:val="14"/>
                <w:color w:val="auto"/>
              </w:rPr>
              <w:t>Number of securities</w:t>
            </w:r>
          </w:p>
        </w:tc>
      </w:tr>
      <w:tr>
        <w:trPr>
          <w:trHeight w:val="149"/>
        </w:trPr>
        <w:tc>
          <w:tcPr>
            <w:tcW w:w="33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640" w:type="dxa"/>
            <w:vAlign w:val="bottom"/>
          </w:tcPr>
          <w:p>
            <w:pPr>
              <w:jc w:val="right"/>
              <w:ind w:right="107"/>
              <w:spacing w:after="0" w:line="149" w:lineRule="exact"/>
              <w:rPr>
                <w:sz w:val="20"/>
                <w:szCs w:val="20"/>
                <w:color w:val="auto"/>
              </w:rPr>
            </w:pPr>
            <w:r>
              <w:rPr>
                <w:rFonts w:ascii="Arial" w:cs="Arial" w:eastAsia="Arial" w:hAnsi="Arial"/>
                <w:sz w:val="14"/>
                <w:szCs w:val="14"/>
                <w:color w:val="auto"/>
              </w:rPr>
              <w:t>remaining available for</w:t>
            </w:r>
          </w:p>
        </w:tc>
      </w:tr>
      <w:tr>
        <w:trPr>
          <w:trHeight w:val="149"/>
        </w:trPr>
        <w:tc>
          <w:tcPr>
            <w:tcW w:w="3300" w:type="dxa"/>
            <w:vAlign w:val="bottom"/>
          </w:tcPr>
          <w:p>
            <w:pPr>
              <w:spacing w:after="0"/>
              <w:rPr>
                <w:sz w:val="12"/>
                <w:szCs w:val="12"/>
                <w:color w:val="auto"/>
              </w:rPr>
            </w:pPr>
          </w:p>
        </w:tc>
        <w:tc>
          <w:tcPr>
            <w:tcW w:w="2800" w:type="dxa"/>
            <w:vAlign w:val="bottom"/>
          </w:tcPr>
          <w:p>
            <w:pPr>
              <w:jc w:val="right"/>
              <w:ind w:right="745"/>
              <w:spacing w:after="0" w:line="149" w:lineRule="exact"/>
              <w:rPr>
                <w:sz w:val="20"/>
                <w:szCs w:val="20"/>
                <w:color w:val="auto"/>
              </w:rPr>
            </w:pPr>
            <w:r>
              <w:rPr>
                <w:rFonts w:ascii="Arial" w:cs="Arial" w:eastAsia="Arial" w:hAnsi="Arial"/>
                <w:sz w:val="14"/>
                <w:szCs w:val="14"/>
                <w:color w:val="auto"/>
              </w:rPr>
              <w:t>Number of securities to be</w:t>
            </w:r>
          </w:p>
        </w:tc>
        <w:tc>
          <w:tcPr>
            <w:tcW w:w="820" w:type="dxa"/>
            <w:vAlign w:val="bottom"/>
          </w:tcPr>
          <w:p>
            <w:pPr>
              <w:spacing w:after="0"/>
              <w:rPr>
                <w:sz w:val="12"/>
                <w:szCs w:val="12"/>
                <w:color w:val="auto"/>
              </w:rPr>
            </w:pPr>
          </w:p>
        </w:tc>
        <w:tc>
          <w:tcPr>
            <w:tcW w:w="1860" w:type="dxa"/>
            <w:vAlign w:val="bottom"/>
          </w:tcPr>
          <w:p>
            <w:pPr>
              <w:jc w:val="right"/>
              <w:ind w:right="620"/>
              <w:spacing w:after="0" w:line="149" w:lineRule="exact"/>
              <w:rPr>
                <w:sz w:val="20"/>
                <w:szCs w:val="20"/>
                <w:color w:val="auto"/>
              </w:rPr>
            </w:pPr>
            <w:r>
              <w:rPr>
                <w:rFonts w:ascii="Arial" w:cs="Arial" w:eastAsia="Arial" w:hAnsi="Arial"/>
                <w:sz w:val="14"/>
                <w:szCs w:val="14"/>
                <w:color w:val="auto"/>
                <w:w w:val="99"/>
              </w:rPr>
              <w:t>Weighted-average</w:t>
            </w:r>
          </w:p>
        </w:tc>
        <w:tc>
          <w:tcPr>
            <w:tcW w:w="2640" w:type="dxa"/>
            <w:vAlign w:val="bottom"/>
          </w:tcPr>
          <w:p>
            <w:pPr>
              <w:jc w:val="right"/>
              <w:ind w:right="107"/>
              <w:spacing w:after="0" w:line="149" w:lineRule="exact"/>
              <w:rPr>
                <w:sz w:val="20"/>
                <w:szCs w:val="20"/>
                <w:color w:val="auto"/>
              </w:rPr>
            </w:pPr>
            <w:r>
              <w:rPr>
                <w:rFonts w:ascii="Arial" w:cs="Arial" w:eastAsia="Arial" w:hAnsi="Arial"/>
                <w:sz w:val="14"/>
                <w:szCs w:val="14"/>
                <w:color w:val="auto"/>
              </w:rPr>
              <w:t>future issuance under equity</w:t>
            </w:r>
          </w:p>
        </w:tc>
      </w:tr>
      <w:tr>
        <w:trPr>
          <w:trHeight w:val="149"/>
        </w:trPr>
        <w:tc>
          <w:tcPr>
            <w:tcW w:w="3300" w:type="dxa"/>
            <w:vAlign w:val="bottom"/>
          </w:tcPr>
          <w:p>
            <w:pPr>
              <w:spacing w:after="0"/>
              <w:rPr>
                <w:sz w:val="12"/>
                <w:szCs w:val="12"/>
                <w:color w:val="auto"/>
              </w:rPr>
            </w:pPr>
          </w:p>
        </w:tc>
        <w:tc>
          <w:tcPr>
            <w:tcW w:w="2800" w:type="dxa"/>
            <w:vAlign w:val="bottom"/>
          </w:tcPr>
          <w:p>
            <w:pPr>
              <w:jc w:val="right"/>
              <w:ind w:right="745"/>
              <w:spacing w:after="0" w:line="149" w:lineRule="exact"/>
              <w:rPr>
                <w:sz w:val="20"/>
                <w:szCs w:val="20"/>
                <w:color w:val="auto"/>
              </w:rPr>
            </w:pPr>
            <w:r>
              <w:rPr>
                <w:rFonts w:ascii="Arial" w:cs="Arial" w:eastAsia="Arial" w:hAnsi="Arial"/>
                <w:sz w:val="14"/>
                <w:szCs w:val="14"/>
                <w:color w:val="auto"/>
              </w:rPr>
              <w:t>issued upon exercise of</w:t>
            </w:r>
          </w:p>
        </w:tc>
        <w:tc>
          <w:tcPr>
            <w:tcW w:w="820" w:type="dxa"/>
            <w:vAlign w:val="bottom"/>
          </w:tcPr>
          <w:p>
            <w:pPr>
              <w:spacing w:after="0"/>
              <w:rPr>
                <w:sz w:val="12"/>
                <w:szCs w:val="12"/>
                <w:color w:val="auto"/>
              </w:rPr>
            </w:pPr>
          </w:p>
        </w:tc>
        <w:tc>
          <w:tcPr>
            <w:tcW w:w="1860" w:type="dxa"/>
            <w:vAlign w:val="bottom"/>
          </w:tcPr>
          <w:p>
            <w:pPr>
              <w:jc w:val="right"/>
              <w:ind w:right="620"/>
              <w:spacing w:after="0" w:line="149" w:lineRule="exact"/>
              <w:rPr>
                <w:sz w:val="20"/>
                <w:szCs w:val="20"/>
                <w:color w:val="auto"/>
              </w:rPr>
            </w:pPr>
            <w:r>
              <w:rPr>
                <w:rFonts w:ascii="Arial" w:cs="Arial" w:eastAsia="Arial" w:hAnsi="Arial"/>
                <w:sz w:val="14"/>
                <w:szCs w:val="14"/>
                <w:color w:val="auto"/>
              </w:rPr>
              <w:t>exercise price of</w:t>
            </w:r>
          </w:p>
        </w:tc>
        <w:tc>
          <w:tcPr>
            <w:tcW w:w="2640" w:type="dxa"/>
            <w:vAlign w:val="bottom"/>
          </w:tcPr>
          <w:p>
            <w:pPr>
              <w:jc w:val="right"/>
              <w:ind w:right="107"/>
              <w:spacing w:after="0" w:line="149" w:lineRule="exact"/>
              <w:rPr>
                <w:sz w:val="20"/>
                <w:szCs w:val="20"/>
                <w:color w:val="auto"/>
              </w:rPr>
            </w:pPr>
            <w:r>
              <w:rPr>
                <w:rFonts w:ascii="Arial" w:cs="Arial" w:eastAsia="Arial" w:hAnsi="Arial"/>
                <w:sz w:val="14"/>
                <w:szCs w:val="14"/>
                <w:color w:val="auto"/>
              </w:rPr>
              <w:t>compensation plans</w:t>
            </w:r>
          </w:p>
        </w:tc>
      </w:tr>
      <w:tr>
        <w:trPr>
          <w:trHeight w:val="128"/>
        </w:trPr>
        <w:tc>
          <w:tcPr>
            <w:tcW w:w="3300" w:type="dxa"/>
            <w:vAlign w:val="bottom"/>
          </w:tcPr>
          <w:p>
            <w:pPr>
              <w:spacing w:after="0"/>
              <w:rPr>
                <w:sz w:val="11"/>
                <w:szCs w:val="11"/>
                <w:color w:val="auto"/>
              </w:rPr>
            </w:pPr>
          </w:p>
        </w:tc>
        <w:tc>
          <w:tcPr>
            <w:tcW w:w="2800" w:type="dxa"/>
            <w:vAlign w:val="bottom"/>
          </w:tcPr>
          <w:p>
            <w:pPr>
              <w:jc w:val="right"/>
              <w:ind w:right="745"/>
              <w:spacing w:after="0" w:line="129" w:lineRule="exact"/>
              <w:rPr>
                <w:sz w:val="20"/>
                <w:szCs w:val="20"/>
                <w:color w:val="auto"/>
              </w:rPr>
            </w:pPr>
            <w:r>
              <w:rPr>
                <w:rFonts w:ascii="Arial" w:cs="Arial" w:eastAsia="Arial" w:hAnsi="Arial"/>
                <w:sz w:val="14"/>
                <w:szCs w:val="14"/>
                <w:color w:val="auto"/>
              </w:rPr>
              <w:t>outstanding options,</w:t>
            </w:r>
          </w:p>
        </w:tc>
        <w:tc>
          <w:tcPr>
            <w:tcW w:w="2680" w:type="dxa"/>
            <w:vAlign w:val="bottom"/>
            <w:gridSpan w:val="2"/>
          </w:tcPr>
          <w:p>
            <w:pPr>
              <w:jc w:val="right"/>
              <w:ind w:right="620"/>
              <w:spacing w:after="0" w:line="129" w:lineRule="exact"/>
              <w:rPr>
                <w:sz w:val="20"/>
                <w:szCs w:val="20"/>
                <w:color w:val="auto"/>
              </w:rPr>
            </w:pPr>
            <w:r>
              <w:rPr>
                <w:rFonts w:ascii="Arial" w:cs="Arial" w:eastAsia="Arial" w:hAnsi="Arial"/>
                <w:sz w:val="14"/>
                <w:szCs w:val="14"/>
                <w:color w:val="auto"/>
              </w:rPr>
              <w:t>outstanding options,</w:t>
            </w:r>
          </w:p>
        </w:tc>
        <w:tc>
          <w:tcPr>
            <w:tcW w:w="2640" w:type="dxa"/>
            <w:vAlign w:val="bottom"/>
          </w:tcPr>
          <w:p>
            <w:pPr>
              <w:jc w:val="right"/>
              <w:ind w:right="107"/>
              <w:spacing w:after="0" w:line="129" w:lineRule="exact"/>
              <w:rPr>
                <w:sz w:val="20"/>
                <w:szCs w:val="20"/>
                <w:color w:val="auto"/>
              </w:rPr>
            </w:pPr>
            <w:r>
              <w:rPr>
                <w:rFonts w:ascii="Arial" w:cs="Arial" w:eastAsia="Arial" w:hAnsi="Arial"/>
                <w:sz w:val="14"/>
                <w:szCs w:val="14"/>
                <w:color w:val="auto"/>
              </w:rPr>
              <w:t>(excluding securities</w:t>
            </w:r>
          </w:p>
        </w:tc>
      </w:tr>
      <w:tr>
        <w:trPr>
          <w:trHeight w:val="169"/>
        </w:trPr>
        <w:tc>
          <w:tcPr>
            <w:tcW w:w="3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Plan Category</w:t>
            </w:r>
          </w:p>
        </w:tc>
        <w:tc>
          <w:tcPr>
            <w:tcW w:w="2800" w:type="dxa"/>
            <w:vAlign w:val="bottom"/>
            <w:tcBorders>
              <w:bottom w:val="single" w:sz="8" w:color="auto"/>
            </w:tcBorders>
          </w:tcPr>
          <w:p>
            <w:pPr>
              <w:jc w:val="right"/>
              <w:ind w:right="745"/>
              <w:spacing w:after="0" w:line="170" w:lineRule="exact"/>
              <w:rPr>
                <w:sz w:val="20"/>
                <w:szCs w:val="20"/>
                <w:color w:val="auto"/>
              </w:rPr>
            </w:pPr>
            <w:r>
              <w:rPr>
                <w:rFonts w:ascii="Arial" w:cs="Arial" w:eastAsia="Arial" w:hAnsi="Arial"/>
                <w:sz w:val="12"/>
                <w:szCs w:val="12"/>
                <w:color w:val="auto"/>
              </w:rPr>
              <w:t>warrants and rights</w:t>
            </w:r>
            <w:r>
              <w:rPr>
                <w:rFonts w:ascii="Arial" w:cs="Arial" w:eastAsia="Arial" w:hAnsi="Arial"/>
                <w:sz w:val="19"/>
                <w:szCs w:val="19"/>
                <w:color w:val="auto"/>
                <w:vertAlign w:val="superscript"/>
              </w:rPr>
              <w:t>(a)</w:t>
            </w:r>
          </w:p>
        </w:tc>
        <w:tc>
          <w:tcPr>
            <w:tcW w:w="2680" w:type="dxa"/>
            <w:vAlign w:val="bottom"/>
            <w:tcBorders>
              <w:bottom w:val="single" w:sz="8" w:color="auto"/>
            </w:tcBorders>
            <w:gridSpan w:val="2"/>
          </w:tcPr>
          <w:p>
            <w:pPr>
              <w:jc w:val="right"/>
              <w:ind w:right="620"/>
              <w:spacing w:after="0" w:line="170" w:lineRule="exact"/>
              <w:rPr>
                <w:sz w:val="20"/>
                <w:szCs w:val="20"/>
                <w:color w:val="auto"/>
              </w:rPr>
            </w:pPr>
            <w:r>
              <w:rPr>
                <w:rFonts w:ascii="Arial" w:cs="Arial" w:eastAsia="Arial" w:hAnsi="Arial"/>
                <w:sz w:val="12"/>
                <w:szCs w:val="12"/>
                <w:color w:val="auto"/>
              </w:rPr>
              <w:t>warrants and rights</w:t>
            </w:r>
            <w:r>
              <w:rPr>
                <w:rFonts w:ascii="Arial" w:cs="Arial" w:eastAsia="Arial" w:hAnsi="Arial"/>
                <w:sz w:val="19"/>
                <w:szCs w:val="19"/>
                <w:color w:val="auto"/>
                <w:vertAlign w:val="superscript"/>
              </w:rPr>
              <w:t>(b)</w:t>
            </w:r>
          </w:p>
        </w:tc>
        <w:tc>
          <w:tcPr>
            <w:tcW w:w="2640" w:type="dxa"/>
            <w:vAlign w:val="bottom"/>
            <w:tcBorders>
              <w:bottom w:val="single" w:sz="8" w:color="auto"/>
            </w:tcBorders>
          </w:tcPr>
          <w:p>
            <w:pPr>
              <w:jc w:val="right"/>
              <w:ind w:right="107"/>
              <w:spacing w:after="0" w:line="170" w:lineRule="exact"/>
              <w:rPr>
                <w:sz w:val="20"/>
                <w:szCs w:val="20"/>
                <w:color w:val="auto"/>
              </w:rPr>
            </w:pPr>
            <w:r>
              <w:rPr>
                <w:rFonts w:ascii="Arial" w:cs="Arial" w:eastAsia="Arial" w:hAnsi="Arial"/>
                <w:sz w:val="12"/>
                <w:szCs w:val="12"/>
                <w:color w:val="auto"/>
              </w:rPr>
              <w:t>reflected in column (a))</w:t>
            </w:r>
            <w:r>
              <w:rPr>
                <w:rFonts w:ascii="Arial" w:cs="Arial" w:eastAsia="Arial" w:hAnsi="Arial"/>
                <w:sz w:val="19"/>
                <w:szCs w:val="19"/>
                <w:color w:val="auto"/>
                <w:vertAlign w:val="superscript"/>
              </w:rPr>
              <w:t>(c)</w:t>
            </w:r>
          </w:p>
        </w:tc>
      </w:tr>
      <w:tr>
        <w:trPr>
          <w:trHeight w:val="199"/>
        </w:trPr>
        <w:tc>
          <w:tcPr>
            <w:tcW w:w="33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Equity compensation plans approved</w:t>
            </w:r>
          </w:p>
        </w:tc>
        <w:tc>
          <w:tcPr>
            <w:tcW w:w="28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r>
      <w:tr>
        <w:trPr>
          <w:trHeight w:val="199"/>
        </w:trPr>
        <w:tc>
          <w:tcPr>
            <w:tcW w:w="330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by security holders</w:t>
            </w:r>
          </w:p>
        </w:tc>
        <w:tc>
          <w:tcPr>
            <w:tcW w:w="2800" w:type="dxa"/>
            <w:vAlign w:val="bottom"/>
            <w:shd w:val="clear" w:color="auto" w:fill="CCEEFF"/>
          </w:tcPr>
          <w:p>
            <w:pPr>
              <w:jc w:val="right"/>
              <w:ind w:right="605"/>
              <w:spacing w:after="0" w:line="200" w:lineRule="exact"/>
              <w:rPr>
                <w:sz w:val="20"/>
                <w:szCs w:val="20"/>
                <w:color w:val="auto"/>
              </w:rPr>
            </w:pPr>
            <w:r>
              <w:rPr>
                <w:rFonts w:ascii="Arial" w:cs="Arial" w:eastAsia="Arial" w:hAnsi="Arial"/>
                <w:sz w:val="18"/>
                <w:szCs w:val="18"/>
                <w:color w:val="auto"/>
              </w:rPr>
              <w:t>22,343,921</w:t>
            </w:r>
            <w:r>
              <w:rPr>
                <w:rFonts w:ascii="Arial" w:cs="Arial" w:eastAsia="Arial" w:hAnsi="Arial"/>
                <w:sz w:val="11"/>
                <w:szCs w:val="11"/>
                <w:color w:val="auto"/>
              </w:rPr>
              <w:t>(1)</w:t>
            </w:r>
          </w:p>
        </w:tc>
        <w:tc>
          <w:tcPr>
            <w:tcW w:w="8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620"/>
              <w:spacing w:after="0" w:line="200" w:lineRule="exact"/>
              <w:rPr>
                <w:sz w:val="20"/>
                <w:szCs w:val="20"/>
                <w:color w:val="auto"/>
              </w:rPr>
            </w:pPr>
            <w:r>
              <w:rPr>
                <w:rFonts w:ascii="Arial" w:cs="Arial" w:eastAsia="Arial" w:hAnsi="Arial"/>
                <w:sz w:val="18"/>
                <w:szCs w:val="18"/>
                <w:color w:val="auto"/>
              </w:rPr>
              <w:t>13.03</w:t>
            </w:r>
          </w:p>
        </w:tc>
        <w:tc>
          <w:tcPr>
            <w:tcW w:w="26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6,690,327</w:t>
            </w:r>
            <w:r>
              <w:rPr>
                <w:rFonts w:ascii="Arial" w:cs="Arial" w:eastAsia="Arial" w:hAnsi="Arial"/>
                <w:sz w:val="11"/>
                <w:szCs w:val="11"/>
                <w:color w:val="auto"/>
              </w:rPr>
              <w:t>(2)</w:t>
            </w:r>
          </w:p>
        </w:tc>
      </w:tr>
      <w:tr>
        <w:trPr>
          <w:trHeight w:val="206"/>
        </w:trPr>
        <w:tc>
          <w:tcPr>
            <w:tcW w:w="3300" w:type="dxa"/>
            <w:vAlign w:val="bottom"/>
          </w:tcPr>
          <w:p>
            <w:pPr>
              <w:spacing w:after="0" w:line="206" w:lineRule="exact"/>
              <w:rPr>
                <w:sz w:val="20"/>
                <w:szCs w:val="20"/>
                <w:color w:val="auto"/>
              </w:rPr>
            </w:pPr>
            <w:r>
              <w:rPr>
                <w:rFonts w:ascii="Arial" w:cs="Arial" w:eastAsia="Arial" w:hAnsi="Arial"/>
                <w:sz w:val="18"/>
                <w:szCs w:val="18"/>
                <w:color w:val="auto"/>
              </w:rPr>
              <w:t>Equity compensation plans not</w:t>
            </w:r>
          </w:p>
        </w:tc>
        <w:tc>
          <w:tcPr>
            <w:tcW w:w="2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199"/>
        </w:trPr>
        <w:tc>
          <w:tcPr>
            <w:tcW w:w="33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approved by security holders</w:t>
            </w:r>
          </w:p>
        </w:tc>
        <w:tc>
          <w:tcPr>
            <w:tcW w:w="2800" w:type="dxa"/>
            <w:vAlign w:val="bottom"/>
            <w:tcBorders>
              <w:bottom w:val="single" w:sz="8" w:color="auto"/>
            </w:tcBorders>
          </w:tcPr>
          <w:p>
            <w:pPr>
              <w:jc w:val="right"/>
              <w:ind w:right="745"/>
              <w:spacing w:after="0" w:line="200" w:lineRule="exact"/>
              <w:rPr>
                <w:sz w:val="20"/>
                <w:szCs w:val="20"/>
                <w:color w:val="auto"/>
              </w:rPr>
            </w:pPr>
            <w:r>
              <w:rPr>
                <w:rFonts w:ascii="Arial" w:cs="Arial" w:eastAsia="Arial" w:hAnsi="Arial"/>
                <w:sz w:val="18"/>
                <w:szCs w:val="18"/>
                <w:color w:val="auto"/>
              </w:rPr>
              <w:t>0</w:t>
            </w:r>
          </w:p>
        </w:tc>
        <w:tc>
          <w:tcPr>
            <w:tcW w:w="8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620"/>
              <w:spacing w:after="0" w:line="200" w:lineRule="exact"/>
              <w:rPr>
                <w:sz w:val="20"/>
                <w:szCs w:val="20"/>
                <w:color w:val="auto"/>
              </w:rPr>
            </w:pPr>
            <w:r>
              <w:rPr>
                <w:rFonts w:ascii="Arial" w:cs="Arial" w:eastAsia="Arial" w:hAnsi="Arial"/>
                <w:sz w:val="18"/>
                <w:szCs w:val="18"/>
                <w:color w:val="auto"/>
              </w:rPr>
              <w:t>n/a</w:t>
            </w:r>
          </w:p>
        </w:tc>
        <w:tc>
          <w:tcPr>
            <w:tcW w:w="2640" w:type="dxa"/>
            <w:vAlign w:val="bottom"/>
            <w:tcBorders>
              <w:bottom w:val="single" w:sz="8" w:color="auto"/>
            </w:tcBorders>
          </w:tcPr>
          <w:p>
            <w:pPr>
              <w:jc w:val="right"/>
              <w:ind w:right="107"/>
              <w:spacing w:after="0" w:line="200" w:lineRule="exact"/>
              <w:rPr>
                <w:sz w:val="20"/>
                <w:szCs w:val="20"/>
                <w:color w:val="auto"/>
              </w:rPr>
            </w:pPr>
            <w:r>
              <w:rPr>
                <w:rFonts w:ascii="Arial" w:cs="Arial" w:eastAsia="Arial" w:hAnsi="Arial"/>
                <w:sz w:val="18"/>
                <w:szCs w:val="18"/>
                <w:color w:val="auto"/>
              </w:rPr>
              <w:t>0</w:t>
            </w:r>
          </w:p>
        </w:tc>
      </w:tr>
      <w:tr>
        <w:trPr>
          <w:trHeight w:val="203"/>
        </w:trPr>
        <w:tc>
          <w:tcPr>
            <w:tcW w:w="33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2800" w:type="dxa"/>
            <w:vAlign w:val="bottom"/>
            <w:tcBorders>
              <w:bottom w:val="single" w:sz="8" w:color="auto"/>
            </w:tcBorders>
            <w:shd w:val="clear" w:color="auto" w:fill="CCEEFF"/>
          </w:tcPr>
          <w:p>
            <w:pPr>
              <w:jc w:val="right"/>
              <w:ind w:right="745"/>
              <w:spacing w:after="0" w:line="196" w:lineRule="exact"/>
              <w:rPr>
                <w:sz w:val="20"/>
                <w:szCs w:val="20"/>
                <w:color w:val="auto"/>
              </w:rPr>
            </w:pPr>
            <w:r>
              <w:rPr>
                <w:rFonts w:ascii="Arial" w:cs="Arial" w:eastAsia="Arial" w:hAnsi="Arial"/>
                <w:sz w:val="18"/>
                <w:szCs w:val="18"/>
                <w:color w:val="auto"/>
              </w:rPr>
              <w:t>22,343,921</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shd w:val="clear" w:color="auto" w:fill="CCEEFF"/>
          </w:tcPr>
          <w:p>
            <w:pPr>
              <w:jc w:val="right"/>
              <w:ind w:right="620"/>
              <w:spacing w:after="0" w:line="196" w:lineRule="exact"/>
              <w:rPr>
                <w:sz w:val="20"/>
                <w:szCs w:val="20"/>
                <w:color w:val="auto"/>
              </w:rPr>
            </w:pPr>
            <w:r>
              <w:rPr>
                <w:rFonts w:ascii="Arial" w:cs="Arial" w:eastAsia="Arial" w:hAnsi="Arial"/>
                <w:sz w:val="18"/>
                <w:szCs w:val="18"/>
                <w:color w:val="auto"/>
              </w:rPr>
              <w:t>13.03</w:t>
            </w:r>
          </w:p>
        </w:tc>
        <w:tc>
          <w:tcPr>
            <w:tcW w:w="2640" w:type="dxa"/>
            <w:vAlign w:val="bottom"/>
            <w:tcBorders>
              <w:bottom w:val="single" w:sz="8" w:color="auto"/>
            </w:tcBorders>
            <w:shd w:val="clear" w:color="auto" w:fill="CCEEFF"/>
          </w:tcPr>
          <w:p>
            <w:pPr>
              <w:jc w:val="right"/>
              <w:ind w:right="107"/>
              <w:spacing w:after="0" w:line="196" w:lineRule="exact"/>
              <w:rPr>
                <w:sz w:val="20"/>
                <w:szCs w:val="20"/>
                <w:color w:val="auto"/>
              </w:rPr>
            </w:pPr>
            <w:r>
              <w:rPr>
                <w:rFonts w:ascii="Arial" w:cs="Arial" w:eastAsia="Arial" w:hAnsi="Arial"/>
                <w:sz w:val="18"/>
                <w:szCs w:val="18"/>
                <w:color w:val="auto"/>
              </w:rPr>
              <w:t>6,690,327</w:t>
            </w:r>
          </w:p>
        </w:tc>
      </w:tr>
    </w:tbl>
    <w:p>
      <w:pPr>
        <w:spacing w:after="0" w:line="80" w:lineRule="exact"/>
        <w:rPr>
          <w:sz w:val="20"/>
          <w:szCs w:val="20"/>
          <w:color w:val="auto"/>
        </w:rPr>
      </w:pPr>
    </w:p>
    <w:p>
      <w:pPr>
        <w:ind w:left="220" w:right="120" w:hanging="212"/>
        <w:spacing w:after="0" w:line="180" w:lineRule="auto"/>
        <w:tabs>
          <w:tab w:leader="none" w:pos="220" w:val="left"/>
        </w:tabs>
        <w:numPr>
          <w:ilvl w:val="0"/>
          <w:numId w:val="53"/>
        </w:numPr>
        <w:rPr>
          <w:rFonts w:ascii="Arial" w:cs="Arial" w:eastAsia="Arial" w:hAnsi="Arial"/>
          <w:sz w:val="22"/>
          <w:szCs w:val="22"/>
          <w:color w:val="auto"/>
          <w:vertAlign w:val="superscript"/>
        </w:rPr>
      </w:pPr>
      <w:r>
        <w:rPr>
          <w:rFonts w:ascii="Arial" w:cs="Arial" w:eastAsia="Arial" w:hAnsi="Arial"/>
          <w:sz w:val="14"/>
          <w:szCs w:val="14"/>
          <w:color w:val="auto"/>
        </w:rPr>
        <w:t>As of December 31, 2011, the number of securities to be issued upon the exercise of outstanding stock options was 20,146,020, upon the payment of outstanding restricted stock awards was 2,197,901.</w:t>
      </w:r>
    </w:p>
    <w:p>
      <w:pPr>
        <w:spacing w:after="0" w:line="67" w:lineRule="exact"/>
        <w:rPr>
          <w:rFonts w:ascii="Arial" w:cs="Arial" w:eastAsia="Arial" w:hAnsi="Arial"/>
          <w:sz w:val="22"/>
          <w:szCs w:val="22"/>
          <w:color w:val="auto"/>
          <w:vertAlign w:val="superscript"/>
        </w:rPr>
      </w:pPr>
    </w:p>
    <w:p>
      <w:pPr>
        <w:ind w:left="220" w:right="60" w:hanging="212"/>
        <w:spacing w:after="0" w:line="180" w:lineRule="auto"/>
        <w:tabs>
          <w:tab w:leader="none" w:pos="220" w:val="left"/>
        </w:tabs>
        <w:numPr>
          <w:ilvl w:val="0"/>
          <w:numId w:val="53"/>
        </w:numPr>
        <w:rPr>
          <w:rFonts w:ascii="Arial" w:cs="Arial" w:eastAsia="Arial" w:hAnsi="Arial"/>
          <w:sz w:val="22"/>
          <w:szCs w:val="22"/>
          <w:color w:val="auto"/>
          <w:vertAlign w:val="superscript"/>
        </w:rPr>
      </w:pPr>
      <w:r>
        <w:rPr>
          <w:rFonts w:ascii="Arial" w:cs="Arial" w:eastAsia="Arial" w:hAnsi="Arial"/>
          <w:sz w:val="14"/>
          <w:szCs w:val="14"/>
          <w:color w:val="auto"/>
        </w:rPr>
        <w:t>Shares available for issuance under the Company’s 2011 Long-Term Incentive Plan, which allows for grants of stock options, performance stock awards, restricted stock awards and other stock-based awards.</w:t>
      </w:r>
    </w:p>
    <w:p>
      <w:pPr>
        <w:spacing w:after="0" w:line="153" w:lineRule="exact"/>
        <w:rPr>
          <w:sz w:val="20"/>
          <w:szCs w:val="20"/>
          <w:color w:val="auto"/>
        </w:rPr>
      </w:pPr>
    </w:p>
    <w:p>
      <w:pPr>
        <w:ind w:right="840"/>
        <w:spacing w:after="0" w:line="239" w:lineRule="auto"/>
        <w:rPr>
          <w:sz w:val="20"/>
          <w:szCs w:val="20"/>
          <w:color w:val="auto"/>
        </w:rPr>
      </w:pPr>
      <w:r>
        <w:rPr>
          <w:rFonts w:ascii="Arial" w:cs="Arial" w:eastAsia="Arial" w:hAnsi="Arial"/>
          <w:sz w:val="18"/>
          <w:szCs w:val="18"/>
          <w:color w:val="auto"/>
        </w:rPr>
        <w:t>See the information under the captions “Certain Information Regarding Security Holdings” contained in the 2012 Proxy Statement, which information is incorporated herein by reference.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8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See the information under the captions “Director Independence,” “Board Committees,” “Policies with Respect to Transactions with Related Persons” and “Certain Relationships and Related Transactions” contained in the 2012 Proxy Statement, which information is incorporated herein by reference.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8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See the information under the captions “Fees of Independent Registered Public Accounting Firm” and “Approval of Audit and Non-Audit Services” in the 2012 Proxy Statement, which information is incorporated herein by reference.</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80"/>
          </w:cols>
          <w:pgMar w:left="240" w:top="459" w:right="3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99"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Financial Statements, Financial Statement Schedules and Exhibits.</w:t>
      </w:r>
    </w:p>
    <w:p>
      <w:pPr>
        <w:spacing w:after="0" w:line="77" w:lineRule="exact"/>
        <w:rPr>
          <w:sz w:val="20"/>
          <w:szCs w:val="20"/>
          <w:color w:val="auto"/>
        </w:rPr>
      </w:pPr>
    </w:p>
    <w:p>
      <w:pPr>
        <w:ind w:left="460" w:right="1680" w:hanging="452"/>
        <w:spacing w:after="0" w:line="32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Financial Statements (all financial statements listed below are of the Company and its consolidated subsidiaries): Consolidated Statement of Income for the years ended December 31, 2011, 2010 and 2009 contained in Item 8 hereof. Consolidated Balance Sheet as of December 31, 2011 and 2010 contained in Item 8 hereof.</w:t>
      </w:r>
    </w:p>
    <w:p>
      <w:pPr>
        <w:spacing w:after="0" w:line="2" w:lineRule="exact"/>
        <w:rPr>
          <w:rFonts w:ascii="Arial" w:cs="Arial" w:eastAsia="Arial" w:hAnsi="Arial"/>
          <w:sz w:val="18"/>
          <w:szCs w:val="18"/>
          <w:color w:val="auto"/>
        </w:rPr>
      </w:pPr>
    </w:p>
    <w:p>
      <w:pPr>
        <w:ind w:left="460" w:right="1340"/>
        <w:spacing w:after="0" w:line="328" w:lineRule="auto"/>
        <w:rPr>
          <w:rFonts w:ascii="Arial" w:cs="Arial" w:eastAsia="Arial" w:hAnsi="Arial"/>
          <w:sz w:val="18"/>
          <w:szCs w:val="18"/>
          <w:color w:val="auto"/>
        </w:rPr>
      </w:pPr>
      <w:r>
        <w:rPr>
          <w:rFonts w:ascii="Arial" w:cs="Arial" w:eastAsia="Arial" w:hAnsi="Arial"/>
          <w:sz w:val="18"/>
          <w:szCs w:val="18"/>
          <w:color w:val="auto"/>
        </w:rPr>
        <w:t>Consolidated Statement of Cash Flows for the years ended December 31, 2011, 2010 and 2009 contained in Item 8 hereof. Consolidated Statement of Equity for the years ended December 31, 2011, 2010 and 2009 contained in Item 8 hereof. Notes to Consolidated Financial Statements contained in Item 8 hereof.</w:t>
      </w:r>
    </w:p>
    <w:p>
      <w:pPr>
        <w:spacing w:after="0" w:line="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Report of Independent Registered Public Accounting Firm contained in Item 8 hereof.</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See Financial Statement Schedule of the Company and subsidiaries at page 95.</w:t>
      </w:r>
    </w:p>
    <w:p>
      <w:pPr>
        <w:spacing w:after="0" w:line="198"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1060" w:right="180" w:hanging="1052"/>
        <w:spacing w:after="0" w:line="238" w:lineRule="auto"/>
        <w:tabs>
          <w:tab w:leader="none" w:pos="10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Separation and Distribution Agreement, dated as of September 27, 2011, between the Company and Fortune Brands, Inc. (n/k/a Beam Inc.) is incorporated herein by reference to Exhibit 2.1 to the Company’s Current Report on Form 8-K filed on September 30, 2011, Commission file number 1-35166.</w:t>
      </w:r>
      <w:r>
        <w:rPr>
          <w:rFonts w:ascii="Arial" w:cs="Arial" w:eastAsia="Arial" w:hAnsi="Arial"/>
          <w:sz w:val="11"/>
          <w:szCs w:val="11"/>
          <w:color w:val="auto"/>
        </w:rPr>
        <w:t>†</w:t>
      </w:r>
    </w:p>
    <w:p>
      <w:pPr>
        <w:spacing w:after="0" w:line="100" w:lineRule="exact"/>
        <w:rPr>
          <w:sz w:val="20"/>
          <w:szCs w:val="20"/>
          <w:color w:val="auto"/>
        </w:rPr>
      </w:pPr>
    </w:p>
    <w:p>
      <w:pPr>
        <w:ind w:left="1060" w:hanging="1052"/>
        <w:spacing w:after="0" w:line="239" w:lineRule="auto"/>
        <w:tabs>
          <w:tab w:leader="none" w:pos="1040" w:val="left"/>
        </w:tabs>
        <w:rPr>
          <w:sz w:val="20"/>
          <w:szCs w:val="20"/>
          <w:color w:val="auto"/>
        </w:rPr>
      </w:pPr>
      <w:r>
        <w:rPr>
          <w:rFonts w:ascii="Arial" w:cs="Arial" w:eastAsia="Arial" w:hAnsi="Arial"/>
          <w:sz w:val="18"/>
          <w:szCs w:val="18"/>
          <w:color w:val="auto"/>
        </w:rPr>
        <w:t>3(i).</w:t>
      </w:r>
      <w:r>
        <w:rPr>
          <w:sz w:val="20"/>
          <w:szCs w:val="20"/>
          <w:color w:val="auto"/>
        </w:rPr>
        <w:tab/>
      </w:r>
      <w:r>
        <w:rPr>
          <w:rFonts w:ascii="Arial" w:cs="Arial" w:eastAsia="Arial" w:hAnsi="Arial"/>
          <w:sz w:val="18"/>
          <w:szCs w:val="18"/>
          <w:color w:val="auto"/>
        </w:rPr>
        <w:t>Restated Certificate of Incorporation of Fortune Brands Home &amp; Security, Inc. is incorporated herein by reference to Exhibit 3.1 to the Company’s Current Report on Form 8-K filed on September 30, 2011, Commission file number 1-35166.</w:t>
      </w:r>
    </w:p>
    <w:p>
      <w:pPr>
        <w:spacing w:after="0" w:line="101" w:lineRule="exact"/>
        <w:rPr>
          <w:sz w:val="20"/>
          <w:szCs w:val="20"/>
          <w:color w:val="auto"/>
        </w:rPr>
      </w:pPr>
    </w:p>
    <w:p>
      <w:pPr>
        <w:jc w:val="both"/>
        <w:ind w:left="1060" w:right="160" w:hanging="1052"/>
        <w:spacing w:after="0" w:line="238" w:lineRule="auto"/>
        <w:tabs>
          <w:tab w:leader="none" w:pos="1040" w:val="left"/>
        </w:tabs>
        <w:rPr>
          <w:sz w:val="20"/>
          <w:szCs w:val="20"/>
          <w:color w:val="auto"/>
        </w:rPr>
      </w:pPr>
      <w:r>
        <w:rPr>
          <w:rFonts w:ascii="Arial" w:cs="Arial" w:eastAsia="Arial" w:hAnsi="Arial"/>
          <w:sz w:val="18"/>
          <w:szCs w:val="18"/>
          <w:color w:val="auto"/>
        </w:rPr>
        <w:t>3(ii).</w:t>
      </w:r>
      <w:r>
        <w:rPr>
          <w:sz w:val="20"/>
          <w:szCs w:val="20"/>
          <w:color w:val="auto"/>
        </w:rPr>
        <w:tab/>
      </w:r>
      <w:r>
        <w:rPr>
          <w:rFonts w:ascii="Arial" w:cs="Arial" w:eastAsia="Arial" w:hAnsi="Arial"/>
          <w:sz w:val="18"/>
          <w:szCs w:val="18"/>
          <w:color w:val="auto"/>
        </w:rPr>
        <w:t>Amended and Restated Bylaws of Fortune Brands Home &amp; Security, Inc., as adopted September 27, 2011, are incorporated herein by reference to Exhibit 3.2 to the Company’s Current Report on Form 8-K filed on September 30, 2011, Commission file number 1-35166.</w:t>
      </w:r>
    </w:p>
    <w:p>
      <w:pPr>
        <w:spacing w:after="0" w:line="100" w:lineRule="exact"/>
        <w:rPr>
          <w:sz w:val="20"/>
          <w:szCs w:val="20"/>
          <w:color w:val="auto"/>
        </w:rPr>
      </w:pPr>
    </w:p>
    <w:p>
      <w:pPr>
        <w:ind w:left="1060" w:right="40" w:hanging="1052"/>
        <w:spacing w:after="0" w:line="238" w:lineRule="auto"/>
        <w:tabs>
          <w:tab w:leader="none" w:pos="10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Rights Agreement, dated as of September 6, 2011, between the Company and Wells Fargo Bank, N.A. is incorporated herein by reference to Exhibit 1 to the Company’s Registration Statement on Form 8-A filed on September 6, 2011, Commission file number 1-35166.</w:t>
      </w:r>
    </w:p>
    <w:p>
      <w:pPr>
        <w:spacing w:after="0" w:line="100" w:lineRule="exact"/>
        <w:rPr>
          <w:sz w:val="20"/>
          <w:szCs w:val="20"/>
          <w:color w:val="auto"/>
        </w:rPr>
      </w:pPr>
    </w:p>
    <w:p>
      <w:pPr>
        <w:ind w:left="1060" w:right="320" w:hanging="1052"/>
        <w:spacing w:after="0" w:line="238" w:lineRule="auto"/>
        <w:tabs>
          <w:tab w:leader="none" w:pos="10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Tax Allocation Agreement, dated as of September 28, 2011, between the Company and Fortune Brands, Inc. (n/k/a Beam Inc.) is incorporated herein by reference to Exhibit 10.1 to the Company’s Current Report on Form 8-K filed on September 30, 2011, Commission file number 1-35166.</w:t>
      </w:r>
    </w:p>
    <w:p>
      <w:pPr>
        <w:spacing w:after="0" w:line="100" w:lineRule="exact"/>
        <w:rPr>
          <w:sz w:val="20"/>
          <w:szCs w:val="20"/>
          <w:color w:val="auto"/>
        </w:rPr>
      </w:pPr>
    </w:p>
    <w:p>
      <w:pPr>
        <w:ind w:left="1060" w:hanging="1052"/>
        <w:spacing w:after="0" w:line="238" w:lineRule="auto"/>
        <w:tabs>
          <w:tab w:leader="none" w:pos="10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Employee Matters Agreement, dated as of September 28, 2011, between the Company and Fortune Brands, Inc. (n/k/a Beam Inc.) is incorporated herein by reference to Exhibit 10.2 to the Company’s Current Report on Form 8-K filed on September 30, 2011, Commission file number 1-35166.</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1160" w:right="140" w:hanging="1147"/>
        <w:spacing w:after="0" w:line="238" w:lineRule="auto"/>
        <w:tabs>
          <w:tab w:leader="none" w:pos="11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Indemnification Agreement, dated as of September 14, 2011, between the Company and Fortune Brands, Inc. (n/k/a Beam Inc.) is incorporated herein by reference to Exhibit 10.1 to the Company’s Current Report on Form 8-K filed on September 15, 2011, Commission file number 1-35166.</w:t>
      </w:r>
    </w:p>
    <w:p>
      <w:pPr>
        <w:spacing w:after="0" w:line="100" w:lineRule="exact"/>
        <w:rPr>
          <w:sz w:val="20"/>
          <w:szCs w:val="20"/>
          <w:color w:val="auto"/>
        </w:rPr>
      </w:pPr>
    </w:p>
    <w:p>
      <w:pPr>
        <w:jc w:val="both"/>
        <w:ind w:left="1160" w:right="20" w:hanging="1147"/>
        <w:spacing w:after="0" w:line="238" w:lineRule="auto"/>
        <w:tabs>
          <w:tab w:leader="none" w:pos="11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Credit Agreement, dated as of August 22, 2011, among the Company, the lenders party thereto and JPMorgan Chase Bank, N.A. is incorporated herein by reference to Exhibit 10.6 to Amendment No. 6 to the Company’s Registration Statement on Form 10 filed on August 31, 2011, Commission file number 1-35166.</w:t>
      </w:r>
    </w:p>
    <w:p>
      <w:pPr>
        <w:spacing w:after="0" w:line="100" w:lineRule="exact"/>
        <w:rPr>
          <w:sz w:val="20"/>
          <w:szCs w:val="20"/>
          <w:color w:val="auto"/>
        </w:rPr>
      </w:pPr>
    </w:p>
    <w:p>
      <w:pPr>
        <w:ind w:left="1160" w:right="20" w:hanging="1147"/>
        <w:spacing w:after="0" w:line="238" w:lineRule="auto"/>
        <w:tabs>
          <w:tab w:leader="none" w:pos="11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Short-Term Credit Agreement, dated as of August 31, 2011, by and among the Company and Bank of America, N.A. and JPMorgan Chase Bank, N.A. is incorporated herein by reference to Exhibit 10.5 to the Company’s Quarterly Report on Form 10-Q filed on November 10, 2011, Commission file number 1-35166.</w:t>
      </w:r>
    </w:p>
    <w:p>
      <w:pPr>
        <w:spacing w:after="0" w:line="100" w:lineRule="exact"/>
        <w:rPr>
          <w:sz w:val="20"/>
          <w:szCs w:val="20"/>
          <w:color w:val="auto"/>
        </w:rPr>
      </w:pPr>
    </w:p>
    <w:p>
      <w:pPr>
        <w:ind w:left="1160" w:hanging="1147"/>
        <w:spacing w:after="0" w:line="239" w:lineRule="auto"/>
        <w:tabs>
          <w:tab w:leader="none" w:pos="11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Fortune Brands Home &amp; Security, Inc. 2011 Long-Term Incentive Plan is incorporated by reference to Exhibit 10.1 to the Company’s Registration Statement on Form S-8 filed on October 3, 2011, Commission file number 333-177145.*</w:t>
      </w:r>
    </w:p>
    <w:p>
      <w:pPr>
        <w:spacing w:after="0" w:line="9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Fortune Brands Home &amp; Security, Inc. Annual Executive Incentive Compensation Plan is incorporated herein by reference to Exhibit</w:t>
      </w:r>
    </w:p>
    <w:p>
      <w:pPr>
        <w:ind w:left="1160"/>
        <w:spacing w:after="0"/>
        <w:rPr>
          <w:sz w:val="20"/>
          <w:szCs w:val="20"/>
          <w:color w:val="auto"/>
        </w:rPr>
      </w:pPr>
      <w:r>
        <w:rPr>
          <w:rFonts w:ascii="Arial" w:cs="Arial" w:eastAsia="Arial" w:hAnsi="Arial"/>
          <w:sz w:val="18"/>
          <w:szCs w:val="18"/>
          <w:color w:val="auto"/>
        </w:rPr>
        <w:t>10.7 to the Company’s Quarterly Report on Form 10-Q filed on November 10, 2011, Commission file number 1-35166.*</w:t>
      </w:r>
    </w:p>
    <w:p>
      <w:pPr>
        <w:spacing w:after="0" w:line="104" w:lineRule="exact"/>
        <w:rPr>
          <w:sz w:val="20"/>
          <w:szCs w:val="20"/>
          <w:color w:val="auto"/>
        </w:rPr>
      </w:pPr>
    </w:p>
    <w:p>
      <w:pPr>
        <w:ind w:left="1160" w:right="160" w:hanging="1147"/>
        <w:spacing w:after="0" w:line="238" w:lineRule="auto"/>
        <w:tabs>
          <w:tab w:leader="none" w:pos="11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Form of Founders Grant Restricted Stock Unit Agreement for awards under the Fortune Brands Home &amp; Security, Inc. 2011 Long-Term Incentive Plan is incorporated herein by reference to Exhibit 10.1 to the Company’s Current Report on Form 8-K filed on October 11, 2011, Commission file number 1-35166.*</w:t>
      </w:r>
    </w:p>
    <w:p>
      <w:pPr>
        <w:spacing w:after="0" w:line="100" w:lineRule="exact"/>
        <w:rPr>
          <w:sz w:val="20"/>
          <w:szCs w:val="20"/>
          <w:color w:val="auto"/>
        </w:rPr>
      </w:pPr>
    </w:p>
    <w:p>
      <w:pPr>
        <w:jc w:val="both"/>
        <w:ind w:left="1160" w:right="40" w:hanging="1147"/>
        <w:spacing w:after="0" w:line="238" w:lineRule="auto"/>
        <w:tabs>
          <w:tab w:leader="none" w:pos="11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Form of Founders Grant Stock Option Award Notice &amp; Agreement for awards under the Fortune Brands Home &amp; Security, Inc. 2011 Long-Term Incentive Plan is incorporated herein by reference to Exhibit 10.2 to the Company’s Current Report on Form 8-K filed on October 11, 2011, Commission file number 1-35166.*</w:t>
      </w:r>
    </w:p>
    <w:p>
      <w:pPr>
        <w:spacing w:after="0" w:line="100" w:lineRule="exact"/>
        <w:rPr>
          <w:sz w:val="20"/>
          <w:szCs w:val="20"/>
          <w:color w:val="auto"/>
        </w:rPr>
      </w:pPr>
    </w:p>
    <w:p>
      <w:pPr>
        <w:ind w:left="1160" w:right="120" w:hanging="1147"/>
        <w:spacing w:after="0" w:line="239" w:lineRule="auto"/>
        <w:tabs>
          <w:tab w:leader="none" w:pos="11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Form of Performance Share Award Notice and Agreement for awards under the Fortune Brands Home &amp; Security, Inc. 2011 Long-Term Incentive Plan.*</w:t>
      </w:r>
    </w:p>
    <w:p>
      <w:pPr>
        <w:spacing w:after="0" w:line="101" w:lineRule="exact"/>
        <w:rPr>
          <w:sz w:val="20"/>
          <w:szCs w:val="20"/>
          <w:color w:val="auto"/>
        </w:rPr>
      </w:pPr>
    </w:p>
    <w:p>
      <w:pPr>
        <w:ind w:left="1160" w:right="240" w:hanging="1147"/>
        <w:spacing w:after="0" w:line="239" w:lineRule="auto"/>
        <w:tabs>
          <w:tab w:leader="none" w:pos="11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Form of Stock Option Award Notice and Agreement for awards under the Fortune Brands Home &amp; Security, Inc. 2011 Long-Term Incentive Plan.*</w:t>
      </w:r>
    </w:p>
    <w:p>
      <w:pPr>
        <w:spacing w:after="0" w:line="101" w:lineRule="exact"/>
        <w:rPr>
          <w:sz w:val="20"/>
          <w:szCs w:val="20"/>
          <w:color w:val="auto"/>
        </w:rPr>
      </w:pPr>
    </w:p>
    <w:p>
      <w:pPr>
        <w:ind w:left="1160" w:hanging="1147"/>
        <w:spacing w:after="0" w:line="239" w:lineRule="auto"/>
        <w:tabs>
          <w:tab w:leader="none" w:pos="11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Form of Restricted Stock Unit Award Notice and Agreement for awards under the Fortune Brands Home &amp; Security, Inc. 2011 Long-Term Incentive Plan.*</w:t>
      </w:r>
    </w:p>
    <w:p>
      <w:pPr>
        <w:spacing w:after="0" w:line="101" w:lineRule="exact"/>
        <w:rPr>
          <w:sz w:val="20"/>
          <w:szCs w:val="20"/>
          <w:color w:val="auto"/>
        </w:rPr>
      </w:pPr>
    </w:p>
    <w:p>
      <w:pPr>
        <w:ind w:left="1160" w:right="140" w:hanging="1147"/>
        <w:spacing w:after="0" w:line="238" w:lineRule="auto"/>
        <w:tabs>
          <w:tab w:leader="none" w:pos="11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Form of Agreement for the Payment of Benefits Following Termination of Employment between the Company and each of Christopher J. Klein, E. Lee Wyatt Jr., Elizabeth R. Lane, Lauren S. Tashma, Miriam Van de Sype and Edward A. Wiertel, effective as of October 4, 2011.*</w:t>
      </w:r>
    </w:p>
    <w:p>
      <w:pPr>
        <w:spacing w:after="0" w:line="100" w:lineRule="exact"/>
        <w:rPr>
          <w:sz w:val="20"/>
          <w:szCs w:val="20"/>
          <w:color w:val="auto"/>
        </w:rPr>
      </w:pPr>
    </w:p>
    <w:p>
      <w:pPr>
        <w:ind w:left="1160" w:right="580" w:hanging="1147"/>
        <w:spacing w:after="0" w:line="239" w:lineRule="auto"/>
        <w:tabs>
          <w:tab w:leader="none" w:pos="11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Form of Agreement for the Payment of Benefits Following Termination of Employment for each of John N. Heppner, David B. Lingafelter, David M. Randich, Mark Savan and Gregory J. Stoner, effective as of October 4, 2011.*</w:t>
      </w:r>
    </w:p>
    <w:p>
      <w:pPr>
        <w:spacing w:after="0" w:line="10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Fortune Brands Home &amp; Security, Inc. Severance Plan for Vice Presidents.*</w:t>
      </w:r>
    </w:p>
    <w:p>
      <w:pPr>
        <w:spacing w:after="0" w:line="10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Fortune Brands Home &amp; Security, Inc. Directors’ Deferred Compensation Plan.*</w:t>
      </w:r>
    </w:p>
    <w:p>
      <w:pPr>
        <w:spacing w:after="0" w:line="10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Fortune Brands Home &amp; Security, Inc. 2011 Long-Term Incentive Plan Non-Employee Director Stock Election Program.*</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1160" w:hanging="1152"/>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Letter on Change in Accounting Principles.</w:t>
      </w:r>
    </w:p>
    <w:p>
      <w:pPr>
        <w:spacing w:after="0" w:line="104" w:lineRule="exact"/>
        <w:rPr>
          <w:sz w:val="20"/>
          <w:szCs w:val="20"/>
          <w:color w:val="auto"/>
        </w:rPr>
      </w:pPr>
    </w:p>
    <w:p>
      <w:pPr>
        <w:ind w:left="1160" w:hanging="1152"/>
        <w:spacing w:after="0"/>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Subsidiaries of the Company.</w:t>
      </w:r>
    </w:p>
    <w:p>
      <w:pPr>
        <w:spacing w:after="0" w:line="104" w:lineRule="exact"/>
        <w:rPr>
          <w:sz w:val="20"/>
          <w:szCs w:val="20"/>
          <w:color w:val="auto"/>
        </w:rPr>
      </w:pPr>
    </w:p>
    <w:p>
      <w:pPr>
        <w:ind w:left="1160" w:hanging="1152"/>
        <w:spacing w:after="0"/>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 PricewaterhouseCoopers LLP.</w:t>
      </w:r>
    </w:p>
    <w:p>
      <w:pPr>
        <w:spacing w:after="0" w:line="103" w:lineRule="exact"/>
        <w:rPr>
          <w:rFonts w:ascii="Arial" w:cs="Arial" w:eastAsia="Arial" w:hAnsi="Arial"/>
          <w:sz w:val="18"/>
          <w:szCs w:val="18"/>
          <w:color w:val="auto"/>
        </w:rPr>
      </w:pPr>
    </w:p>
    <w:p>
      <w:pPr>
        <w:ind w:left="1160" w:hanging="1152"/>
        <w:spacing w:after="0"/>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Powers of Attorney relating to execution of this Annual Report on Form 10-K.</w:t>
      </w:r>
    </w:p>
    <w:p>
      <w:pPr>
        <w:spacing w:after="0" w:line="10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Certificate of Chief Executive Officer Required Under Section 302 of the Sarbanes-Oxley Act of 2002.</w:t>
      </w:r>
    </w:p>
    <w:p>
      <w:pPr>
        <w:spacing w:after="0" w:line="10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Certificate of Chief Financial Officer Required Under Section 302 of the Sarbanes-Oxley Act of 2002.</w:t>
      </w:r>
    </w:p>
    <w:p>
      <w:pPr>
        <w:spacing w:after="0" w:line="104" w:lineRule="exact"/>
        <w:rPr>
          <w:sz w:val="20"/>
          <w:szCs w:val="20"/>
          <w:color w:val="auto"/>
        </w:rPr>
      </w:pPr>
    </w:p>
    <w:p>
      <w:pPr>
        <w:ind w:left="1160" w:hanging="1152"/>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Joint CEO/CFO Certification Required Under Section 906 of the Sarbanes-Oxley Act of 2002.</w:t>
      </w:r>
    </w:p>
    <w:p>
      <w:pPr>
        <w:spacing w:after="0" w:line="104" w:lineRule="exact"/>
        <w:rPr>
          <w:sz w:val="20"/>
          <w:szCs w:val="20"/>
          <w:color w:val="auto"/>
        </w:rPr>
      </w:pPr>
    </w:p>
    <w:p>
      <w:pPr>
        <w:ind w:left="1160" w:hanging="1152"/>
        <w:spacing w:after="0" w:line="237" w:lineRule="auto"/>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following materials from the Fortune Brands Home &amp; Security, Inc. Annual Report on Form 10-K for the year ended December 31, 2011 formatted in Extensible Business Reporting Language (XBRL): (i) the Consolidated Statement of Income, (ii) the Consolidated Balance Sheet, (iii) the Consolidated Statement of Cash Flows, (iv) the Consolidated Statement of Equity, and (v) the Notes to the Consolidated Financial Statements.</w:t>
      </w:r>
    </w:p>
    <w:p>
      <w:pPr>
        <w:spacing w:after="0" w:line="74"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the exhibit is a management contract or compensatory plan or arrangement.</w:t>
      </w:r>
    </w:p>
    <w:p>
      <w:pPr>
        <w:spacing w:after="0" w:line="158" w:lineRule="exact"/>
        <w:rPr>
          <w:sz w:val="20"/>
          <w:szCs w:val="20"/>
          <w:color w:val="auto"/>
        </w:rPr>
      </w:pPr>
    </w:p>
    <w:p>
      <w:pPr>
        <w:ind w:left="120" w:hanging="112"/>
        <w:spacing w:after="0"/>
        <w:tabs>
          <w:tab w:leader="none" w:pos="120" w:val="left"/>
        </w:tabs>
        <w:numPr>
          <w:ilvl w:val="0"/>
          <w:numId w:val="61"/>
        </w:numPr>
        <w:rPr>
          <w:rFonts w:ascii="Arial" w:cs="Arial" w:eastAsia="Arial" w:hAnsi="Arial"/>
          <w:sz w:val="11"/>
          <w:szCs w:val="11"/>
          <w:color w:val="auto"/>
        </w:rPr>
      </w:pPr>
      <w:r>
        <w:rPr>
          <w:rFonts w:ascii="Arial" w:cs="Arial" w:eastAsia="Arial" w:hAnsi="Arial"/>
          <w:sz w:val="18"/>
          <w:szCs w:val="18"/>
          <w:color w:val="auto"/>
        </w:rPr>
        <w:t>The Company agrees to furnish supplementally a copy of any omitted schedule to the Securities and Exchange Commission upon request.</w:t>
      </w:r>
    </w:p>
    <w:p>
      <w:pPr>
        <w:spacing w:after="0" w:line="158" w:lineRule="exact"/>
        <w:rPr>
          <w:sz w:val="20"/>
          <w:szCs w:val="20"/>
          <w:color w:val="auto"/>
        </w:rPr>
      </w:pPr>
    </w:p>
    <w:p>
      <w:pPr>
        <w:jc w:val="both"/>
        <w:ind w:right="340"/>
        <w:spacing w:after="0" w:line="281" w:lineRule="auto"/>
        <w:rPr>
          <w:sz w:val="20"/>
          <w:szCs w:val="20"/>
          <w:color w:val="auto"/>
        </w:rPr>
      </w:pPr>
      <w:r>
        <w:rPr>
          <w:rFonts w:ascii="Arial" w:cs="Arial" w:eastAsia="Arial" w:hAnsi="Arial"/>
          <w:sz w:val="16"/>
          <w:szCs w:val="16"/>
          <w:color w:val="auto"/>
        </w:rPr>
        <w:t>In accordance with Rule 406T of Regulation S-T, the XBRL related information in Exhibit 101 shall not be deemed to be “filed” for purposes of Section 18 of the Exchange Act, or otherwise subject to the liability of that section, and shall not be part of any registration statement or other document filed under the Securities Act or the Exchange Act, except as shall be expressly set forth by specific reference in such filing.</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00"/>
          </w:cols>
          <w:pgMar w:left="240" w:top="459" w:right="3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80"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Pursuant to the requirements of Section 13 or 15(d) of the Securities Exchange Act of 1934, as the Registrant has duly caused this report to be signed on its behalf by the undersigned, thereunto duly authorized.</w:t>
      </w:r>
    </w:p>
    <w:p>
      <w:pPr>
        <w:spacing w:after="0" w:line="19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FORTUNE BRANDS HOME &amp; SECURITY, INC.</w:t>
      </w:r>
    </w:p>
    <w:p>
      <w:pPr>
        <w:ind w:left="6080"/>
        <w:spacing w:after="0"/>
        <w:rPr>
          <w:sz w:val="20"/>
          <w:szCs w:val="20"/>
          <w:color w:val="auto"/>
        </w:rPr>
      </w:pPr>
      <w:r>
        <w:rPr>
          <w:rFonts w:ascii="Arial" w:cs="Arial" w:eastAsia="Arial" w:hAnsi="Arial"/>
          <w:sz w:val="18"/>
          <w:szCs w:val="18"/>
          <w:color w:val="auto"/>
        </w:rPr>
        <w:t>(The Company)</w:t>
      </w:r>
    </w:p>
    <w:p>
      <w:pPr>
        <w:spacing w:after="0" w:line="225"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Date: February 22, 2012</w:t>
      </w:r>
      <w:r>
        <w:rPr>
          <w:sz w:val="20"/>
          <w:szCs w:val="20"/>
          <w:color w:val="auto"/>
        </w:rPr>
        <w:tab/>
      </w:r>
      <w:r>
        <w:rPr>
          <w:rFonts w:ascii="Arial" w:cs="Arial" w:eastAsia="Arial" w:hAnsi="Arial"/>
          <w:sz w:val="18"/>
          <w:szCs w:val="18"/>
          <w:color w:val="auto"/>
        </w:rPr>
        <w:t>By: /</w:t>
      </w:r>
      <w:r>
        <w:rPr>
          <w:rFonts w:ascii="Arial" w:cs="Arial" w:eastAsia="Arial" w:hAnsi="Arial"/>
          <w:sz w:val="14"/>
          <w:szCs w:val="14"/>
          <w:color w:val="auto"/>
        </w:rPr>
        <w:t>S</w:t>
      </w:r>
      <w:r>
        <w:rPr>
          <w:rFonts w:ascii="Arial" w:cs="Arial" w:eastAsia="Arial" w:hAnsi="Arial"/>
          <w:sz w:val="18"/>
          <w:szCs w:val="18"/>
          <w:color w:val="auto"/>
        </w:rPr>
        <w:t xml:space="preserve">/ </w:t>
      </w:r>
      <w:r>
        <w:rPr>
          <w:rFonts w:ascii="Arial" w:cs="Arial" w:eastAsia="Arial" w:hAnsi="Arial"/>
          <w:sz w:val="14"/>
          <w:szCs w:val="14"/>
          <w:color w:val="auto"/>
        </w:rPr>
        <w:t>CHRISTOPHER J</w:t>
      </w:r>
      <w:r>
        <w:rPr>
          <w:rFonts w:ascii="Arial" w:cs="Arial" w:eastAsia="Arial" w:hAnsi="Arial"/>
          <w:sz w:val="18"/>
          <w:szCs w:val="18"/>
          <w:color w:val="auto"/>
        </w:rPr>
        <w:t xml:space="preserve">. </w:t>
      </w:r>
      <w:r>
        <w:rPr>
          <w:rFonts w:ascii="Arial" w:cs="Arial" w:eastAsia="Arial" w:hAnsi="Arial"/>
          <w:sz w:val="14"/>
          <w:szCs w:val="14"/>
          <w:color w:val="auto"/>
        </w:rPr>
        <w:t>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-4445</wp:posOffset>
            </wp:positionV>
            <wp:extent cx="31127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8"/>
          <w:szCs w:val="18"/>
          <w:color w:val="auto"/>
        </w:rPr>
        <w:t>Christopher J. Klein</w:t>
      </w:r>
    </w:p>
    <w:p>
      <w:pPr>
        <w:ind w:left="6520"/>
        <w:spacing w:after="0"/>
        <w:rPr>
          <w:sz w:val="20"/>
          <w:szCs w:val="20"/>
          <w:color w:val="auto"/>
        </w:rPr>
      </w:pPr>
      <w:r>
        <w:rPr>
          <w:rFonts w:ascii="Arial" w:cs="Arial" w:eastAsia="Arial" w:hAnsi="Arial"/>
          <w:sz w:val="18"/>
          <w:szCs w:val="18"/>
          <w:color w:val="auto"/>
        </w:rPr>
        <w:t>Chief Executive Officer (principal executive officer)</w:t>
      </w:r>
    </w:p>
    <w:p>
      <w:pPr>
        <w:spacing w:after="0" w:line="22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w:t>
      </w:r>
      <w:r>
        <w:rPr>
          <w:rFonts w:ascii="Arial" w:cs="Arial" w:eastAsia="Arial" w:hAnsi="Arial"/>
          <w:sz w:val="14"/>
          <w:szCs w:val="14"/>
          <w:color w:val="auto"/>
        </w:rPr>
        <w:t>E</w:t>
      </w:r>
      <w:r>
        <w:rPr>
          <w:rFonts w:ascii="Arial" w:cs="Arial" w:eastAsia="Arial" w:hAnsi="Arial"/>
          <w:sz w:val="18"/>
          <w:szCs w:val="18"/>
          <w:color w:val="auto"/>
        </w:rPr>
        <w:t xml:space="preserve">. </w:t>
      </w:r>
      <w:r>
        <w:rPr>
          <w:rFonts w:ascii="Arial" w:cs="Arial" w:eastAsia="Arial" w:hAnsi="Arial"/>
          <w:sz w:val="14"/>
          <w:szCs w:val="14"/>
          <w:color w:val="auto"/>
        </w:rPr>
        <w:t>LEE WYATT</w:t>
      </w:r>
      <w:r>
        <w:rPr>
          <w:rFonts w:ascii="Arial" w:cs="Arial" w:eastAsia="Arial" w:hAnsi="Arial"/>
          <w:sz w:val="18"/>
          <w:szCs w:val="18"/>
          <w:color w:val="auto"/>
        </w:rPr>
        <w:t xml:space="preserve">, </w:t>
      </w:r>
      <w:r>
        <w:rPr>
          <w:rFonts w:ascii="Arial" w:cs="Arial" w:eastAsia="Arial" w:hAnsi="Arial"/>
          <w:sz w:val="14"/>
          <w:szCs w:val="14"/>
          <w:color w:val="auto"/>
        </w:rPr>
        <w:t>JR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-4445</wp:posOffset>
            </wp:positionV>
            <wp:extent cx="318135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8"/>
          <w:szCs w:val="18"/>
          <w:color w:val="auto"/>
        </w:rPr>
        <w:t>E. Lee Wyatt, Jr.</w:t>
      </w:r>
    </w:p>
    <w:p>
      <w:pPr>
        <w:ind w:left="6520"/>
        <w:spacing w:after="0" w:line="234" w:lineRule="auto"/>
        <w:rPr>
          <w:sz w:val="20"/>
          <w:szCs w:val="20"/>
          <w:color w:val="auto"/>
        </w:rPr>
      </w:pPr>
      <w:r>
        <w:rPr>
          <w:rFonts w:ascii="Arial" w:cs="Arial" w:eastAsia="Arial" w:hAnsi="Arial"/>
          <w:sz w:val="18"/>
          <w:szCs w:val="18"/>
          <w:color w:val="auto"/>
        </w:rPr>
        <w:t>Senior Vice President and Chief Financial Officer (principal</w:t>
      </w:r>
    </w:p>
    <w:p>
      <w:pPr>
        <w:spacing w:after="0" w:line="1"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financial officer)</w:t>
      </w:r>
    </w:p>
    <w:p>
      <w:pPr>
        <w:spacing w:after="0" w:line="171"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4"/>
                <w:szCs w:val="14"/>
                <w:color w:val="auto"/>
              </w:rPr>
              <w:t>CHRISTOPHER J</w:t>
            </w:r>
            <w:r>
              <w:rPr>
                <w:rFonts w:ascii="Arial" w:cs="Arial" w:eastAsia="Arial" w:hAnsi="Arial"/>
                <w:sz w:val="18"/>
                <w:szCs w:val="18"/>
                <w:color w:val="auto"/>
              </w:rPr>
              <w:t xml:space="preserve">. </w:t>
            </w:r>
            <w:r>
              <w:rPr>
                <w:rFonts w:ascii="Arial" w:cs="Arial" w:eastAsia="Arial" w:hAnsi="Arial"/>
                <w:sz w:val="14"/>
                <w:szCs w:val="14"/>
                <w:color w:val="auto"/>
              </w:rPr>
              <w:t>KLEIN</w:t>
            </w:r>
          </w:p>
        </w:tc>
        <w:tc>
          <w:tcPr>
            <w:tcW w:w="1480" w:type="dxa"/>
            <w:vAlign w:val="bottom"/>
          </w:tcPr>
          <w:p>
            <w:pPr>
              <w:spacing w:after="0"/>
              <w:rPr>
                <w:sz w:val="17"/>
                <w:szCs w:val="17"/>
                <w:color w:val="auto"/>
              </w:rPr>
            </w:pP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4"/>
                <w:szCs w:val="14"/>
                <w:color w:val="auto"/>
              </w:rPr>
              <w:t>A</w:t>
            </w:r>
            <w:r>
              <w:rPr>
                <w:rFonts w:ascii="Arial" w:cs="Arial" w:eastAsia="Arial" w:hAnsi="Arial"/>
                <w:sz w:val="18"/>
                <w:szCs w:val="18"/>
                <w:color w:val="auto"/>
              </w:rPr>
              <w:t>.</w:t>
            </w:r>
            <w:r>
              <w:rPr>
                <w:rFonts w:ascii="Arial" w:cs="Arial" w:eastAsia="Arial" w:hAnsi="Arial"/>
                <w:sz w:val="14"/>
                <w:szCs w:val="14"/>
                <w:color w:val="auto"/>
              </w:rPr>
              <w:t>D</w:t>
            </w:r>
            <w:r>
              <w:rPr>
                <w:rFonts w:ascii="Arial" w:cs="Arial" w:eastAsia="Arial" w:hAnsi="Arial"/>
                <w:sz w:val="18"/>
                <w:szCs w:val="18"/>
                <w:color w:val="auto"/>
              </w:rPr>
              <w:t xml:space="preserve">. </w:t>
            </w:r>
            <w:r>
              <w:rPr>
                <w:rFonts w:ascii="Arial" w:cs="Arial" w:eastAsia="Arial" w:hAnsi="Arial"/>
                <w:sz w:val="14"/>
                <w:szCs w:val="14"/>
                <w:color w:val="auto"/>
              </w:rPr>
              <w:t>DAVID MACKAY</w:t>
            </w:r>
            <w:r>
              <w:rPr>
                <w:rFonts w:ascii="Arial" w:cs="Arial" w:eastAsia="Arial" w:hAnsi="Arial"/>
                <w:sz w:val="18"/>
                <w:szCs w:val="18"/>
                <w:color w:val="auto"/>
              </w:rPr>
              <w:t>*</w:t>
            </w:r>
          </w:p>
        </w:tc>
      </w:tr>
      <w:tr>
        <w:trPr>
          <w:trHeight w:val="199"/>
        </w:trPr>
        <w:tc>
          <w:tcPr>
            <w:tcW w:w="5040" w:type="dxa"/>
            <w:vAlign w:val="bottom"/>
            <w:gridSpan w:val="3"/>
          </w:tcPr>
          <w:p>
            <w:pPr>
              <w:spacing w:after="0" w:line="200" w:lineRule="exact"/>
              <w:rPr>
                <w:sz w:val="20"/>
                <w:szCs w:val="20"/>
                <w:color w:val="auto"/>
              </w:rPr>
            </w:pPr>
            <w:r>
              <w:rPr>
                <w:rFonts w:ascii="Arial" w:cs="Arial" w:eastAsia="Arial" w:hAnsi="Arial"/>
                <w:sz w:val="18"/>
                <w:szCs w:val="18"/>
                <w:color w:val="auto"/>
                <w:w w:val="98"/>
              </w:rPr>
              <w:t>Christopher J. Klein, Chief Executive Officer (principal executive</w:t>
            </w:r>
          </w:p>
        </w:tc>
        <w:tc>
          <w:tcPr>
            <w:tcW w:w="1480" w:type="dxa"/>
            <w:vAlign w:val="bottom"/>
          </w:tcPr>
          <w:p>
            <w:pPr>
              <w:spacing w:after="0"/>
              <w:rPr>
                <w:sz w:val="17"/>
                <w:szCs w:val="17"/>
                <w:color w:val="auto"/>
              </w:rPr>
            </w:pPr>
          </w:p>
        </w:tc>
        <w:tc>
          <w:tcPr>
            <w:tcW w:w="4900" w:type="dxa"/>
            <w:vAlign w:val="bottom"/>
          </w:tcPr>
          <w:p>
            <w:pPr>
              <w:spacing w:after="0" w:line="200" w:lineRule="exact"/>
              <w:rPr>
                <w:sz w:val="20"/>
                <w:szCs w:val="20"/>
                <w:color w:val="auto"/>
              </w:rPr>
            </w:pPr>
            <w:r>
              <w:rPr>
                <w:rFonts w:ascii="Arial" w:cs="Arial" w:eastAsia="Arial" w:hAnsi="Arial"/>
                <w:sz w:val="18"/>
                <w:szCs w:val="18"/>
                <w:color w:val="auto"/>
              </w:rPr>
              <w:t>A.D. David Mackay, Director</w:t>
            </w:r>
          </w:p>
        </w:tc>
      </w:tr>
      <w:tr>
        <w:trPr>
          <w:trHeight w:val="203"/>
        </w:trPr>
        <w:tc>
          <w:tcPr>
            <w:tcW w:w="5040" w:type="dxa"/>
            <w:vAlign w:val="bottom"/>
            <w:gridSpan w:val="3"/>
          </w:tcPr>
          <w:p>
            <w:pPr>
              <w:spacing w:after="0" w:line="202" w:lineRule="exact"/>
              <w:rPr>
                <w:sz w:val="20"/>
                <w:szCs w:val="20"/>
                <w:color w:val="auto"/>
              </w:rPr>
            </w:pPr>
            <w:r>
              <w:rPr>
                <w:rFonts w:ascii="Arial" w:cs="Arial" w:eastAsia="Arial" w:hAnsi="Arial"/>
                <w:sz w:val="18"/>
                <w:szCs w:val="18"/>
                <w:color w:val="auto"/>
              </w:rPr>
              <w:t>officer)</w:t>
            </w:r>
          </w:p>
        </w:tc>
        <w:tc>
          <w:tcPr>
            <w:tcW w:w="1480" w:type="dxa"/>
            <w:vAlign w:val="bottom"/>
          </w:tcPr>
          <w:p>
            <w:pPr>
              <w:spacing w:after="0"/>
              <w:rPr>
                <w:sz w:val="17"/>
                <w:szCs w:val="17"/>
                <w:color w:val="auto"/>
              </w:rPr>
            </w:pPr>
          </w:p>
        </w:tc>
        <w:tc>
          <w:tcPr>
            <w:tcW w:w="4900" w:type="dxa"/>
            <w:vAlign w:val="bottom"/>
          </w:tcPr>
          <w:p>
            <w:pPr>
              <w:spacing w:after="0" w:line="202" w:lineRule="exact"/>
              <w:rPr>
                <w:sz w:val="20"/>
                <w:szCs w:val="20"/>
                <w:color w:val="auto"/>
              </w:rPr>
            </w:pPr>
            <w:r>
              <w:rPr>
                <w:rFonts w:ascii="Arial" w:cs="Arial" w:eastAsia="Arial" w:hAnsi="Arial"/>
                <w:sz w:val="18"/>
                <w:szCs w:val="18"/>
                <w:color w:val="auto"/>
              </w:rPr>
              <w:t>Date: February 22, 2012</w:t>
            </w:r>
          </w:p>
        </w:tc>
      </w:tr>
      <w:tr>
        <w:trPr>
          <w:trHeight w:val="211"/>
        </w:trPr>
        <w:tc>
          <w:tcPr>
            <w:tcW w:w="5040" w:type="dxa"/>
            <w:vAlign w:val="bottom"/>
            <w:gridSpan w:val="3"/>
          </w:tcPr>
          <w:p>
            <w:pPr>
              <w:spacing w:after="0"/>
              <w:rPr>
                <w:sz w:val="20"/>
                <w:szCs w:val="20"/>
                <w:color w:val="auto"/>
              </w:rPr>
            </w:pPr>
            <w:r>
              <w:rPr>
                <w:rFonts w:ascii="Arial" w:cs="Arial" w:eastAsia="Arial" w:hAnsi="Arial"/>
                <w:sz w:val="18"/>
                <w:szCs w:val="18"/>
                <w:color w:val="auto"/>
              </w:rPr>
              <w:t>Date: February 22, 2012</w:t>
            </w:r>
          </w:p>
        </w:tc>
        <w:tc>
          <w:tcPr>
            <w:tcW w:w="148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421"/>
        </w:trPr>
        <w:tc>
          <w:tcPr>
            <w:tcW w:w="5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4"/>
                <w:szCs w:val="14"/>
                <w:color w:val="auto"/>
              </w:rPr>
              <w:t>E</w:t>
            </w:r>
            <w:r>
              <w:rPr>
                <w:rFonts w:ascii="Arial" w:cs="Arial" w:eastAsia="Arial" w:hAnsi="Arial"/>
                <w:sz w:val="18"/>
                <w:szCs w:val="18"/>
                <w:color w:val="auto"/>
              </w:rPr>
              <w:t xml:space="preserve">. </w:t>
            </w:r>
            <w:r>
              <w:rPr>
                <w:rFonts w:ascii="Arial" w:cs="Arial" w:eastAsia="Arial" w:hAnsi="Arial"/>
                <w:sz w:val="14"/>
                <w:szCs w:val="14"/>
                <w:color w:val="auto"/>
              </w:rPr>
              <w:t>LEE WYATT</w:t>
            </w:r>
            <w:r>
              <w:rPr>
                <w:rFonts w:ascii="Arial" w:cs="Arial" w:eastAsia="Arial" w:hAnsi="Arial"/>
                <w:sz w:val="18"/>
                <w:szCs w:val="18"/>
                <w:color w:val="auto"/>
              </w:rPr>
              <w:t xml:space="preserve">, </w:t>
            </w:r>
            <w:r>
              <w:rPr>
                <w:rFonts w:ascii="Arial" w:cs="Arial" w:eastAsia="Arial" w:hAnsi="Arial"/>
                <w:sz w:val="14"/>
                <w:szCs w:val="14"/>
                <w:color w:val="auto"/>
              </w:rPr>
              <w:t>JR</w:t>
            </w:r>
            <w:r>
              <w:rPr>
                <w:rFonts w:ascii="Arial" w:cs="Arial" w:eastAsia="Arial" w:hAnsi="Arial"/>
                <w:sz w:val="18"/>
                <w:szCs w:val="18"/>
                <w:color w:val="auto"/>
              </w:rPr>
              <w:t>.</w:t>
            </w:r>
          </w:p>
        </w:tc>
        <w:tc>
          <w:tcPr>
            <w:tcW w:w="1480" w:type="dxa"/>
            <w:vAlign w:val="bottom"/>
          </w:tcPr>
          <w:p>
            <w:pPr>
              <w:spacing w:after="0"/>
              <w:rPr>
                <w:sz w:val="24"/>
                <w:szCs w:val="24"/>
                <w:color w:val="auto"/>
              </w:rPr>
            </w:pP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4"/>
                <w:szCs w:val="14"/>
                <w:color w:val="auto"/>
              </w:rPr>
              <w:t>JOHN G</w:t>
            </w:r>
            <w:r>
              <w:rPr>
                <w:rFonts w:ascii="Arial" w:cs="Arial" w:eastAsia="Arial" w:hAnsi="Arial"/>
                <w:sz w:val="18"/>
                <w:szCs w:val="18"/>
                <w:color w:val="auto"/>
              </w:rPr>
              <w:t xml:space="preserve">. </w:t>
            </w:r>
            <w:r>
              <w:rPr>
                <w:rFonts w:ascii="Arial" w:cs="Arial" w:eastAsia="Arial" w:hAnsi="Arial"/>
                <w:sz w:val="14"/>
                <w:szCs w:val="14"/>
                <w:color w:val="auto"/>
              </w:rPr>
              <w:t>MORIKIS</w:t>
            </w:r>
            <w:r>
              <w:rPr>
                <w:rFonts w:ascii="Arial" w:cs="Arial" w:eastAsia="Arial" w:hAnsi="Arial"/>
                <w:sz w:val="18"/>
                <w:szCs w:val="18"/>
                <w:color w:val="auto"/>
              </w:rPr>
              <w:t>*</w:t>
            </w:r>
          </w:p>
        </w:tc>
      </w:tr>
      <w:tr>
        <w:trPr>
          <w:trHeight w:val="199"/>
        </w:trPr>
        <w:tc>
          <w:tcPr>
            <w:tcW w:w="5040" w:type="dxa"/>
            <w:vAlign w:val="bottom"/>
            <w:gridSpan w:val="3"/>
          </w:tcPr>
          <w:p>
            <w:pPr>
              <w:spacing w:after="0" w:line="200" w:lineRule="exact"/>
              <w:rPr>
                <w:sz w:val="20"/>
                <w:szCs w:val="20"/>
                <w:color w:val="auto"/>
              </w:rPr>
            </w:pPr>
            <w:r>
              <w:rPr>
                <w:rFonts w:ascii="Arial" w:cs="Arial" w:eastAsia="Arial" w:hAnsi="Arial"/>
                <w:sz w:val="18"/>
                <w:szCs w:val="18"/>
                <w:color w:val="auto"/>
              </w:rPr>
              <w:t>E. Lee Wyatt, Jr., Senior Vice President and Chief Financial</w:t>
            </w:r>
          </w:p>
        </w:tc>
        <w:tc>
          <w:tcPr>
            <w:tcW w:w="1480" w:type="dxa"/>
            <w:vAlign w:val="bottom"/>
          </w:tcPr>
          <w:p>
            <w:pPr>
              <w:spacing w:after="0"/>
              <w:rPr>
                <w:sz w:val="17"/>
                <w:szCs w:val="17"/>
                <w:color w:val="auto"/>
              </w:rPr>
            </w:pPr>
          </w:p>
        </w:tc>
        <w:tc>
          <w:tcPr>
            <w:tcW w:w="4900" w:type="dxa"/>
            <w:vAlign w:val="bottom"/>
          </w:tcPr>
          <w:p>
            <w:pPr>
              <w:spacing w:after="0" w:line="200" w:lineRule="exact"/>
              <w:rPr>
                <w:sz w:val="20"/>
                <w:szCs w:val="20"/>
                <w:color w:val="auto"/>
              </w:rPr>
            </w:pPr>
            <w:r>
              <w:rPr>
                <w:rFonts w:ascii="Arial" w:cs="Arial" w:eastAsia="Arial" w:hAnsi="Arial"/>
                <w:sz w:val="18"/>
                <w:szCs w:val="18"/>
                <w:color w:val="auto"/>
              </w:rPr>
              <w:t>John G. Morikis, Director</w:t>
            </w:r>
          </w:p>
        </w:tc>
      </w:tr>
      <w:tr>
        <w:trPr>
          <w:trHeight w:val="203"/>
        </w:trPr>
        <w:tc>
          <w:tcPr>
            <w:tcW w:w="5040" w:type="dxa"/>
            <w:vAlign w:val="bottom"/>
            <w:gridSpan w:val="3"/>
          </w:tcPr>
          <w:p>
            <w:pPr>
              <w:spacing w:after="0" w:line="202" w:lineRule="exact"/>
              <w:rPr>
                <w:sz w:val="20"/>
                <w:szCs w:val="20"/>
                <w:color w:val="auto"/>
              </w:rPr>
            </w:pPr>
            <w:r>
              <w:rPr>
                <w:rFonts w:ascii="Arial" w:cs="Arial" w:eastAsia="Arial" w:hAnsi="Arial"/>
                <w:sz w:val="18"/>
                <w:szCs w:val="18"/>
                <w:color w:val="auto"/>
              </w:rPr>
              <w:t>Officer (principal financial officer)</w:t>
            </w:r>
          </w:p>
        </w:tc>
        <w:tc>
          <w:tcPr>
            <w:tcW w:w="1480" w:type="dxa"/>
            <w:vAlign w:val="bottom"/>
          </w:tcPr>
          <w:p>
            <w:pPr>
              <w:spacing w:after="0"/>
              <w:rPr>
                <w:sz w:val="17"/>
                <w:szCs w:val="17"/>
                <w:color w:val="auto"/>
              </w:rPr>
            </w:pPr>
          </w:p>
        </w:tc>
        <w:tc>
          <w:tcPr>
            <w:tcW w:w="4900" w:type="dxa"/>
            <w:vAlign w:val="bottom"/>
          </w:tcPr>
          <w:p>
            <w:pPr>
              <w:spacing w:after="0" w:line="202" w:lineRule="exact"/>
              <w:rPr>
                <w:sz w:val="20"/>
                <w:szCs w:val="20"/>
                <w:color w:val="auto"/>
              </w:rPr>
            </w:pPr>
            <w:r>
              <w:rPr>
                <w:rFonts w:ascii="Arial" w:cs="Arial" w:eastAsia="Arial" w:hAnsi="Arial"/>
                <w:sz w:val="18"/>
                <w:szCs w:val="18"/>
                <w:color w:val="auto"/>
              </w:rPr>
              <w:t>Date: February 22, 2012</w:t>
            </w:r>
          </w:p>
        </w:tc>
      </w:tr>
      <w:tr>
        <w:trPr>
          <w:trHeight w:val="211"/>
        </w:trPr>
        <w:tc>
          <w:tcPr>
            <w:tcW w:w="5040" w:type="dxa"/>
            <w:vAlign w:val="bottom"/>
            <w:gridSpan w:val="3"/>
          </w:tcPr>
          <w:p>
            <w:pPr>
              <w:spacing w:after="0"/>
              <w:rPr>
                <w:sz w:val="20"/>
                <w:szCs w:val="20"/>
                <w:color w:val="auto"/>
              </w:rPr>
            </w:pPr>
            <w:r>
              <w:rPr>
                <w:rFonts w:ascii="Arial" w:cs="Arial" w:eastAsia="Arial" w:hAnsi="Arial"/>
                <w:sz w:val="18"/>
                <w:szCs w:val="18"/>
                <w:color w:val="auto"/>
              </w:rPr>
              <w:t>Date: February 22, 2012</w:t>
            </w:r>
          </w:p>
        </w:tc>
        <w:tc>
          <w:tcPr>
            <w:tcW w:w="148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421"/>
        </w:trPr>
        <w:tc>
          <w:tcPr>
            <w:tcW w:w="5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4"/>
                <w:szCs w:val="14"/>
                <w:color w:val="auto"/>
              </w:rPr>
              <w:t>EDWARD A</w:t>
            </w:r>
            <w:r>
              <w:rPr>
                <w:rFonts w:ascii="Arial" w:cs="Arial" w:eastAsia="Arial" w:hAnsi="Arial"/>
                <w:sz w:val="18"/>
                <w:szCs w:val="18"/>
                <w:color w:val="auto"/>
              </w:rPr>
              <w:t xml:space="preserve">. </w:t>
            </w:r>
            <w:r>
              <w:rPr>
                <w:rFonts w:ascii="Arial" w:cs="Arial" w:eastAsia="Arial" w:hAnsi="Arial"/>
                <w:sz w:val="14"/>
                <w:szCs w:val="14"/>
                <w:color w:val="auto"/>
              </w:rPr>
              <w:t>WIERTEL</w:t>
            </w:r>
          </w:p>
        </w:tc>
        <w:tc>
          <w:tcPr>
            <w:tcW w:w="1480" w:type="dxa"/>
            <w:vAlign w:val="bottom"/>
          </w:tcPr>
          <w:p>
            <w:pPr>
              <w:spacing w:after="0"/>
              <w:rPr>
                <w:sz w:val="24"/>
                <w:szCs w:val="24"/>
                <w:color w:val="auto"/>
              </w:rPr>
            </w:pP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4"/>
                <w:szCs w:val="14"/>
                <w:color w:val="auto"/>
              </w:rPr>
              <w:t>DAVID M</w:t>
            </w:r>
            <w:r>
              <w:rPr>
                <w:rFonts w:ascii="Arial" w:cs="Arial" w:eastAsia="Arial" w:hAnsi="Arial"/>
                <w:sz w:val="18"/>
                <w:szCs w:val="18"/>
                <w:color w:val="auto"/>
              </w:rPr>
              <w:t xml:space="preserve">. </w:t>
            </w:r>
            <w:r>
              <w:rPr>
                <w:rFonts w:ascii="Arial" w:cs="Arial" w:eastAsia="Arial" w:hAnsi="Arial"/>
                <w:sz w:val="14"/>
                <w:szCs w:val="14"/>
                <w:color w:val="auto"/>
              </w:rPr>
              <w:t>THOMAS</w:t>
            </w:r>
            <w:r>
              <w:rPr>
                <w:rFonts w:ascii="Arial" w:cs="Arial" w:eastAsia="Arial" w:hAnsi="Arial"/>
                <w:sz w:val="18"/>
                <w:szCs w:val="18"/>
                <w:color w:val="auto"/>
              </w:rPr>
              <w:t>*</w:t>
            </w:r>
          </w:p>
        </w:tc>
      </w:tr>
      <w:tr>
        <w:trPr>
          <w:trHeight w:val="199"/>
        </w:trPr>
        <w:tc>
          <w:tcPr>
            <w:tcW w:w="5040" w:type="dxa"/>
            <w:vAlign w:val="bottom"/>
            <w:gridSpan w:val="3"/>
          </w:tcPr>
          <w:p>
            <w:pPr>
              <w:spacing w:after="0" w:line="200" w:lineRule="exact"/>
              <w:rPr>
                <w:sz w:val="20"/>
                <w:szCs w:val="20"/>
                <w:color w:val="auto"/>
              </w:rPr>
            </w:pPr>
            <w:r>
              <w:rPr>
                <w:rFonts w:ascii="Arial" w:cs="Arial" w:eastAsia="Arial" w:hAnsi="Arial"/>
                <w:sz w:val="18"/>
                <w:szCs w:val="18"/>
                <w:color w:val="auto"/>
              </w:rPr>
              <w:t>Edward A. Wiertel, Senior Vice President —</w:t>
            </w:r>
          </w:p>
        </w:tc>
        <w:tc>
          <w:tcPr>
            <w:tcW w:w="1480" w:type="dxa"/>
            <w:vAlign w:val="bottom"/>
          </w:tcPr>
          <w:p>
            <w:pPr>
              <w:spacing w:after="0"/>
              <w:rPr>
                <w:sz w:val="17"/>
                <w:szCs w:val="17"/>
                <w:color w:val="auto"/>
              </w:rPr>
            </w:pPr>
          </w:p>
        </w:tc>
        <w:tc>
          <w:tcPr>
            <w:tcW w:w="4900" w:type="dxa"/>
            <w:vAlign w:val="bottom"/>
          </w:tcPr>
          <w:p>
            <w:pPr>
              <w:spacing w:after="0" w:line="200" w:lineRule="exact"/>
              <w:rPr>
                <w:sz w:val="20"/>
                <w:szCs w:val="20"/>
                <w:color w:val="auto"/>
              </w:rPr>
            </w:pPr>
            <w:r>
              <w:rPr>
                <w:rFonts w:ascii="Arial" w:cs="Arial" w:eastAsia="Arial" w:hAnsi="Arial"/>
                <w:sz w:val="18"/>
                <w:szCs w:val="18"/>
                <w:color w:val="auto"/>
              </w:rPr>
              <w:t>David M. Thomas, Director</w:t>
            </w:r>
          </w:p>
        </w:tc>
      </w:tr>
      <w:tr>
        <w:trPr>
          <w:trHeight w:val="203"/>
        </w:trPr>
        <w:tc>
          <w:tcPr>
            <w:tcW w:w="5040" w:type="dxa"/>
            <w:vAlign w:val="bottom"/>
            <w:gridSpan w:val="3"/>
          </w:tcPr>
          <w:p>
            <w:pPr>
              <w:spacing w:after="0" w:line="202" w:lineRule="exact"/>
              <w:rPr>
                <w:sz w:val="20"/>
                <w:szCs w:val="20"/>
                <w:color w:val="auto"/>
              </w:rPr>
            </w:pPr>
            <w:r>
              <w:rPr>
                <w:rFonts w:ascii="Arial" w:cs="Arial" w:eastAsia="Arial" w:hAnsi="Arial"/>
                <w:sz w:val="18"/>
                <w:szCs w:val="18"/>
                <w:color w:val="auto"/>
              </w:rPr>
              <w:t>Finance (principal accounting officer)</w:t>
            </w:r>
          </w:p>
        </w:tc>
        <w:tc>
          <w:tcPr>
            <w:tcW w:w="1480" w:type="dxa"/>
            <w:vAlign w:val="bottom"/>
          </w:tcPr>
          <w:p>
            <w:pPr>
              <w:spacing w:after="0"/>
              <w:rPr>
                <w:sz w:val="17"/>
                <w:szCs w:val="17"/>
                <w:color w:val="auto"/>
              </w:rPr>
            </w:pPr>
          </w:p>
        </w:tc>
        <w:tc>
          <w:tcPr>
            <w:tcW w:w="4900" w:type="dxa"/>
            <w:vAlign w:val="bottom"/>
          </w:tcPr>
          <w:p>
            <w:pPr>
              <w:spacing w:after="0" w:line="202" w:lineRule="exact"/>
              <w:rPr>
                <w:sz w:val="20"/>
                <w:szCs w:val="20"/>
                <w:color w:val="auto"/>
              </w:rPr>
            </w:pPr>
            <w:r>
              <w:rPr>
                <w:rFonts w:ascii="Arial" w:cs="Arial" w:eastAsia="Arial" w:hAnsi="Arial"/>
                <w:sz w:val="18"/>
                <w:szCs w:val="18"/>
                <w:color w:val="auto"/>
              </w:rPr>
              <w:t>Date: February 22, 2012</w:t>
            </w:r>
          </w:p>
        </w:tc>
      </w:tr>
      <w:tr>
        <w:trPr>
          <w:trHeight w:val="211"/>
        </w:trPr>
        <w:tc>
          <w:tcPr>
            <w:tcW w:w="5040" w:type="dxa"/>
            <w:vAlign w:val="bottom"/>
            <w:gridSpan w:val="3"/>
          </w:tcPr>
          <w:p>
            <w:pPr>
              <w:spacing w:after="0"/>
              <w:rPr>
                <w:sz w:val="20"/>
                <w:szCs w:val="20"/>
                <w:color w:val="auto"/>
              </w:rPr>
            </w:pPr>
            <w:r>
              <w:rPr>
                <w:rFonts w:ascii="Arial" w:cs="Arial" w:eastAsia="Arial" w:hAnsi="Arial"/>
                <w:sz w:val="18"/>
                <w:szCs w:val="18"/>
                <w:color w:val="auto"/>
              </w:rPr>
              <w:t>Date: February 22, 2012</w:t>
            </w:r>
          </w:p>
        </w:tc>
        <w:tc>
          <w:tcPr>
            <w:tcW w:w="148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421"/>
        </w:trPr>
        <w:tc>
          <w:tcPr>
            <w:tcW w:w="5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4"/>
                <w:szCs w:val="14"/>
                <w:color w:val="auto"/>
              </w:rPr>
              <w:t>RICHARD A</w:t>
            </w:r>
            <w:r>
              <w:rPr>
                <w:rFonts w:ascii="Arial" w:cs="Arial" w:eastAsia="Arial" w:hAnsi="Arial"/>
                <w:sz w:val="18"/>
                <w:szCs w:val="18"/>
                <w:color w:val="auto"/>
              </w:rPr>
              <w:t xml:space="preserve">. </w:t>
            </w:r>
            <w:r>
              <w:rPr>
                <w:rFonts w:ascii="Arial" w:cs="Arial" w:eastAsia="Arial" w:hAnsi="Arial"/>
                <w:sz w:val="14"/>
                <w:szCs w:val="14"/>
                <w:color w:val="auto"/>
              </w:rPr>
              <w:t>GOLDSTEIN</w:t>
            </w:r>
            <w:r>
              <w:rPr>
                <w:rFonts w:ascii="Arial" w:cs="Arial" w:eastAsia="Arial" w:hAnsi="Arial"/>
                <w:sz w:val="18"/>
                <w:szCs w:val="18"/>
                <w:color w:val="auto"/>
              </w:rPr>
              <w:t>*</w:t>
            </w:r>
          </w:p>
        </w:tc>
        <w:tc>
          <w:tcPr>
            <w:tcW w:w="1480" w:type="dxa"/>
            <w:vAlign w:val="bottom"/>
          </w:tcPr>
          <w:p>
            <w:pPr>
              <w:spacing w:after="0"/>
              <w:rPr>
                <w:sz w:val="24"/>
                <w:szCs w:val="24"/>
                <w:color w:val="auto"/>
              </w:rPr>
            </w:pP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4"/>
                <w:szCs w:val="14"/>
                <w:color w:val="auto"/>
              </w:rPr>
              <w:t>RONALD V</w:t>
            </w:r>
            <w:r>
              <w:rPr>
                <w:rFonts w:ascii="Arial" w:cs="Arial" w:eastAsia="Arial" w:hAnsi="Arial"/>
                <w:sz w:val="18"/>
                <w:szCs w:val="18"/>
                <w:color w:val="auto"/>
              </w:rPr>
              <w:t xml:space="preserve">. </w:t>
            </w:r>
            <w:r>
              <w:rPr>
                <w:rFonts w:ascii="Arial" w:cs="Arial" w:eastAsia="Arial" w:hAnsi="Arial"/>
                <w:sz w:val="14"/>
                <w:szCs w:val="14"/>
                <w:color w:val="auto"/>
              </w:rPr>
              <w:t>WATERS</w:t>
            </w:r>
            <w:r>
              <w:rPr>
                <w:rFonts w:ascii="Arial" w:cs="Arial" w:eastAsia="Arial" w:hAnsi="Arial"/>
                <w:sz w:val="18"/>
                <w:szCs w:val="18"/>
                <w:color w:val="auto"/>
              </w:rPr>
              <w:t xml:space="preserve">, </w:t>
            </w:r>
            <w:r>
              <w:rPr>
                <w:rFonts w:ascii="Arial" w:cs="Arial" w:eastAsia="Arial" w:hAnsi="Arial"/>
                <w:sz w:val="14"/>
                <w:szCs w:val="14"/>
                <w:color w:val="auto"/>
              </w:rPr>
              <w:t>III</w:t>
            </w:r>
            <w:r>
              <w:rPr>
                <w:rFonts w:ascii="Arial" w:cs="Arial" w:eastAsia="Arial" w:hAnsi="Arial"/>
                <w:sz w:val="18"/>
                <w:szCs w:val="18"/>
                <w:color w:val="auto"/>
              </w:rPr>
              <w:t>*</w:t>
            </w:r>
          </w:p>
        </w:tc>
      </w:tr>
      <w:tr>
        <w:trPr>
          <w:trHeight w:val="199"/>
        </w:trPr>
        <w:tc>
          <w:tcPr>
            <w:tcW w:w="5040" w:type="dxa"/>
            <w:vAlign w:val="bottom"/>
            <w:gridSpan w:val="3"/>
          </w:tcPr>
          <w:p>
            <w:pPr>
              <w:spacing w:after="0" w:line="200" w:lineRule="exact"/>
              <w:rPr>
                <w:sz w:val="20"/>
                <w:szCs w:val="20"/>
                <w:color w:val="auto"/>
              </w:rPr>
            </w:pPr>
            <w:r>
              <w:rPr>
                <w:rFonts w:ascii="Arial" w:cs="Arial" w:eastAsia="Arial" w:hAnsi="Arial"/>
                <w:sz w:val="18"/>
                <w:szCs w:val="18"/>
                <w:color w:val="auto"/>
              </w:rPr>
              <w:t>Richard A. Goldstein, Director</w:t>
            </w:r>
          </w:p>
        </w:tc>
        <w:tc>
          <w:tcPr>
            <w:tcW w:w="1480" w:type="dxa"/>
            <w:vAlign w:val="bottom"/>
          </w:tcPr>
          <w:p>
            <w:pPr>
              <w:spacing w:after="0"/>
              <w:rPr>
                <w:sz w:val="17"/>
                <w:szCs w:val="17"/>
                <w:color w:val="auto"/>
              </w:rPr>
            </w:pPr>
          </w:p>
        </w:tc>
        <w:tc>
          <w:tcPr>
            <w:tcW w:w="4900" w:type="dxa"/>
            <w:vAlign w:val="bottom"/>
          </w:tcPr>
          <w:p>
            <w:pPr>
              <w:spacing w:after="0" w:line="200" w:lineRule="exact"/>
              <w:rPr>
                <w:sz w:val="20"/>
                <w:szCs w:val="20"/>
                <w:color w:val="auto"/>
              </w:rPr>
            </w:pPr>
            <w:r>
              <w:rPr>
                <w:rFonts w:ascii="Arial" w:cs="Arial" w:eastAsia="Arial" w:hAnsi="Arial"/>
                <w:sz w:val="18"/>
                <w:szCs w:val="18"/>
                <w:color w:val="auto"/>
              </w:rPr>
              <w:t>Ronald V. Waters, III, Director</w:t>
            </w:r>
          </w:p>
        </w:tc>
      </w:tr>
      <w:tr>
        <w:trPr>
          <w:trHeight w:val="211"/>
        </w:trPr>
        <w:tc>
          <w:tcPr>
            <w:tcW w:w="5040" w:type="dxa"/>
            <w:vAlign w:val="bottom"/>
            <w:gridSpan w:val="3"/>
          </w:tcPr>
          <w:p>
            <w:pPr>
              <w:spacing w:after="0"/>
              <w:rPr>
                <w:sz w:val="20"/>
                <w:szCs w:val="20"/>
                <w:color w:val="auto"/>
              </w:rPr>
            </w:pPr>
            <w:r>
              <w:rPr>
                <w:rFonts w:ascii="Arial" w:cs="Arial" w:eastAsia="Arial" w:hAnsi="Arial"/>
                <w:sz w:val="18"/>
                <w:szCs w:val="18"/>
                <w:color w:val="auto"/>
              </w:rPr>
              <w:t>Date: February 22, 2012</w:t>
            </w:r>
          </w:p>
        </w:tc>
        <w:tc>
          <w:tcPr>
            <w:tcW w:w="148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Date: February 22, 2012</w:t>
            </w:r>
          </w:p>
        </w:tc>
      </w:tr>
      <w:tr>
        <w:trPr>
          <w:trHeight w:val="421"/>
        </w:trPr>
        <w:tc>
          <w:tcPr>
            <w:tcW w:w="5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4"/>
                <w:szCs w:val="14"/>
                <w:color w:val="auto"/>
              </w:rPr>
              <w:t>ANN FRITZ HACKETT</w:t>
            </w:r>
            <w:r>
              <w:rPr>
                <w:rFonts w:ascii="Arial" w:cs="Arial" w:eastAsia="Arial" w:hAnsi="Arial"/>
                <w:sz w:val="18"/>
                <w:szCs w:val="18"/>
                <w:color w:val="auto"/>
              </w:rPr>
              <w:t>*</w:t>
            </w:r>
          </w:p>
        </w:tc>
        <w:tc>
          <w:tcPr>
            <w:tcW w:w="1480" w:type="dxa"/>
            <w:vAlign w:val="bottom"/>
          </w:tcPr>
          <w:p>
            <w:pPr>
              <w:spacing w:after="0"/>
              <w:rPr>
                <w:sz w:val="24"/>
                <w:szCs w:val="24"/>
                <w:color w:val="auto"/>
              </w:rPr>
            </w:pP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4"/>
                <w:szCs w:val="14"/>
                <w:color w:val="auto"/>
              </w:rPr>
              <w:t>NORMAN H</w:t>
            </w:r>
            <w:r>
              <w:rPr>
                <w:rFonts w:ascii="Arial" w:cs="Arial" w:eastAsia="Arial" w:hAnsi="Arial"/>
                <w:sz w:val="18"/>
                <w:szCs w:val="18"/>
                <w:color w:val="auto"/>
              </w:rPr>
              <w:t xml:space="preserve">. </w:t>
            </w:r>
            <w:r>
              <w:rPr>
                <w:rFonts w:ascii="Arial" w:cs="Arial" w:eastAsia="Arial" w:hAnsi="Arial"/>
                <w:sz w:val="14"/>
                <w:szCs w:val="14"/>
                <w:color w:val="auto"/>
              </w:rPr>
              <w:t>WESLEY</w:t>
            </w:r>
            <w:r>
              <w:rPr>
                <w:rFonts w:ascii="Arial" w:cs="Arial" w:eastAsia="Arial" w:hAnsi="Arial"/>
                <w:sz w:val="18"/>
                <w:szCs w:val="18"/>
                <w:color w:val="auto"/>
              </w:rPr>
              <w:t>*</w:t>
            </w:r>
          </w:p>
        </w:tc>
      </w:tr>
      <w:tr>
        <w:trPr>
          <w:trHeight w:val="199"/>
        </w:trPr>
        <w:tc>
          <w:tcPr>
            <w:tcW w:w="5040" w:type="dxa"/>
            <w:vAlign w:val="bottom"/>
            <w:gridSpan w:val="3"/>
          </w:tcPr>
          <w:p>
            <w:pPr>
              <w:spacing w:after="0" w:line="200" w:lineRule="exact"/>
              <w:rPr>
                <w:sz w:val="20"/>
                <w:szCs w:val="20"/>
                <w:color w:val="auto"/>
              </w:rPr>
            </w:pPr>
            <w:r>
              <w:rPr>
                <w:rFonts w:ascii="Arial" w:cs="Arial" w:eastAsia="Arial" w:hAnsi="Arial"/>
                <w:sz w:val="18"/>
                <w:szCs w:val="18"/>
                <w:color w:val="auto"/>
              </w:rPr>
              <w:t>Ann Fritz Hackett, Director</w:t>
            </w:r>
          </w:p>
        </w:tc>
        <w:tc>
          <w:tcPr>
            <w:tcW w:w="1480" w:type="dxa"/>
            <w:vAlign w:val="bottom"/>
          </w:tcPr>
          <w:p>
            <w:pPr>
              <w:spacing w:after="0"/>
              <w:rPr>
                <w:sz w:val="17"/>
                <w:szCs w:val="17"/>
                <w:color w:val="auto"/>
              </w:rPr>
            </w:pPr>
          </w:p>
        </w:tc>
        <w:tc>
          <w:tcPr>
            <w:tcW w:w="4900" w:type="dxa"/>
            <w:vAlign w:val="bottom"/>
          </w:tcPr>
          <w:p>
            <w:pPr>
              <w:spacing w:after="0" w:line="200" w:lineRule="exact"/>
              <w:rPr>
                <w:sz w:val="20"/>
                <w:szCs w:val="20"/>
                <w:color w:val="auto"/>
              </w:rPr>
            </w:pPr>
            <w:r>
              <w:rPr>
                <w:rFonts w:ascii="Arial" w:cs="Arial" w:eastAsia="Arial" w:hAnsi="Arial"/>
                <w:sz w:val="18"/>
                <w:szCs w:val="18"/>
                <w:color w:val="auto"/>
              </w:rPr>
              <w:t>Norman H. Wesley, Director</w:t>
            </w:r>
          </w:p>
        </w:tc>
      </w:tr>
      <w:tr>
        <w:trPr>
          <w:trHeight w:val="211"/>
        </w:trPr>
        <w:tc>
          <w:tcPr>
            <w:tcW w:w="5040" w:type="dxa"/>
            <w:vAlign w:val="bottom"/>
            <w:gridSpan w:val="3"/>
          </w:tcPr>
          <w:p>
            <w:pPr>
              <w:spacing w:after="0"/>
              <w:rPr>
                <w:sz w:val="20"/>
                <w:szCs w:val="20"/>
                <w:color w:val="auto"/>
              </w:rPr>
            </w:pPr>
            <w:r>
              <w:rPr>
                <w:rFonts w:ascii="Arial" w:cs="Arial" w:eastAsia="Arial" w:hAnsi="Arial"/>
                <w:sz w:val="18"/>
                <w:szCs w:val="18"/>
                <w:color w:val="auto"/>
              </w:rPr>
              <w:t>Date: February 22, 2012</w:t>
            </w:r>
          </w:p>
        </w:tc>
        <w:tc>
          <w:tcPr>
            <w:tcW w:w="148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Date: February 22, 2012</w:t>
            </w:r>
          </w:p>
        </w:tc>
      </w:tr>
      <w:tr>
        <w:trPr>
          <w:trHeight w:val="407"/>
        </w:trPr>
        <w:tc>
          <w:tcPr>
            <w:tcW w:w="5040" w:type="dxa"/>
            <w:vAlign w:val="bottom"/>
            <w:gridSpan w:val="3"/>
          </w:tcPr>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4"/>
                <w:szCs w:val="14"/>
                <w:color w:val="auto"/>
              </w:rPr>
              <w:t>LAUREN S</w:t>
            </w:r>
            <w:r>
              <w:rPr>
                <w:rFonts w:ascii="Arial" w:cs="Arial" w:eastAsia="Arial" w:hAnsi="Arial"/>
                <w:sz w:val="18"/>
                <w:szCs w:val="18"/>
                <w:color w:val="auto"/>
              </w:rPr>
              <w:t xml:space="preserve">. </w:t>
            </w:r>
            <w:r>
              <w:rPr>
                <w:rFonts w:ascii="Arial" w:cs="Arial" w:eastAsia="Arial" w:hAnsi="Arial"/>
                <w:sz w:val="14"/>
                <w:szCs w:val="14"/>
                <w:color w:val="auto"/>
              </w:rPr>
              <w:t>TASHMA</w:t>
            </w:r>
          </w:p>
        </w:tc>
        <w:tc>
          <w:tcPr>
            <w:tcW w:w="148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21"/>
        </w:trPr>
        <w:tc>
          <w:tcPr>
            <w:tcW w:w="460" w:type="dxa"/>
            <w:vAlign w:val="bottom"/>
          </w:tcPr>
          <w:p>
            <w:pPr>
              <w:spacing w:after="0"/>
              <w:rPr>
                <w:sz w:val="19"/>
                <w:szCs w:val="19"/>
                <w:color w:val="auto"/>
              </w:rPr>
            </w:pPr>
          </w:p>
        </w:tc>
        <w:tc>
          <w:tcPr>
            <w:tcW w:w="4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Lauren S. Tashma, Attorney-in-Fact</w:t>
            </w: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900" w:type="dxa"/>
            <w:vAlign w:val="bottom"/>
          </w:tcPr>
          <w:p>
            <w:pPr>
              <w:spacing w:after="0"/>
              <w:rPr>
                <w:sz w:val="19"/>
                <w:szCs w:val="19"/>
                <w:color w:val="auto"/>
              </w:rPr>
            </w:pPr>
          </w:p>
        </w:tc>
      </w:tr>
      <w:tr>
        <w:trPr>
          <w:trHeight w:val="351"/>
        </w:trPr>
        <w:tc>
          <w:tcPr>
            <w:tcW w:w="4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jc w:val="right"/>
              <w:ind w:right="612"/>
              <w:spacing w:after="0"/>
              <w:rPr>
                <w:sz w:val="20"/>
                <w:szCs w:val="20"/>
                <w:color w:val="auto"/>
              </w:rPr>
            </w:pPr>
            <w:r>
              <w:rPr>
                <w:rFonts w:ascii="Arial" w:cs="Arial" w:eastAsia="Arial" w:hAnsi="Arial"/>
                <w:sz w:val="18"/>
                <w:szCs w:val="18"/>
                <w:color w:val="auto"/>
              </w:rPr>
              <w:t>94</w:t>
            </w:r>
          </w:p>
        </w:tc>
        <w:tc>
          <w:tcPr>
            <w:tcW w:w="49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2011, 2010 and 2009</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jc w:val="right"/>
              <w:ind w:right="156"/>
              <w:spacing w:after="0"/>
              <w:rPr>
                <w:sz w:val="20"/>
                <w:szCs w:val="20"/>
                <w:color w:val="auto"/>
              </w:rPr>
            </w:pPr>
            <w:r>
              <w:rPr>
                <w:rFonts w:ascii="Arial" w:cs="Arial" w:eastAsia="Arial" w:hAnsi="Arial"/>
                <w:sz w:val="14"/>
                <w:szCs w:val="14"/>
                <w:color w:val="auto"/>
                <w:w w:val="93"/>
              </w:rPr>
              <w:t>Balance at</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56"/>
              <w:spacing w:after="0"/>
              <w:rPr>
                <w:sz w:val="20"/>
                <w:szCs w:val="20"/>
                <w:color w:val="auto"/>
              </w:rPr>
            </w:pPr>
            <w:r>
              <w:rPr>
                <w:rFonts w:ascii="Arial" w:cs="Arial" w:eastAsia="Arial" w:hAnsi="Arial"/>
                <w:sz w:val="14"/>
                <w:szCs w:val="14"/>
                <w:color w:val="auto"/>
              </w:rPr>
              <w:t>Write-offs,</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gridSpan w:val="2"/>
          </w:tcPr>
          <w:p>
            <w:pPr>
              <w:ind w:left="400"/>
              <w:spacing w:after="0"/>
              <w:rPr>
                <w:sz w:val="20"/>
                <w:szCs w:val="20"/>
                <w:color w:val="auto"/>
              </w:rPr>
            </w:pPr>
            <w:r>
              <w:rPr>
                <w:rFonts w:ascii="Arial" w:cs="Arial" w:eastAsia="Arial" w:hAnsi="Arial"/>
                <w:sz w:val="14"/>
                <w:szCs w:val="14"/>
                <w:color w:val="auto"/>
              </w:rPr>
              <w:t>Balance at</w:t>
            </w:r>
          </w:p>
        </w:tc>
      </w:tr>
      <w:tr>
        <w:trPr>
          <w:trHeight w:val="128"/>
        </w:trPr>
        <w:tc>
          <w:tcPr>
            <w:tcW w:w="4940" w:type="dxa"/>
            <w:vAlign w:val="bottom"/>
          </w:tcPr>
          <w:p>
            <w:pPr>
              <w:spacing w:after="0"/>
              <w:rPr>
                <w:sz w:val="11"/>
                <w:szCs w:val="11"/>
                <w:color w:val="auto"/>
              </w:rPr>
            </w:pPr>
          </w:p>
        </w:tc>
        <w:tc>
          <w:tcPr>
            <w:tcW w:w="1300" w:type="dxa"/>
            <w:vAlign w:val="bottom"/>
            <w:gridSpan w:val="2"/>
          </w:tcPr>
          <w:p>
            <w:pPr>
              <w:ind w:left="320"/>
              <w:spacing w:after="0" w:line="129" w:lineRule="exact"/>
              <w:rPr>
                <w:sz w:val="20"/>
                <w:szCs w:val="20"/>
                <w:color w:val="auto"/>
              </w:rPr>
            </w:pPr>
            <w:r>
              <w:rPr>
                <w:rFonts w:ascii="Arial" w:cs="Arial" w:eastAsia="Arial" w:hAnsi="Arial"/>
                <w:sz w:val="14"/>
                <w:szCs w:val="14"/>
                <w:color w:val="auto"/>
              </w:rPr>
              <w:t>Beginning of</w:t>
            </w:r>
          </w:p>
        </w:tc>
        <w:tc>
          <w:tcPr>
            <w:tcW w:w="1140" w:type="dxa"/>
            <w:vAlign w:val="bottom"/>
            <w:gridSpan w:val="2"/>
          </w:tcPr>
          <w:p>
            <w:pPr>
              <w:ind w:left="240"/>
              <w:spacing w:after="0" w:line="129" w:lineRule="exact"/>
              <w:rPr>
                <w:sz w:val="20"/>
                <w:szCs w:val="20"/>
                <w:color w:val="auto"/>
              </w:rPr>
            </w:pPr>
            <w:r>
              <w:rPr>
                <w:rFonts w:ascii="Arial" w:cs="Arial" w:eastAsia="Arial" w:hAnsi="Arial"/>
                <w:sz w:val="14"/>
                <w:szCs w:val="14"/>
                <w:color w:val="auto"/>
              </w:rPr>
              <w:t>Charged to</w:t>
            </w:r>
          </w:p>
        </w:tc>
        <w:tc>
          <w:tcPr>
            <w:tcW w:w="400" w:type="dxa"/>
            <w:vAlign w:val="bottom"/>
          </w:tcPr>
          <w:p>
            <w:pPr>
              <w:spacing w:after="0"/>
              <w:rPr>
                <w:sz w:val="11"/>
                <w:szCs w:val="11"/>
                <w:color w:val="auto"/>
              </w:rPr>
            </w:pPr>
          </w:p>
        </w:tc>
        <w:tc>
          <w:tcPr>
            <w:tcW w:w="900" w:type="dxa"/>
            <w:vAlign w:val="bottom"/>
          </w:tcPr>
          <w:p>
            <w:pPr>
              <w:jc w:val="right"/>
              <w:ind w:right="156"/>
              <w:spacing w:after="0" w:line="129" w:lineRule="exact"/>
              <w:rPr>
                <w:sz w:val="20"/>
                <w:szCs w:val="20"/>
                <w:color w:val="auto"/>
              </w:rPr>
            </w:pPr>
            <w:r>
              <w:rPr>
                <w:rFonts w:ascii="Arial" w:cs="Arial" w:eastAsia="Arial" w:hAnsi="Arial"/>
                <w:sz w:val="14"/>
                <w:szCs w:val="14"/>
                <w:color w:val="auto"/>
              </w:rPr>
              <w:t>and</w:t>
            </w: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jc w:val="right"/>
              <w:ind w:right="396"/>
              <w:spacing w:after="0" w:line="129" w:lineRule="exact"/>
              <w:rPr>
                <w:sz w:val="20"/>
                <w:szCs w:val="20"/>
                <w:color w:val="auto"/>
              </w:rPr>
            </w:pPr>
            <w:r>
              <w:rPr>
                <w:rFonts w:ascii="Arial" w:cs="Arial" w:eastAsia="Arial" w:hAnsi="Arial"/>
                <w:sz w:val="14"/>
                <w:szCs w:val="14"/>
                <w:color w:val="auto"/>
              </w:rPr>
              <w:t>End of</w:t>
            </w:r>
          </w:p>
        </w:tc>
      </w:tr>
      <w:tr>
        <w:trPr>
          <w:trHeight w:val="169"/>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millions)</w:t>
            </w: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rPr>
              <w:t>Period</w:t>
            </w: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w w:val="99"/>
              </w:rPr>
              <w:t>Expense</w:t>
            </w:r>
          </w:p>
        </w:tc>
        <w:tc>
          <w:tcPr>
            <w:tcW w:w="1300" w:type="dxa"/>
            <w:vAlign w:val="bottom"/>
            <w:tcBorders>
              <w:bottom w:val="single" w:sz="8" w:color="auto"/>
            </w:tcBorders>
            <w:gridSpan w:val="2"/>
          </w:tcPr>
          <w:p>
            <w:pPr>
              <w:ind w:left="260"/>
              <w:spacing w:after="0" w:line="170" w:lineRule="exact"/>
              <w:rPr>
                <w:sz w:val="20"/>
                <w:szCs w:val="20"/>
                <w:color w:val="auto"/>
              </w:rPr>
            </w:pPr>
            <w:r>
              <w:rPr>
                <w:rFonts w:ascii="Arial" w:cs="Arial" w:eastAsia="Arial" w:hAnsi="Arial"/>
                <w:sz w:val="12"/>
                <w:szCs w:val="12"/>
                <w:color w:val="auto"/>
              </w:rPr>
              <w:t>Deductions</w:t>
            </w:r>
            <w:r>
              <w:rPr>
                <w:rFonts w:ascii="Arial" w:cs="Arial" w:eastAsia="Arial" w:hAnsi="Arial"/>
                <w:sz w:val="19"/>
                <w:szCs w:val="19"/>
                <w:color w:val="auto"/>
                <w:vertAlign w:val="superscript"/>
              </w:rPr>
              <w:t>(a)</w:t>
            </w:r>
          </w:p>
        </w:tc>
        <w:tc>
          <w:tcPr>
            <w:tcW w:w="1220" w:type="dxa"/>
            <w:vAlign w:val="bottom"/>
            <w:tcBorders>
              <w:bottom w:val="single" w:sz="8" w:color="auto"/>
            </w:tcBorders>
            <w:gridSpan w:val="2"/>
          </w:tcPr>
          <w:p>
            <w:pPr>
              <w:jc w:val="right"/>
              <w:ind w:right="352"/>
              <w:spacing w:after="0" w:line="170" w:lineRule="exact"/>
              <w:rPr>
                <w:sz w:val="20"/>
                <w:szCs w:val="20"/>
                <w:color w:val="auto"/>
              </w:rPr>
            </w:pPr>
            <w:r>
              <w:rPr>
                <w:rFonts w:ascii="Arial" w:cs="Arial" w:eastAsia="Arial" w:hAnsi="Arial"/>
                <w:sz w:val="12"/>
                <w:szCs w:val="12"/>
                <w:color w:val="auto"/>
              </w:rPr>
              <w:t>Other</w:t>
            </w:r>
            <w:r>
              <w:rPr>
                <w:rFonts w:ascii="Arial" w:cs="Arial" w:eastAsia="Arial" w:hAnsi="Arial"/>
                <w:sz w:val="19"/>
                <w:szCs w:val="19"/>
                <w:color w:val="auto"/>
                <w:vertAlign w:val="superscript"/>
              </w:rPr>
              <w:t>(b)</w:t>
            </w:r>
          </w:p>
        </w:tc>
        <w:tc>
          <w:tcPr>
            <w:tcW w:w="5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Period</w:t>
            </w:r>
          </w:p>
        </w:tc>
      </w:tr>
      <w:tr>
        <w:trPr>
          <w:trHeight w:val="196"/>
        </w:trPr>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2011:</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Allowance for cash discounts, returns and sales allowances</w:t>
            </w:r>
          </w:p>
        </w:tc>
        <w:tc>
          <w:tcPr>
            <w:tcW w:w="420" w:type="dxa"/>
            <w:vAlign w:val="bottom"/>
          </w:tcPr>
          <w:p>
            <w:pPr>
              <w:ind w:left="30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37.3</w:t>
            </w:r>
          </w:p>
        </w:tc>
        <w:tc>
          <w:tcPr>
            <w:tcW w:w="360" w:type="dxa"/>
            <w:vAlign w:val="bottom"/>
          </w:tcPr>
          <w:p>
            <w:pPr>
              <w:ind w:left="24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157.8</w:t>
            </w:r>
          </w:p>
        </w:tc>
        <w:tc>
          <w:tcPr>
            <w:tcW w:w="40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155.8</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ind w:left="4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96"/>
              <w:spacing w:after="0" w:line="202" w:lineRule="exact"/>
              <w:rPr>
                <w:sz w:val="20"/>
                <w:szCs w:val="20"/>
                <w:color w:val="auto"/>
              </w:rPr>
            </w:pPr>
            <w:r>
              <w:rPr>
                <w:rFonts w:ascii="Arial" w:cs="Arial" w:eastAsia="Arial" w:hAnsi="Arial"/>
                <w:sz w:val="18"/>
                <w:szCs w:val="18"/>
                <w:color w:val="auto"/>
              </w:rPr>
              <w:t>39.3</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14.7</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5.6</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6"/>
              <w:spacing w:after="0" w:line="202" w:lineRule="exact"/>
              <w:rPr>
                <w:sz w:val="20"/>
                <w:szCs w:val="20"/>
                <w:color w:val="auto"/>
              </w:rPr>
            </w:pPr>
            <w:r>
              <w:rPr>
                <w:rFonts w:ascii="Arial" w:cs="Arial" w:eastAsia="Arial" w:hAnsi="Arial"/>
                <w:sz w:val="18"/>
                <w:szCs w:val="18"/>
                <w:color w:val="auto"/>
              </w:rPr>
              <w:t>10.6</w:t>
            </w:r>
          </w:p>
        </w:tc>
      </w:tr>
      <w:tr>
        <w:trPr>
          <w:trHeight w:val="214"/>
        </w:trPr>
        <w:tc>
          <w:tcPr>
            <w:tcW w:w="4940" w:type="dxa"/>
            <w:vAlign w:val="bottom"/>
          </w:tcPr>
          <w:p>
            <w:pPr>
              <w:spacing w:after="0"/>
              <w:rPr>
                <w:sz w:val="20"/>
                <w:szCs w:val="20"/>
                <w:color w:val="auto"/>
              </w:rPr>
            </w:pPr>
            <w:r>
              <w:rPr>
                <w:rFonts w:ascii="Arial" w:cs="Arial" w:eastAsia="Arial" w:hAnsi="Arial"/>
                <w:sz w:val="18"/>
                <w:szCs w:val="18"/>
                <w:color w:val="auto"/>
              </w:rPr>
              <w:t>Allowance for deferred tax assets</w:t>
            </w:r>
          </w:p>
        </w:tc>
        <w:tc>
          <w:tcPr>
            <w:tcW w:w="420" w:type="dxa"/>
            <w:vAlign w:val="bottom"/>
          </w:tcPr>
          <w:p>
            <w:pPr>
              <w:spacing w:after="0"/>
              <w:rPr>
                <w:sz w:val="18"/>
                <w:szCs w:val="18"/>
                <w:color w:val="auto"/>
              </w:rPr>
            </w:pPr>
          </w:p>
        </w:tc>
        <w:tc>
          <w:tcPr>
            <w:tcW w:w="880" w:type="dxa"/>
            <w:vAlign w:val="bottom"/>
          </w:tcPr>
          <w:p>
            <w:pPr>
              <w:jc w:val="right"/>
              <w:ind w:right="156"/>
              <w:spacing w:after="0"/>
              <w:rPr>
                <w:sz w:val="20"/>
                <w:szCs w:val="20"/>
                <w:color w:val="auto"/>
              </w:rPr>
            </w:pPr>
            <w:r>
              <w:rPr>
                <w:rFonts w:ascii="Arial" w:cs="Arial" w:eastAsia="Arial" w:hAnsi="Arial"/>
                <w:sz w:val="18"/>
                <w:szCs w:val="18"/>
                <w:color w:val="auto"/>
              </w:rPr>
              <w:t>37.8</w:t>
            </w:r>
          </w:p>
        </w:tc>
        <w:tc>
          <w:tcPr>
            <w:tcW w:w="360" w:type="dxa"/>
            <w:vAlign w:val="bottom"/>
          </w:tcPr>
          <w:p>
            <w:pPr>
              <w:spacing w:after="0"/>
              <w:rPr>
                <w:sz w:val="18"/>
                <w:szCs w:val="18"/>
                <w:color w:val="auto"/>
              </w:rPr>
            </w:pP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21.2</w:t>
            </w:r>
          </w:p>
        </w:tc>
        <w:tc>
          <w:tcPr>
            <w:tcW w:w="400" w:type="dxa"/>
            <w:vAlign w:val="bottom"/>
          </w:tcPr>
          <w:p>
            <w:pPr>
              <w:spacing w:after="0"/>
              <w:rPr>
                <w:sz w:val="18"/>
                <w:szCs w:val="18"/>
                <w:color w:val="auto"/>
              </w:rPr>
            </w:pPr>
          </w:p>
        </w:tc>
        <w:tc>
          <w:tcPr>
            <w:tcW w:w="90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60" w:type="dxa"/>
            <w:vAlign w:val="bottom"/>
          </w:tcPr>
          <w:p>
            <w:pPr>
              <w:jc w:val="right"/>
              <w:ind w:right="292"/>
              <w:spacing w:after="0"/>
              <w:rPr>
                <w:sz w:val="20"/>
                <w:szCs w:val="20"/>
                <w:color w:val="auto"/>
              </w:rPr>
            </w:pPr>
            <w:r>
              <w:rPr>
                <w:rFonts w:ascii="Arial" w:cs="Arial" w:eastAsia="Arial" w:hAnsi="Arial"/>
                <w:sz w:val="18"/>
                <w:szCs w:val="18"/>
                <w:color w:val="auto"/>
                <w:w w:val="97"/>
              </w:rPr>
              <w:t>(36.8)</w:t>
            </w:r>
          </w:p>
        </w:tc>
        <w:tc>
          <w:tcPr>
            <w:tcW w:w="580" w:type="dxa"/>
            <w:vAlign w:val="bottom"/>
          </w:tcPr>
          <w:p>
            <w:pPr>
              <w:spacing w:after="0"/>
              <w:rPr>
                <w:sz w:val="18"/>
                <w:szCs w:val="18"/>
                <w:color w:val="auto"/>
              </w:rPr>
            </w:pPr>
          </w:p>
        </w:tc>
        <w:tc>
          <w:tcPr>
            <w:tcW w:w="940" w:type="dxa"/>
            <w:vAlign w:val="bottom"/>
          </w:tcPr>
          <w:p>
            <w:pPr>
              <w:jc w:val="right"/>
              <w:ind w:right="396"/>
              <w:spacing w:after="0"/>
              <w:rPr>
                <w:sz w:val="20"/>
                <w:szCs w:val="20"/>
                <w:color w:val="auto"/>
              </w:rPr>
            </w:pPr>
            <w:r>
              <w:rPr>
                <w:rFonts w:ascii="Arial" w:cs="Arial" w:eastAsia="Arial" w:hAnsi="Arial"/>
                <w:sz w:val="18"/>
                <w:szCs w:val="18"/>
                <w:color w:val="auto"/>
              </w:rPr>
              <w:t>22.2</w:t>
            </w:r>
          </w:p>
        </w:tc>
      </w:tr>
      <w:tr>
        <w:trPr>
          <w:trHeight w:val="97"/>
        </w:trPr>
        <w:tc>
          <w:tcPr>
            <w:tcW w:w="4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2010:</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Allowance for cash discounts, returns and sales allowances</w:t>
            </w:r>
          </w:p>
        </w:tc>
        <w:tc>
          <w:tcPr>
            <w:tcW w:w="420" w:type="dxa"/>
            <w:vAlign w:val="bottom"/>
          </w:tcPr>
          <w:p>
            <w:pPr>
              <w:ind w:left="30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26.7</w:t>
            </w:r>
          </w:p>
        </w:tc>
        <w:tc>
          <w:tcPr>
            <w:tcW w:w="360" w:type="dxa"/>
            <w:vAlign w:val="bottom"/>
          </w:tcPr>
          <w:p>
            <w:pPr>
              <w:ind w:left="24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124.3</w:t>
            </w:r>
          </w:p>
        </w:tc>
        <w:tc>
          <w:tcPr>
            <w:tcW w:w="40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113.7</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ind w:left="4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96"/>
              <w:spacing w:after="0" w:line="202" w:lineRule="exact"/>
              <w:rPr>
                <w:sz w:val="20"/>
                <w:szCs w:val="20"/>
                <w:color w:val="auto"/>
              </w:rPr>
            </w:pPr>
            <w:r>
              <w:rPr>
                <w:rFonts w:ascii="Arial" w:cs="Arial" w:eastAsia="Arial" w:hAnsi="Arial"/>
                <w:sz w:val="18"/>
                <w:szCs w:val="18"/>
                <w:color w:val="auto"/>
              </w:rPr>
              <w:t>37.3</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17.5</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4.2</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7.0</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6"/>
              <w:spacing w:after="0" w:line="202" w:lineRule="exact"/>
              <w:rPr>
                <w:sz w:val="20"/>
                <w:szCs w:val="20"/>
                <w:color w:val="auto"/>
              </w:rPr>
            </w:pPr>
            <w:r>
              <w:rPr>
                <w:rFonts w:ascii="Arial" w:cs="Arial" w:eastAsia="Arial" w:hAnsi="Arial"/>
                <w:sz w:val="18"/>
                <w:szCs w:val="18"/>
                <w:color w:val="auto"/>
              </w:rPr>
              <w:t>14.7</w:t>
            </w:r>
          </w:p>
        </w:tc>
      </w:tr>
      <w:tr>
        <w:trPr>
          <w:trHeight w:val="214"/>
        </w:trPr>
        <w:tc>
          <w:tcPr>
            <w:tcW w:w="4940" w:type="dxa"/>
            <w:vAlign w:val="bottom"/>
          </w:tcPr>
          <w:p>
            <w:pPr>
              <w:spacing w:after="0"/>
              <w:rPr>
                <w:sz w:val="20"/>
                <w:szCs w:val="20"/>
                <w:color w:val="auto"/>
              </w:rPr>
            </w:pPr>
            <w:r>
              <w:rPr>
                <w:rFonts w:ascii="Arial" w:cs="Arial" w:eastAsia="Arial" w:hAnsi="Arial"/>
                <w:sz w:val="18"/>
                <w:szCs w:val="18"/>
                <w:color w:val="auto"/>
              </w:rPr>
              <w:t>Allowance for deferred tax assets</w:t>
            </w:r>
          </w:p>
        </w:tc>
        <w:tc>
          <w:tcPr>
            <w:tcW w:w="420" w:type="dxa"/>
            <w:vAlign w:val="bottom"/>
          </w:tcPr>
          <w:p>
            <w:pPr>
              <w:spacing w:after="0"/>
              <w:rPr>
                <w:sz w:val="18"/>
                <w:szCs w:val="18"/>
                <w:color w:val="auto"/>
              </w:rPr>
            </w:pPr>
          </w:p>
        </w:tc>
        <w:tc>
          <w:tcPr>
            <w:tcW w:w="880" w:type="dxa"/>
            <w:vAlign w:val="bottom"/>
          </w:tcPr>
          <w:p>
            <w:pPr>
              <w:jc w:val="right"/>
              <w:ind w:right="156"/>
              <w:spacing w:after="0"/>
              <w:rPr>
                <w:sz w:val="20"/>
                <w:szCs w:val="20"/>
                <w:color w:val="auto"/>
              </w:rPr>
            </w:pPr>
            <w:r>
              <w:rPr>
                <w:rFonts w:ascii="Arial" w:cs="Arial" w:eastAsia="Arial" w:hAnsi="Arial"/>
                <w:sz w:val="18"/>
                <w:szCs w:val="18"/>
                <w:color w:val="auto"/>
              </w:rPr>
              <w:t>32.6</w:t>
            </w:r>
          </w:p>
        </w:tc>
        <w:tc>
          <w:tcPr>
            <w:tcW w:w="360" w:type="dxa"/>
            <w:vAlign w:val="bottom"/>
          </w:tcPr>
          <w:p>
            <w:pPr>
              <w:spacing w:after="0"/>
              <w:rPr>
                <w:sz w:val="18"/>
                <w:szCs w:val="18"/>
                <w:color w:val="auto"/>
              </w:rPr>
            </w:pP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5.8</w:t>
            </w:r>
          </w:p>
        </w:tc>
        <w:tc>
          <w:tcPr>
            <w:tcW w:w="400" w:type="dxa"/>
            <w:vAlign w:val="bottom"/>
          </w:tcPr>
          <w:p>
            <w:pPr>
              <w:spacing w:after="0"/>
              <w:rPr>
                <w:sz w:val="18"/>
                <w:szCs w:val="18"/>
                <w:color w:val="auto"/>
              </w:rPr>
            </w:pPr>
          </w:p>
        </w:tc>
        <w:tc>
          <w:tcPr>
            <w:tcW w:w="900" w:type="dxa"/>
            <w:vAlign w:val="bottom"/>
          </w:tcPr>
          <w:p>
            <w:pPr>
              <w:jc w:val="right"/>
              <w:ind w:right="156"/>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18"/>
                <w:szCs w:val="18"/>
                <w:color w:val="auto"/>
              </w:rPr>
            </w:pPr>
          </w:p>
        </w:tc>
        <w:tc>
          <w:tcPr>
            <w:tcW w:w="86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40" w:type="dxa"/>
            <w:vAlign w:val="bottom"/>
          </w:tcPr>
          <w:p>
            <w:pPr>
              <w:jc w:val="right"/>
              <w:ind w:right="396"/>
              <w:spacing w:after="0"/>
              <w:rPr>
                <w:sz w:val="20"/>
                <w:szCs w:val="20"/>
                <w:color w:val="auto"/>
              </w:rPr>
            </w:pPr>
            <w:r>
              <w:rPr>
                <w:rFonts w:ascii="Arial" w:cs="Arial" w:eastAsia="Arial" w:hAnsi="Arial"/>
                <w:sz w:val="18"/>
                <w:szCs w:val="18"/>
                <w:color w:val="auto"/>
              </w:rPr>
              <w:t>37.8</w:t>
            </w:r>
          </w:p>
        </w:tc>
      </w:tr>
      <w:tr>
        <w:trPr>
          <w:trHeight w:val="97"/>
        </w:trPr>
        <w:tc>
          <w:tcPr>
            <w:tcW w:w="4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2009:</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Allowance for cash discounts, returns and sales allowances</w:t>
            </w:r>
          </w:p>
        </w:tc>
        <w:tc>
          <w:tcPr>
            <w:tcW w:w="420" w:type="dxa"/>
            <w:vAlign w:val="bottom"/>
          </w:tcPr>
          <w:p>
            <w:pPr>
              <w:ind w:left="30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21.7</w:t>
            </w:r>
          </w:p>
        </w:tc>
        <w:tc>
          <w:tcPr>
            <w:tcW w:w="360" w:type="dxa"/>
            <w:vAlign w:val="bottom"/>
          </w:tcPr>
          <w:p>
            <w:pPr>
              <w:ind w:left="24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141.2</w:t>
            </w:r>
          </w:p>
        </w:tc>
        <w:tc>
          <w:tcPr>
            <w:tcW w:w="40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136.3</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ind w:left="4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96"/>
              <w:spacing w:after="0" w:line="202" w:lineRule="exact"/>
              <w:rPr>
                <w:sz w:val="20"/>
                <w:szCs w:val="20"/>
                <w:color w:val="auto"/>
              </w:rPr>
            </w:pPr>
            <w:r>
              <w:rPr>
                <w:rFonts w:ascii="Arial" w:cs="Arial" w:eastAsia="Arial" w:hAnsi="Arial"/>
                <w:sz w:val="18"/>
                <w:szCs w:val="18"/>
                <w:color w:val="auto"/>
              </w:rPr>
              <w:t>26.7</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12.9</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15.5</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10.9</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6"/>
              <w:spacing w:after="0" w:line="202" w:lineRule="exact"/>
              <w:rPr>
                <w:sz w:val="20"/>
                <w:szCs w:val="20"/>
                <w:color w:val="auto"/>
              </w:rPr>
            </w:pPr>
            <w:r>
              <w:rPr>
                <w:rFonts w:ascii="Arial" w:cs="Arial" w:eastAsia="Arial" w:hAnsi="Arial"/>
                <w:sz w:val="18"/>
                <w:szCs w:val="18"/>
                <w:color w:val="auto"/>
              </w:rPr>
              <w:t>17.5</w:t>
            </w:r>
          </w:p>
        </w:tc>
      </w:tr>
      <w:tr>
        <w:trPr>
          <w:trHeight w:val="214"/>
        </w:trPr>
        <w:tc>
          <w:tcPr>
            <w:tcW w:w="4940" w:type="dxa"/>
            <w:vAlign w:val="bottom"/>
          </w:tcPr>
          <w:p>
            <w:pPr>
              <w:spacing w:after="0"/>
              <w:rPr>
                <w:sz w:val="20"/>
                <w:szCs w:val="20"/>
                <w:color w:val="auto"/>
              </w:rPr>
            </w:pPr>
            <w:r>
              <w:rPr>
                <w:rFonts w:ascii="Arial" w:cs="Arial" w:eastAsia="Arial" w:hAnsi="Arial"/>
                <w:sz w:val="18"/>
                <w:szCs w:val="18"/>
                <w:color w:val="auto"/>
              </w:rPr>
              <w:t>Allowance for deferred tax assets</w:t>
            </w:r>
          </w:p>
        </w:tc>
        <w:tc>
          <w:tcPr>
            <w:tcW w:w="420" w:type="dxa"/>
            <w:vAlign w:val="bottom"/>
          </w:tcPr>
          <w:p>
            <w:pPr>
              <w:spacing w:after="0"/>
              <w:rPr>
                <w:sz w:val="18"/>
                <w:szCs w:val="18"/>
                <w:color w:val="auto"/>
              </w:rPr>
            </w:pPr>
          </w:p>
        </w:tc>
        <w:tc>
          <w:tcPr>
            <w:tcW w:w="880" w:type="dxa"/>
            <w:vAlign w:val="bottom"/>
          </w:tcPr>
          <w:p>
            <w:pPr>
              <w:jc w:val="right"/>
              <w:ind w:right="156"/>
              <w:spacing w:after="0"/>
              <w:rPr>
                <w:sz w:val="20"/>
                <w:szCs w:val="20"/>
                <w:color w:val="auto"/>
              </w:rPr>
            </w:pPr>
            <w:r>
              <w:rPr>
                <w:rFonts w:ascii="Arial" w:cs="Arial" w:eastAsia="Arial" w:hAnsi="Arial"/>
                <w:sz w:val="18"/>
                <w:szCs w:val="18"/>
                <w:color w:val="auto"/>
              </w:rPr>
              <w:t>38.6</w:t>
            </w:r>
          </w:p>
        </w:tc>
        <w:tc>
          <w:tcPr>
            <w:tcW w:w="360" w:type="dxa"/>
            <w:vAlign w:val="bottom"/>
          </w:tcPr>
          <w:p>
            <w:pPr>
              <w:spacing w:after="0"/>
              <w:rPr>
                <w:sz w:val="18"/>
                <w:szCs w:val="18"/>
                <w:color w:val="auto"/>
              </w:rPr>
            </w:pP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00" w:type="dxa"/>
            <w:vAlign w:val="bottom"/>
          </w:tcPr>
          <w:p>
            <w:pPr>
              <w:jc w:val="right"/>
              <w:ind w:right="156"/>
              <w:spacing w:after="0"/>
              <w:rPr>
                <w:sz w:val="20"/>
                <w:szCs w:val="20"/>
                <w:color w:val="auto"/>
              </w:rPr>
            </w:pPr>
            <w:r>
              <w:rPr>
                <w:rFonts w:ascii="Arial" w:cs="Arial" w:eastAsia="Arial" w:hAnsi="Arial"/>
                <w:sz w:val="18"/>
                <w:szCs w:val="18"/>
                <w:color w:val="auto"/>
              </w:rPr>
              <w:t>6.0</w:t>
            </w:r>
          </w:p>
        </w:tc>
        <w:tc>
          <w:tcPr>
            <w:tcW w:w="360" w:type="dxa"/>
            <w:vAlign w:val="bottom"/>
          </w:tcPr>
          <w:p>
            <w:pPr>
              <w:spacing w:after="0"/>
              <w:rPr>
                <w:sz w:val="18"/>
                <w:szCs w:val="18"/>
                <w:color w:val="auto"/>
              </w:rPr>
            </w:pPr>
          </w:p>
        </w:tc>
        <w:tc>
          <w:tcPr>
            <w:tcW w:w="86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40" w:type="dxa"/>
            <w:vAlign w:val="bottom"/>
          </w:tcPr>
          <w:p>
            <w:pPr>
              <w:jc w:val="right"/>
              <w:ind w:right="396"/>
              <w:spacing w:after="0"/>
              <w:rPr>
                <w:sz w:val="20"/>
                <w:szCs w:val="20"/>
                <w:color w:val="auto"/>
              </w:rPr>
            </w:pPr>
            <w:r>
              <w:rPr>
                <w:rFonts w:ascii="Arial" w:cs="Arial" w:eastAsia="Arial" w:hAnsi="Arial"/>
                <w:sz w:val="18"/>
                <w:szCs w:val="18"/>
                <w:color w:val="auto"/>
              </w:rPr>
              <w:t>32.6</w:t>
            </w:r>
          </w:p>
        </w:tc>
      </w:tr>
    </w:tbl>
    <w:p>
      <w:pPr>
        <w:ind w:left="220" w:hanging="212"/>
        <w:spacing w:after="0" w:line="219" w:lineRule="auto"/>
        <w:tabs>
          <w:tab w:leader="none" w:pos="220"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Net of recoveries of amounts written off in prior years and immaterial foreign currency impact.</w:t>
      </w:r>
    </w:p>
    <w:p>
      <w:pPr>
        <w:spacing w:after="0" w:line="67" w:lineRule="exact"/>
        <w:rPr>
          <w:rFonts w:ascii="Arial" w:cs="Arial" w:eastAsia="Arial" w:hAnsi="Arial"/>
          <w:sz w:val="22"/>
          <w:szCs w:val="22"/>
          <w:color w:val="auto"/>
          <w:vertAlign w:val="superscript"/>
        </w:rPr>
      </w:pPr>
    </w:p>
    <w:p>
      <w:pPr>
        <w:ind w:left="220" w:right="20" w:hanging="212"/>
        <w:spacing w:after="0" w:line="191" w:lineRule="auto"/>
        <w:tabs>
          <w:tab w:leader="none" w:pos="220"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For 2009 and 2010 reporting purposes, the Home &amp; Security consolidated group recorded a 100% valuation allowance related to foreign tax credit carryovers that would have existed had Home &amp; Security been a separate taxpayer in those years. However, due to the fact that the Home &amp; Security companies were included in a consolidated federal income tax return in those years and were reimbursed for their respective share of the foreign tax credits generated, no foreign tax credit carryovers exist as of December 31, 2011.</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10.10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FORTUNE BRANDS HOME &amp; SECURITY,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LONG-TERM INCENTIVE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Performance Share Award Notice—February 21, 2012 (the “Notice”)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Home &amp; Security Corporate Officers and Operating Company Presidents</w:t>
      </w:r>
    </w:p>
    <w:p>
      <w:pPr>
        <w:spacing w:after="0" w:line="159"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 xml:space="preserve">You have been awarded </w:t>
      </w:r>
      <w:r>
        <w:rPr>
          <w:rFonts w:ascii="Arial" w:cs="Arial" w:eastAsia="Arial" w:hAnsi="Arial"/>
          <w:sz w:val="16"/>
          <w:szCs w:val="16"/>
          <w:b w:val="1"/>
          <w:bCs w:val="1"/>
          <w:color w:val="auto"/>
        </w:rPr>
        <w:t>[XX]</w:t>
      </w:r>
      <w:r>
        <w:rPr>
          <w:rFonts w:ascii="Arial" w:cs="Arial" w:eastAsia="Arial" w:hAnsi="Arial"/>
          <w:sz w:val="16"/>
          <w:szCs w:val="16"/>
          <w:color w:val="auto"/>
        </w:rPr>
        <w:t xml:space="preserve"> target performance share awards (“PSAs”) that will be paid in shares of common stock of Fortune Brands Home &amp; Security, Inc. (the “</w:t>
      </w:r>
      <w:r>
        <w:rPr>
          <w:rFonts w:ascii="Arial" w:cs="Arial" w:eastAsia="Arial" w:hAnsi="Arial"/>
          <w:sz w:val="16"/>
          <w:szCs w:val="16"/>
          <w:u w:val="single" w:color="auto"/>
          <w:color w:val="auto"/>
        </w:rPr>
        <w:t>Company</w:t>
      </w:r>
      <w:r>
        <w:rPr>
          <w:rFonts w:ascii="Arial" w:cs="Arial" w:eastAsia="Arial" w:hAnsi="Arial"/>
          <w:sz w:val="16"/>
          <w:szCs w:val="16"/>
          <w:color w:val="auto"/>
        </w:rPr>
        <w:t>”). Pursuant to the terms and conditions of the Fortune Brands Home &amp; Security, Inc. 2011 Long-Term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and the Performance Share Award Agreement (together with this Notice, the “</w:t>
      </w:r>
      <w:r>
        <w:rPr>
          <w:rFonts w:ascii="Arial" w:cs="Arial" w:eastAsia="Arial" w:hAnsi="Arial"/>
          <w:sz w:val="16"/>
          <w:szCs w:val="16"/>
          <w:u w:val="single" w:color="auto"/>
          <w:color w:val="auto"/>
        </w:rPr>
        <w:t>Agreement</w:t>
      </w:r>
      <w:r>
        <w:rPr>
          <w:rFonts w:ascii="Arial" w:cs="Arial" w:eastAsia="Arial" w:hAnsi="Arial"/>
          <w:sz w:val="16"/>
          <w:szCs w:val="16"/>
          <w:color w:val="auto"/>
        </w:rPr>
        <w:t>”), the number of shares of Company common stock paid (if any) at the end of the Performance Period will be based upon Company performance compared to the performance goals. Copies of the Plan and the Performance Share Award Agreement are available on the Morgan Stanley Smith Barney Benefit Access</w:t>
      </w:r>
      <w:r>
        <w:rPr>
          <w:rFonts w:ascii="Arial" w:cs="Arial" w:eastAsia="Arial" w:hAnsi="Arial"/>
          <w:sz w:val="10"/>
          <w:szCs w:val="10"/>
          <w:color w:val="auto"/>
        </w:rPr>
        <w:t>®</w:t>
      </w:r>
      <w:r>
        <w:rPr>
          <w:rFonts w:ascii="Arial" w:cs="Arial" w:eastAsia="Arial" w:hAnsi="Arial"/>
          <w:sz w:val="16"/>
          <w:szCs w:val="16"/>
          <w:color w:val="auto"/>
        </w:rPr>
        <w:t xml:space="preserve"> website (</w:t>
      </w:r>
      <w:r>
        <w:rPr>
          <w:rFonts w:ascii="Arial" w:cs="Arial" w:eastAsia="Arial" w:hAnsi="Arial"/>
          <w:sz w:val="16"/>
          <w:szCs w:val="16"/>
          <w:u w:val="single" w:color="auto"/>
          <w:color w:val="auto"/>
        </w:rPr>
        <w:t>www.benefitaccess.com</w:t>
      </w:r>
      <w:r>
        <w:rPr>
          <w:rFonts w:ascii="Arial" w:cs="Arial" w:eastAsia="Arial" w:hAnsi="Arial"/>
          <w:sz w:val="16"/>
          <w:szCs w:val="16"/>
          <w:color w:val="auto"/>
        </w:rPr>
        <w:t>). Capitalized terms not defined in this Notice have the meanings specified in the Plan or the Agreement.</w:t>
      </w:r>
    </w:p>
    <w:p>
      <w:pPr>
        <w:sectPr>
          <w:pgSz w:w="11900" w:h="16838" w:orient="portrait"/>
          <w:cols w:equalWidth="0" w:num="1">
            <w:col w:w="11420"/>
          </w:cols>
          <w:pgMar w:left="240" w:top="125" w:right="239"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Award:</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right to earn a number of shares of Company common stock, to be paid at the end of the Performance Period, based upon the Company’s attainment of the performance goals.</w:t>
      </w:r>
    </w:p>
    <w:p>
      <w:pPr>
        <w:spacing w:after="0" w:line="186" w:lineRule="exact"/>
        <w:rPr>
          <w:sz w:val="20"/>
          <w:szCs w:val="20"/>
          <w:color w:val="auto"/>
        </w:rPr>
      </w:pPr>
    </w:p>
    <w:p>
      <w:pPr>
        <w:sectPr>
          <w:pgSz w:w="11900" w:h="16838" w:orient="portrait"/>
          <w:cols w:equalWidth="0" w:num="2">
            <w:col w:w="1460" w:space="720"/>
            <w:col w:w="924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color w:val="auto"/>
        </w:rPr>
        <w:t>Award Amount:</w:t>
      </w:r>
    </w:p>
    <w:p>
      <w:pPr>
        <w:sectPr>
          <w:pgSz w:w="11900" w:h="16838" w:orient="portrait"/>
          <w:cols w:equalWidth="0" w:num="1">
            <w:col w:w="11420"/>
          </w:cols>
          <w:pgMar w:left="240" w:top="125" w:right="2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Award Date: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February 21, 2012</w:t>
      </w:r>
    </w:p>
    <w:p>
      <w:pPr>
        <w:spacing w:after="0" w:line="211" w:lineRule="exact"/>
        <w:rPr>
          <w:sz w:val="20"/>
          <w:szCs w:val="20"/>
          <w:color w:val="auto"/>
        </w:rPr>
      </w:pPr>
    </w:p>
    <w:p>
      <w:pPr>
        <w:sectPr>
          <w:pgSz w:w="11900" w:h="16838" w:orient="portrait"/>
          <w:cols w:equalWidth="0" w:num="2">
            <w:col w:w="1460" w:space="720"/>
            <w:col w:w="9240"/>
          </w:cols>
          <w:pgMar w:left="240" w:top="12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Performance Period: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January 1, 2012 – December 31, 2014</w:t>
      </w:r>
    </w:p>
    <w:p>
      <w:pPr>
        <w:spacing w:after="0" w:line="200" w:lineRule="exact"/>
        <w:rPr>
          <w:sz w:val="20"/>
          <w:szCs w:val="20"/>
          <w:color w:val="auto"/>
        </w:rPr>
      </w:pPr>
    </w:p>
    <w:p>
      <w:pPr>
        <w:sectPr>
          <w:pgSz w:w="11900" w:h="16838" w:orient="portrait"/>
          <w:cols w:equalWidth="0" w:num="2">
            <w:col w:w="1460" w:space="720"/>
            <w:col w:w="9240"/>
          </w:cols>
          <w:pgMar w:left="240" w:top="125" w:right="2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Vesting Date:</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later of January 31, 2015 or the date as of which the Compensation Committee of the Company’s Board of Directors certifies attainment of the performance goals.</w:t>
      </w:r>
    </w:p>
    <w:p>
      <w:pPr>
        <w:sectPr>
          <w:pgSz w:w="11900" w:h="16838" w:orient="portrait"/>
          <w:cols w:equalWidth="0" w:num="2">
            <w:col w:w="1460" w:space="720"/>
            <w:col w:w="9240"/>
          </w:cols>
          <w:pgMar w:left="240" w:top="125" w:right="239" w:bottom="1440" w:gutter="0" w:footer="0" w:header="0"/>
          <w:type w:val="continuous"/>
        </w:sectPr>
      </w:pPr>
    </w:p>
    <w:bookmarkStart w:id="98" w:name="page99"/>
    <w:bookmarkEnd w:id="9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FORTUNE BRANDS HOME &amp; SECURITY,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2011 LONG-TERM INCENTIVE PLAN</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February 21, 2012 Performance Share Award Agreement (the “Agreement”)</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Fortune Brands Home &amp; Security, Inc., a Delaware corporation (“</w:t>
      </w:r>
      <w:r>
        <w:rPr>
          <w:rFonts w:ascii="Arial" w:cs="Arial" w:eastAsia="Arial" w:hAnsi="Arial"/>
          <w:sz w:val="16"/>
          <w:szCs w:val="16"/>
          <w:u w:val="single" w:color="auto"/>
          <w:color w:val="auto"/>
        </w:rPr>
        <w:t>Home &amp; Security</w:t>
      </w:r>
      <w:r>
        <w:rPr>
          <w:rFonts w:ascii="Arial" w:cs="Arial" w:eastAsia="Arial" w:hAnsi="Arial"/>
          <w:sz w:val="16"/>
          <w:szCs w:val="16"/>
          <w:color w:val="auto"/>
        </w:rPr>
        <w:t>”), grants to the individual (“</w:t>
      </w:r>
      <w:r>
        <w:rPr>
          <w:rFonts w:ascii="Arial" w:cs="Arial" w:eastAsia="Arial" w:hAnsi="Arial"/>
          <w:sz w:val="16"/>
          <w:szCs w:val="16"/>
          <w:u w:val="single" w:color="auto"/>
          <w:color w:val="auto"/>
        </w:rPr>
        <w:t>Holder</w:t>
      </w:r>
      <w:r>
        <w:rPr>
          <w:rFonts w:ascii="Arial" w:cs="Arial" w:eastAsia="Arial" w:hAnsi="Arial"/>
          <w:sz w:val="16"/>
          <w:szCs w:val="16"/>
          <w:color w:val="auto"/>
        </w:rPr>
        <w:t>”) named in the Award notice (the “</w:t>
      </w:r>
      <w:r>
        <w:rPr>
          <w:rFonts w:ascii="Arial" w:cs="Arial" w:eastAsia="Arial" w:hAnsi="Arial"/>
          <w:sz w:val="16"/>
          <w:szCs w:val="16"/>
          <w:u w:val="single" w:color="auto"/>
          <w:color w:val="auto"/>
        </w:rPr>
        <w:t>Award Notice</w:t>
      </w:r>
      <w:r>
        <w:rPr>
          <w:rFonts w:ascii="Arial" w:cs="Arial" w:eastAsia="Arial" w:hAnsi="Arial"/>
          <w:sz w:val="16"/>
          <w:szCs w:val="16"/>
          <w:color w:val="auto"/>
        </w:rPr>
        <w:t>”) a performance stock award (the “</w:t>
      </w:r>
      <w:r>
        <w:rPr>
          <w:rFonts w:ascii="Arial" w:cs="Arial" w:eastAsia="Arial" w:hAnsi="Arial"/>
          <w:sz w:val="16"/>
          <w:szCs w:val="16"/>
          <w:u w:val="single" w:color="auto"/>
          <w:color w:val="auto"/>
        </w:rPr>
        <w:t>Award</w:t>
      </w:r>
      <w:r>
        <w:rPr>
          <w:rFonts w:ascii="Arial" w:cs="Arial" w:eastAsia="Arial" w:hAnsi="Arial"/>
          <w:sz w:val="16"/>
          <w:szCs w:val="16"/>
          <w:color w:val="auto"/>
        </w:rPr>
        <w:t>”) under the Fortune Brands Home &amp; Security, Inc. 2011 Long-Term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subject to the terms and conditions of the Plan, the Award Notice and this Agreement. The date of the grant, the number of shares of common stock of Home &amp; Security to be paid to Holder under the Award (“</w:t>
      </w:r>
      <w:r>
        <w:rPr>
          <w:rFonts w:ascii="Arial" w:cs="Arial" w:eastAsia="Arial" w:hAnsi="Arial"/>
          <w:sz w:val="16"/>
          <w:szCs w:val="16"/>
          <w:u w:val="single" w:color="auto"/>
          <w:color w:val="auto"/>
        </w:rPr>
        <w:t>Performance Shares</w:t>
      </w:r>
      <w:r>
        <w:rPr>
          <w:rFonts w:ascii="Arial" w:cs="Arial" w:eastAsia="Arial" w:hAnsi="Arial"/>
          <w:sz w:val="16"/>
          <w:szCs w:val="16"/>
          <w:color w:val="auto"/>
        </w:rPr>
        <w:t>”), and the minimum, target and maximum goals (“Performance Goals”), are set forth in the attachment to this Agreement. In all cases, Performance Goals for Home &amp; Security and its consolidated subsidiaries (“</w:t>
      </w:r>
      <w:r>
        <w:rPr>
          <w:rFonts w:ascii="Arial" w:cs="Arial" w:eastAsia="Arial" w:hAnsi="Arial"/>
          <w:sz w:val="16"/>
          <w:szCs w:val="16"/>
          <w:u w:val="single" w:color="auto"/>
          <w:color w:val="auto"/>
        </w:rPr>
        <w:t>Company</w:t>
      </w:r>
      <w:r>
        <w:rPr>
          <w:rFonts w:ascii="Arial" w:cs="Arial" w:eastAsia="Arial" w:hAnsi="Arial"/>
          <w:sz w:val="16"/>
          <w:szCs w:val="16"/>
          <w:color w:val="auto"/>
        </w:rPr>
        <w:t>”) will be determined in accordance with this Agreement and the attachment to this Agreement.</w:t>
      </w:r>
    </w:p>
    <w:p>
      <w:pPr>
        <w:spacing w:after="0" w:line="120" w:lineRule="exact"/>
        <w:rPr>
          <w:sz w:val="20"/>
          <w:szCs w:val="20"/>
          <w:color w:val="auto"/>
        </w:rPr>
      </w:pPr>
    </w:p>
    <w:p>
      <w:pPr>
        <w:ind w:right="480" w:firstLine="921"/>
        <w:spacing w:after="0" w:line="268" w:lineRule="auto"/>
        <w:tabs>
          <w:tab w:leader="none" w:pos="1088"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Number of Shares Payable Pursuant to Award</w:t>
      </w:r>
      <w:r>
        <w:rPr>
          <w:rFonts w:ascii="Arial" w:cs="Arial" w:eastAsia="Arial" w:hAnsi="Arial"/>
          <w:sz w:val="18"/>
          <w:szCs w:val="18"/>
          <w:color w:val="auto"/>
        </w:rPr>
        <w:t>. Subject to the provisions of Sections 4 through 12 below, the number of Performance Shares payable to Holder pursuant to the Award shall be determined as follows:</w:t>
      </w:r>
    </w:p>
    <w:p>
      <w:pPr>
        <w:spacing w:after="0" w:line="51" w:lineRule="exact"/>
        <w:rPr>
          <w:sz w:val="20"/>
          <w:szCs w:val="20"/>
          <w:color w:val="auto"/>
        </w:rPr>
      </w:pPr>
    </w:p>
    <w:p>
      <w:pPr>
        <w:ind w:left="460" w:right="280" w:firstLine="443"/>
        <w:spacing w:after="0" w:line="332" w:lineRule="auto"/>
        <w:tabs>
          <w:tab w:leader="none" w:pos="1137"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the Company’s performance during the period of January 1, 2012 through December 31, 2014 (“</w:t>
      </w:r>
      <w:r>
        <w:rPr>
          <w:rFonts w:ascii="Arial" w:cs="Arial" w:eastAsia="Arial" w:hAnsi="Arial"/>
          <w:sz w:val="16"/>
          <w:szCs w:val="16"/>
          <w:u w:val="single" w:color="auto"/>
          <w:color w:val="auto"/>
        </w:rPr>
        <w:t>Performance Period</w:t>
      </w:r>
      <w:r>
        <w:rPr>
          <w:rFonts w:ascii="Arial" w:cs="Arial" w:eastAsia="Arial" w:hAnsi="Arial"/>
          <w:sz w:val="16"/>
          <w:szCs w:val="16"/>
          <w:color w:val="auto"/>
        </w:rPr>
        <w:t>”) equals the minimum Performance Goals, the number of Performance Shares payable to Holder will equal the minimum number of Performance Shares.</w:t>
      </w:r>
    </w:p>
    <w:p>
      <w:pPr>
        <w:spacing w:after="0" w:line="4" w:lineRule="exact"/>
        <w:rPr>
          <w:rFonts w:ascii="Arial" w:cs="Arial" w:eastAsia="Arial" w:hAnsi="Arial"/>
          <w:sz w:val="16"/>
          <w:szCs w:val="16"/>
          <w:color w:val="auto"/>
        </w:rPr>
      </w:pPr>
    </w:p>
    <w:p>
      <w:pPr>
        <w:ind w:left="460" w:right="180" w:firstLine="443"/>
        <w:spacing w:after="0" w:line="268" w:lineRule="auto"/>
        <w:tabs>
          <w:tab w:leader="none" w:pos="1147"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the Company’s performance during the Performance Period equals or exceeds the maximum Performance Goals for the Performance Period, the number of Performance Shares payable to Holder will equal the maximum number of Performance Shares.</w:t>
      </w:r>
    </w:p>
    <w:p>
      <w:pPr>
        <w:spacing w:after="0" w:line="50" w:lineRule="exact"/>
        <w:rPr>
          <w:rFonts w:ascii="Arial" w:cs="Arial" w:eastAsia="Arial" w:hAnsi="Arial"/>
          <w:sz w:val="18"/>
          <w:szCs w:val="18"/>
          <w:color w:val="auto"/>
        </w:rPr>
      </w:pPr>
    </w:p>
    <w:p>
      <w:pPr>
        <w:ind w:left="460" w:right="800" w:firstLine="443"/>
        <w:spacing w:after="0" w:line="306" w:lineRule="auto"/>
        <w:tabs>
          <w:tab w:leader="none" w:pos="1137"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the Company’s performance during the Performance Period exceeds the minimum Performance Goals but is less than the maximum Performance Goals, the number of Performance Shares payable to Holder will be interpolated between the minimum and maximum number of Performance Shares available under the Award, in accordance with the matrix found in the attachment to this Agreement.</w:t>
      </w:r>
    </w:p>
    <w:p>
      <w:pPr>
        <w:spacing w:after="0" w:line="25" w:lineRule="exact"/>
        <w:rPr>
          <w:rFonts w:ascii="Arial" w:cs="Arial" w:eastAsia="Arial" w:hAnsi="Arial"/>
          <w:sz w:val="16"/>
          <w:szCs w:val="16"/>
          <w:color w:val="auto"/>
        </w:rPr>
      </w:pPr>
    </w:p>
    <w:p>
      <w:pPr>
        <w:ind w:left="460" w:right="40" w:firstLine="443"/>
        <w:spacing w:after="0" w:line="268" w:lineRule="auto"/>
        <w:tabs>
          <w:tab w:leader="none" w:pos="1147"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Performance Shares shall be payable for the Performance Period if the Company’s actual performance is less than the minimum Performance Goals established for the Performance Period.</w:t>
      </w:r>
    </w:p>
    <w:p>
      <w:pPr>
        <w:spacing w:after="0" w:line="132" w:lineRule="exact"/>
        <w:rPr>
          <w:sz w:val="20"/>
          <w:szCs w:val="20"/>
          <w:color w:val="auto"/>
        </w:rPr>
      </w:pPr>
    </w:p>
    <w:p>
      <w:pPr>
        <w:ind w:right="180" w:firstLine="685"/>
        <w:spacing w:after="0" w:line="298" w:lineRule="auto"/>
        <w:rPr>
          <w:sz w:val="20"/>
          <w:szCs w:val="20"/>
          <w:color w:val="auto"/>
        </w:rPr>
      </w:pPr>
      <w:r>
        <w:rPr>
          <w:rFonts w:ascii="Arial" w:cs="Arial" w:eastAsia="Arial" w:hAnsi="Arial"/>
          <w:sz w:val="16"/>
          <w:szCs w:val="16"/>
          <w:color w:val="auto"/>
        </w:rPr>
        <w:t>Subject to the provisions of Sections 4 through 12 below, any Performance Shares that become payable to Holder under this Award shall be issued by Home &amp; Security as soon as practicable following: (i) the end of the Performance Period; and (ii) the certification by the Compensation Committee of the Company’s Board of Directors (the “Committee”) of the Company’s attainment of the Performance Goals. Notwithstanding any other provision of this Agreement, no Performance Shares shall be paid unless and until the Committee certifies the attainment of Performance Goals.</w:t>
      </w:r>
    </w:p>
    <w:p>
      <w:pPr>
        <w:spacing w:after="0" w:line="113" w:lineRule="exact"/>
        <w:rPr>
          <w:sz w:val="20"/>
          <w:szCs w:val="20"/>
          <w:color w:val="auto"/>
        </w:rPr>
      </w:pPr>
    </w:p>
    <w:p>
      <w:pPr>
        <w:ind w:firstLine="921"/>
        <w:spacing w:after="0" w:line="256" w:lineRule="auto"/>
        <w:tabs>
          <w:tab w:leader="none" w:pos="1088"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Subject to the provisions of Sections 4, 5, 6, 8, 10, 11 and 12 below, Holder shall be paid, on the date of the payment of any Performance Shares, a cash amount that is equal to the amount of any cash dividends that would have been paid on the Performance Shares during the Performance Period if such shares had been issued and outstanding on any record date for the payment of any cash dividends on common stock of Home &amp; Security</w:t>
      </w:r>
    </w:p>
    <w:p>
      <w:pPr>
        <w:sectPr>
          <w:pgSz w:w="11900" w:h="16838" w:orient="portrait"/>
          <w:cols w:equalWidth="0" w:num="1">
            <w:col w:w="11380"/>
          </w:cols>
          <w:pgMar w:left="240" w:top="490" w:right="279" w:bottom="1440" w:gutter="0" w:footer="0" w:header="0"/>
        </w:sectPr>
      </w:pPr>
    </w:p>
    <w:bookmarkStart w:id="99" w:name="page100"/>
    <w:bookmarkEnd w:id="99"/>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during the Performance Period and prior to the date of payment of such shares (“</w:t>
      </w:r>
      <w:r>
        <w:rPr>
          <w:rFonts w:ascii="Arial" w:cs="Arial" w:eastAsia="Arial" w:hAnsi="Arial"/>
          <w:sz w:val="16"/>
          <w:szCs w:val="16"/>
          <w:u w:val="single" w:color="auto"/>
          <w:color w:val="auto"/>
        </w:rPr>
        <w:t>Dividend Equivalents</w:t>
      </w:r>
      <w:r>
        <w:rPr>
          <w:rFonts w:ascii="Arial" w:cs="Arial" w:eastAsia="Arial" w:hAnsi="Arial"/>
          <w:sz w:val="16"/>
          <w:szCs w:val="16"/>
          <w:color w:val="auto"/>
        </w:rPr>
        <w:t>”). Such Dividend Equivalents, if any, shall be paid, subject to Section 16 below, on the date of payment of such shares pursuant to Section 1 above. Payment of any Dividend Equivalent shall be made by check or in such other manner as is determined by the Committee. To the extent that Home &amp; Security does not issue dividends on outstanding common stock during the Performance Period, no such payment of Dividend Equivalents shall be due to Holder.</w:t>
      </w:r>
    </w:p>
    <w:p>
      <w:pPr>
        <w:spacing w:after="0" w:line="113" w:lineRule="exact"/>
        <w:rPr>
          <w:sz w:val="20"/>
          <w:szCs w:val="20"/>
          <w:color w:val="auto"/>
        </w:rPr>
      </w:pPr>
    </w:p>
    <w:p>
      <w:pPr>
        <w:ind w:right="80" w:firstLine="921"/>
        <w:spacing w:after="0" w:line="306" w:lineRule="auto"/>
        <w:tabs>
          <w:tab w:leader="none" w:pos="1088"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Transferability of Award</w:t>
      </w:r>
      <w:r>
        <w:rPr>
          <w:rFonts w:ascii="Arial" w:cs="Arial" w:eastAsia="Arial" w:hAnsi="Arial"/>
          <w:sz w:val="16"/>
          <w:szCs w:val="16"/>
          <w:color w:val="auto"/>
        </w:rPr>
        <w:t>. This Award may not be transferred, assigned, pledged or hypothecated in any manner, by operation of law or otherwise, other than by Holder (a) by will or by the laws of descent and distribution; or (b) pursuant to an approved domestic relations order approved in writing by the Secretary of the Committee or the Secretary’s designee, or, and shall not be subject to execution, attachment or similar process.</w:t>
      </w:r>
    </w:p>
    <w:p>
      <w:pPr>
        <w:spacing w:after="0" w:line="106" w:lineRule="exact"/>
        <w:rPr>
          <w:rFonts w:ascii="Arial" w:cs="Arial" w:eastAsia="Arial" w:hAnsi="Arial"/>
          <w:sz w:val="16"/>
          <w:szCs w:val="16"/>
          <w:color w:val="auto"/>
        </w:rPr>
      </w:pPr>
    </w:p>
    <w:p>
      <w:pPr>
        <w:ind w:right="100" w:firstLine="921"/>
        <w:spacing w:after="0" w:line="290" w:lineRule="auto"/>
        <w:tabs>
          <w:tab w:leader="none" w:pos="1088"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for Death, Disability or Retirement</w:t>
      </w:r>
      <w:r>
        <w:rPr>
          <w:rFonts w:ascii="Arial" w:cs="Arial" w:eastAsia="Arial" w:hAnsi="Arial"/>
          <w:sz w:val="16"/>
          <w:szCs w:val="16"/>
          <w:color w:val="auto"/>
        </w:rPr>
        <w:t>. If Holder’s employment with the Company terminates during the Performance Period by reason of Holder’s death, Retirement or Disability (as such capitalized terms are defined below), Holder will be entitled to receive as soon as practicable following the certification of the Company’s performance by the Committee (as described in Section 1 above), a payment of the number of shares of Home &amp; Security common stock, if any, that would have otherwise been payable to Holder had Holder’s employment not terminated prior to the end of the Performance Period, based upon actual Company performance, but prorated to reflect the portion of the Performance Period that elapsed prior to Holder’s death, Disability or Retirement, as applicable. In addition, Holder shall be entitled to receive Dividend Equivalents (if any) on any shares of Company common stock paid under this Section 4, equal to any dividends paid by the Company during the Performance Period.</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For purposes of this Award, (a) “</w:t>
      </w:r>
      <w:r>
        <w:rPr>
          <w:rFonts w:ascii="Arial" w:cs="Arial" w:eastAsia="Arial" w:hAnsi="Arial"/>
          <w:sz w:val="16"/>
          <w:szCs w:val="16"/>
          <w:u w:val="single" w:color="auto"/>
          <w:color w:val="auto"/>
        </w:rPr>
        <w:t>Retirement</w:t>
      </w:r>
      <w:r>
        <w:rPr>
          <w:rFonts w:ascii="Arial" w:cs="Arial" w:eastAsia="Arial" w:hAnsi="Arial"/>
          <w:sz w:val="16"/>
          <w:szCs w:val="16"/>
          <w:color w:val="auto"/>
        </w:rPr>
        <w:t>” means the attainment of age 55 and the completion of five (5) years of service with the Company or its predecessors or affiliates; and (b) “</w:t>
      </w:r>
      <w:r>
        <w:rPr>
          <w:rFonts w:ascii="Arial" w:cs="Arial" w:eastAsia="Arial" w:hAnsi="Arial"/>
          <w:sz w:val="16"/>
          <w:szCs w:val="16"/>
          <w:u w:val="single" w:color="auto"/>
          <w:color w:val="auto"/>
        </w:rPr>
        <w:t>Disability</w:t>
      </w:r>
      <w:r>
        <w:rPr>
          <w:rFonts w:ascii="Arial" w:cs="Arial" w:eastAsia="Arial" w:hAnsi="Arial"/>
          <w:sz w:val="16"/>
          <w:szCs w:val="16"/>
          <w:color w:val="auto"/>
        </w:rPr>
        <w:t>” means the Holder’s inability to engage in any substantial gainful activity by reason of any medically determinable physical or mental impairment which can be expected to result in death or that has lasted or can be expected to last for a continuous period of not less than 12 months, within the meaning of Section 22(e)(3) of the Internal Revenue Code of 1986, as amended (the “Code”).</w:t>
      </w:r>
    </w:p>
    <w:p>
      <w:pPr>
        <w:spacing w:after="0" w:line="11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Notwithstanding the foregoing, in the event of a Change in Control or Divestiture (as described in Sections 11 and 12 respectively, below), Holder shall be entitled to receive any shares under this Award as provided under Section 11 or 12, as applicable, and not this Section 4, even if Holder is eligible for Retirement when Holder’s employment terminates.</w:t>
      </w:r>
    </w:p>
    <w:p>
      <w:pPr>
        <w:spacing w:after="0" w:line="140" w:lineRule="exact"/>
        <w:rPr>
          <w:sz w:val="20"/>
          <w:szCs w:val="20"/>
          <w:color w:val="auto"/>
        </w:rPr>
      </w:pPr>
    </w:p>
    <w:p>
      <w:pPr>
        <w:jc w:val="both"/>
        <w:ind w:right="540" w:firstLine="921"/>
        <w:spacing w:after="0" w:line="259" w:lineRule="auto"/>
        <w:tabs>
          <w:tab w:leader="none" w:pos="1088"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for Other Reasons</w:t>
      </w:r>
      <w:r>
        <w:rPr>
          <w:rFonts w:ascii="Arial" w:cs="Arial" w:eastAsia="Arial" w:hAnsi="Arial"/>
          <w:sz w:val="18"/>
          <w:szCs w:val="18"/>
          <w:color w:val="auto"/>
        </w:rPr>
        <w:t>. Except as otherwise provided in Sections 11 or 12 below, if Holder’s employment with the Company terminates during the Performance Period other than by reason of death, Disability or Retirement, Holder will not be entitled to any payment of Performance Shares or Dividend Equivalents.</w:t>
      </w:r>
    </w:p>
    <w:p>
      <w:pPr>
        <w:spacing w:after="0" w:line="140" w:lineRule="exact"/>
        <w:rPr>
          <w:rFonts w:ascii="Arial" w:cs="Arial" w:eastAsia="Arial" w:hAnsi="Arial"/>
          <w:sz w:val="18"/>
          <w:szCs w:val="18"/>
          <w:color w:val="auto"/>
        </w:rPr>
      </w:pPr>
    </w:p>
    <w:p>
      <w:pPr>
        <w:ind w:right="180" w:firstLine="921"/>
        <w:spacing w:after="0" w:line="298" w:lineRule="auto"/>
        <w:tabs>
          <w:tab w:leader="none" w:pos="1088"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Company Clawback Policy</w:t>
      </w:r>
      <w:r>
        <w:rPr>
          <w:rFonts w:ascii="Arial" w:cs="Arial" w:eastAsia="Arial" w:hAnsi="Arial"/>
          <w:sz w:val="16"/>
          <w:szCs w:val="16"/>
          <w:color w:val="auto"/>
        </w:rPr>
        <w:t>. Notwithstanding any provision of the Plan or this Agreement to the contrary, the Company may require Holder to return shares of Company common stock (or the value of such stock when originally paid to Holder), Dividend Equivalents received as a result of a prior settlement of Performance Shares and any other amount required by law to be returned, in the event that such repayment is required in order to comply with the Company’s clawback policy as then effect or any laws or regulations relating to restatements of the Company’s publicly-reported financial results.</w:t>
      </w:r>
    </w:p>
    <w:p>
      <w:pPr>
        <w:sectPr>
          <w:pgSz w:w="11900" w:h="16838" w:orient="portrait"/>
          <w:cols w:equalWidth="0" w:num="1">
            <w:col w:w="11400"/>
          </w:cols>
          <w:pgMar w:left="240" w:top="280" w:right="259" w:bottom="1440" w:gutter="0" w:footer="0" w:header="0"/>
        </w:sectPr>
      </w:pPr>
    </w:p>
    <w:bookmarkStart w:id="100" w:name="page101"/>
    <w:bookmarkEnd w:id="100"/>
    <w:p>
      <w:pPr>
        <w:ind w:left="-464" w:right="20" w:firstLine="921"/>
        <w:spacing w:after="0" w:line="255" w:lineRule="auto"/>
        <w:tabs>
          <w:tab w:leader="none" w:pos="624" w:val="left"/>
        </w:tabs>
        <w:numPr>
          <w:ilvl w:val="2"/>
          <w:numId w:val="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Exchange Listing; Fractional Shares</w:t>
      </w:r>
      <w:r>
        <w:rPr>
          <w:rFonts w:ascii="Arial" w:cs="Arial" w:eastAsia="Arial" w:hAnsi="Arial"/>
          <w:sz w:val="18"/>
          <w:szCs w:val="18"/>
          <w:color w:val="auto"/>
        </w:rPr>
        <w:t>. Home &amp; Security shall not be obligated to deliver any shares until they have been listed (or authorized for listing upon official notice of issuance) upon each stock exchange upon which are listed outstanding shares of the same class as that of the shares subject to the Award and until there has been compliance with such laws or regulations as Home &amp; Security may deem applicable. Home &amp; Security agrees to use its best efforts to effect such listing and compliance. No fractional shares (or any cash payment in lieu thereof) will be delivered and the number of shares to be delivered will be rounded up or down to the nearest whole share.</w:t>
      </w:r>
    </w:p>
    <w:p>
      <w:pPr>
        <w:spacing w:after="0" w:line="142" w:lineRule="exact"/>
        <w:rPr>
          <w:rFonts w:ascii="Arial" w:cs="Arial" w:eastAsia="Arial" w:hAnsi="Arial"/>
          <w:sz w:val="18"/>
          <w:szCs w:val="18"/>
          <w:color w:val="auto"/>
        </w:rPr>
      </w:pPr>
    </w:p>
    <w:p>
      <w:pPr>
        <w:jc w:val="both"/>
        <w:ind w:left="-464" w:firstLine="921"/>
        <w:spacing w:after="0" w:line="306" w:lineRule="auto"/>
        <w:tabs>
          <w:tab w:leader="none" w:pos="624" w:val="left"/>
        </w:tabs>
        <w:numPr>
          <w:ilvl w:val="2"/>
          <w:numId w:val="68"/>
        </w:numPr>
        <w:rPr>
          <w:rFonts w:ascii="Arial" w:cs="Arial" w:eastAsia="Arial" w:hAnsi="Arial"/>
          <w:sz w:val="16"/>
          <w:szCs w:val="16"/>
          <w:color w:val="auto"/>
        </w:rPr>
      </w:pPr>
      <w:r>
        <w:rPr>
          <w:rFonts w:ascii="Arial" w:cs="Arial" w:eastAsia="Arial" w:hAnsi="Arial"/>
          <w:sz w:val="16"/>
          <w:szCs w:val="16"/>
          <w:u w:val="single" w:color="auto"/>
          <w:color w:val="auto"/>
        </w:rPr>
        <w:t>Transfer of Employment; Leave of Absence</w:t>
      </w:r>
      <w:r>
        <w:rPr>
          <w:rFonts w:ascii="Arial" w:cs="Arial" w:eastAsia="Arial" w:hAnsi="Arial"/>
          <w:sz w:val="16"/>
          <w:szCs w:val="16"/>
          <w:color w:val="auto"/>
        </w:rPr>
        <w:t>. For the purposes of this Agreement, (a) a transfer of Holder’s employment from Home &amp; Security to a subsidiary or vice versa, or from one subsidiary to another, without an intervening period, shall not be deemed a termination of employment, and (b) if Holder is granted in writing a leave of absence, Holder shall be deemed to have remained in the employ of Home &amp; Security or a subsidiary during such leave of absence.</w:t>
      </w:r>
    </w:p>
    <w:p>
      <w:pPr>
        <w:spacing w:after="0" w:line="106" w:lineRule="exact"/>
        <w:rPr>
          <w:rFonts w:ascii="Arial" w:cs="Arial" w:eastAsia="Arial" w:hAnsi="Arial"/>
          <w:sz w:val="16"/>
          <w:szCs w:val="16"/>
          <w:color w:val="auto"/>
        </w:rPr>
      </w:pPr>
    </w:p>
    <w:p>
      <w:pPr>
        <w:ind w:left="-464" w:right="20" w:firstLine="921"/>
        <w:spacing w:after="0" w:line="291" w:lineRule="auto"/>
        <w:tabs>
          <w:tab w:leader="none" w:pos="624" w:val="left"/>
        </w:tabs>
        <w:numPr>
          <w:ilvl w:val="2"/>
          <w:numId w:val="68"/>
        </w:numPr>
        <w:rPr>
          <w:rFonts w:ascii="Arial" w:cs="Arial" w:eastAsia="Arial" w:hAnsi="Arial"/>
          <w:sz w:val="16"/>
          <w:szCs w:val="16"/>
          <w:color w:val="auto"/>
        </w:rPr>
      </w:pPr>
      <w:r>
        <w:rPr>
          <w:rFonts w:ascii="Arial" w:cs="Arial" w:eastAsia="Arial" w:hAnsi="Arial"/>
          <w:sz w:val="16"/>
          <w:szCs w:val="16"/>
          <w:u w:val="single" w:color="auto"/>
          <w:color w:val="auto"/>
        </w:rPr>
        <w:t>Investment Representations</w:t>
      </w:r>
      <w:r>
        <w:rPr>
          <w:rFonts w:ascii="Arial" w:cs="Arial" w:eastAsia="Arial" w:hAnsi="Arial"/>
          <w:sz w:val="16"/>
          <w:szCs w:val="16"/>
          <w:color w:val="auto"/>
        </w:rPr>
        <w:t>. Prior to each issuance of shares of common stock payable hereunder, Holder shall make such representations (as may be required) that such shares are to be held for investment purposes and not with a view to or for resale or distribution except in compliance with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 shall, if required by the Committee, give a written undertaking to Home &amp; Security in form and substance satisfactory to the Committee that Holder will not publicly offer or sell or otherwise distribute such shares other than (a) in the manner and to the extent permitted by Rule 144 promulgated by the Securities and Exchange Commission under the Securities Act, (b) pursuant to any other exemption from the registration provisions of the Securities Act or ( c) pursuant to an effective registration statement under the Securities Act.</w:t>
      </w:r>
    </w:p>
    <w:p>
      <w:pPr>
        <w:spacing w:after="0" w:line="120" w:lineRule="exact"/>
        <w:rPr>
          <w:rFonts w:ascii="Arial" w:cs="Arial" w:eastAsia="Arial" w:hAnsi="Arial"/>
          <w:sz w:val="16"/>
          <w:szCs w:val="16"/>
          <w:color w:val="auto"/>
        </w:rPr>
      </w:pPr>
    </w:p>
    <w:p>
      <w:pPr>
        <w:ind w:left="716" w:hanging="259"/>
        <w:spacing w:after="0"/>
        <w:tabs>
          <w:tab w:leader="none" w:pos="716" w:val="left"/>
        </w:tabs>
        <w:numPr>
          <w:ilvl w:val="2"/>
          <w:numId w:val="68"/>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 w:right="120" w:firstLine="443"/>
        <w:spacing w:after="0" w:line="298" w:lineRule="auto"/>
        <w:tabs>
          <w:tab w:leader="none" w:pos="673" w:val="left"/>
        </w:tabs>
        <w:numPr>
          <w:ilvl w:val="1"/>
          <w:numId w:val="69"/>
        </w:numPr>
        <w:rPr>
          <w:rFonts w:ascii="Arial" w:cs="Arial" w:eastAsia="Arial" w:hAnsi="Arial"/>
          <w:sz w:val="16"/>
          <w:szCs w:val="16"/>
          <w:color w:val="auto"/>
        </w:rPr>
      </w:pPr>
      <w:r>
        <w:rPr>
          <w:rFonts w:ascii="Arial" w:cs="Arial" w:eastAsia="Arial" w:hAnsi="Arial"/>
          <w:sz w:val="16"/>
          <w:szCs w:val="16"/>
          <w:color w:val="auto"/>
        </w:rPr>
        <w:t>In the event of any merger, consolidation, stock or other non-cash dividend, extraordinary cash dividend, split-up, spin-off, combination or exchange of shares, reorganization or recapitalization or change in capitalization, the number and kind of shares that are covered by the Award (including, in the case of any such event other than an extraordinary cash dividend, the number of shares in respect of which Dividend Equivalents (if any) may be credited and paid pursuant to Section 2 above) immediately prior to such event shall be proportionately and appropriately adjusted.</w:t>
      </w:r>
    </w:p>
    <w:p>
      <w:pPr>
        <w:spacing w:after="0" w:line="112" w:lineRule="exact"/>
        <w:rPr>
          <w:rFonts w:ascii="Arial" w:cs="Arial" w:eastAsia="Arial" w:hAnsi="Arial"/>
          <w:sz w:val="16"/>
          <w:szCs w:val="16"/>
          <w:color w:val="auto"/>
        </w:rPr>
      </w:pPr>
    </w:p>
    <w:p>
      <w:pPr>
        <w:ind w:left="-4" w:firstLine="443"/>
        <w:spacing w:after="0" w:line="284" w:lineRule="auto"/>
        <w:tabs>
          <w:tab w:leader="none" w:pos="682" w:val="left"/>
        </w:tabs>
        <w:numPr>
          <w:ilvl w:val="1"/>
          <w:numId w:val="69"/>
        </w:numPr>
        <w:rPr>
          <w:rFonts w:ascii="Arial" w:cs="Arial" w:eastAsia="Arial" w:hAnsi="Arial"/>
          <w:sz w:val="16"/>
          <w:szCs w:val="16"/>
          <w:color w:val="auto"/>
        </w:rPr>
      </w:pPr>
      <w:r>
        <w:rPr>
          <w:rFonts w:ascii="Arial" w:cs="Arial" w:eastAsia="Arial" w:hAnsi="Arial"/>
          <w:sz w:val="16"/>
          <w:szCs w:val="16"/>
          <w:color w:val="auto"/>
        </w:rPr>
        <w:t>Appropriate and equitable adjustments (which may be increases or decreases) shall be made by the Committee to the Performance Goals to take into account changes in law to reflect the inclusion or exclusion of the impact of extraordinary or unusual items, events or circumstances, including, but not limited to (i) changes in laws, regulations and accounting principles; (ii) actual gains or losses related to defined benefit plan accounting; and</w:t>
      </w:r>
    </w:p>
    <w:p>
      <w:pPr>
        <w:spacing w:after="0" w:line="1" w:lineRule="exact"/>
        <w:rPr>
          <w:rFonts w:ascii="Arial" w:cs="Arial" w:eastAsia="Arial" w:hAnsi="Arial"/>
          <w:sz w:val="16"/>
          <w:szCs w:val="16"/>
          <w:color w:val="auto"/>
        </w:rPr>
      </w:pPr>
    </w:p>
    <w:p>
      <w:pPr>
        <w:ind w:left="-4" w:right="80" w:firstLine="4"/>
        <w:spacing w:after="0" w:line="255" w:lineRule="auto"/>
        <w:tabs>
          <w:tab w:leader="none" w:pos="303"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impairment and restructuring related changes;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as permitted by Section 162(m) of the Code, no adjustment shall be made which would result in an increase in Holder’s compensation if Holder’s compensation is subject to the limitation on deductibility under Code Section 162(m), for the year with respect to which the adjustment occurs.</w:t>
      </w:r>
    </w:p>
    <w:p>
      <w:pPr>
        <w:spacing w:after="0" w:line="63" w:lineRule="exact"/>
        <w:rPr>
          <w:rFonts w:ascii="Arial" w:cs="Arial" w:eastAsia="Arial" w:hAnsi="Arial"/>
          <w:sz w:val="18"/>
          <w:szCs w:val="18"/>
          <w:color w:val="auto"/>
        </w:rPr>
      </w:pPr>
    </w:p>
    <w:p>
      <w:pPr>
        <w:ind w:left="-4" w:right="340" w:firstLine="443"/>
        <w:spacing w:after="0" w:line="332" w:lineRule="auto"/>
        <w:tabs>
          <w:tab w:leader="none" w:pos="673"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determination of the Committee as to the terms of any adjustment made pursuant to this Section 10 shall be binding and conclusive upon Holder and any other person or persons who are at any time entitled to receipt of any payment pursuant to the Award.</w:t>
      </w:r>
    </w:p>
    <w:p>
      <w:pPr>
        <w:sectPr>
          <w:pgSz w:w="11900" w:h="16838" w:orient="portrait"/>
          <w:cols w:equalWidth="0" w:num="1">
            <w:col w:w="10936"/>
          </w:cols>
          <w:pgMar w:left="704" w:top="280" w:right="259" w:bottom="1440" w:gutter="0" w:footer="0" w:header="0"/>
        </w:sectPr>
      </w:pPr>
    </w:p>
    <w:bookmarkStart w:id="101" w:name="page102"/>
    <w:bookmarkEnd w:id="101"/>
    <w:p>
      <w:pPr>
        <w:ind w:right="40" w:firstLine="921"/>
        <w:spacing w:after="0" w:line="290" w:lineRule="auto"/>
        <w:tabs>
          <w:tab w:leader="none" w:pos="1170"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 in Control of Home &amp; Security</w:t>
      </w:r>
      <w:r>
        <w:rPr>
          <w:rFonts w:ascii="Arial" w:cs="Arial" w:eastAsia="Arial" w:hAnsi="Arial"/>
          <w:sz w:val="16"/>
          <w:szCs w:val="16"/>
          <w:color w:val="auto"/>
        </w:rPr>
        <w:t>. Upon a Change in Control, the Award will be subject to Section 5.8 of the Plan. Notwithstanding any other provision hereof, in the event that the Performance Shares remain outstanding following a Change in Control, but Holder’s employment is terminated on or after such Change in Control: (a) by the Company other than for “Cause” (as defined below) or (b) by Holder for “Good Reason” (as defined below), the Award shall become nonforfeitable and shall be paid out on the date Holder’s employment terminates (x) assuming that the Company had achieved its target Performance Goals under the Award for the entire Performance Period, but (y) pro-rated for the portion of the Performance Period that elapsed prior to Holder’s termination of employment. In addition, Holder will be entitled to receive payment of any Dividend Equivalent that would have been declared during the Performance Period and prior to the date of payment of such shares, but will not be entitled to be credited with or to receive any other Dividend Equivalents.</w:t>
      </w:r>
    </w:p>
    <w:p>
      <w:pPr>
        <w:spacing w:after="0" w:line="118" w:lineRule="exact"/>
        <w:rPr>
          <w:sz w:val="20"/>
          <w:szCs w:val="20"/>
          <w:color w:val="auto"/>
        </w:rPr>
      </w:pPr>
    </w:p>
    <w:p>
      <w:pPr>
        <w:ind w:right="200" w:firstLine="913"/>
        <w:spacing w:after="0" w:line="291" w:lineRule="auto"/>
        <w:rPr>
          <w:sz w:val="20"/>
          <w:szCs w:val="20"/>
          <w:color w:val="auto"/>
        </w:rPr>
      </w:pPr>
      <w:r>
        <w:rPr>
          <w:rFonts w:ascii="Arial" w:cs="Arial" w:eastAsia="Arial" w:hAnsi="Arial"/>
          <w:sz w:val="16"/>
          <w:szCs w:val="16"/>
          <w:color w:val="auto"/>
        </w:rPr>
        <w:t>For purposes of this Award, “</w:t>
      </w:r>
      <w:r>
        <w:rPr>
          <w:rFonts w:ascii="Arial" w:cs="Arial" w:eastAsia="Arial" w:hAnsi="Arial"/>
          <w:sz w:val="16"/>
          <w:szCs w:val="16"/>
          <w:u w:val="single" w:color="auto"/>
          <w:color w:val="auto"/>
        </w:rPr>
        <w:t>Cause</w:t>
      </w:r>
      <w:r>
        <w:rPr>
          <w:rFonts w:ascii="Arial" w:cs="Arial" w:eastAsia="Arial" w:hAnsi="Arial"/>
          <w:sz w:val="16"/>
          <w:szCs w:val="16"/>
          <w:color w:val="auto"/>
        </w:rPr>
        <w:t>” shall have the same meaning as such term has under any employment or other written agreement between Holder and the Company (“</w:t>
      </w:r>
      <w:r>
        <w:rPr>
          <w:rFonts w:ascii="Arial" w:cs="Arial" w:eastAsia="Arial" w:hAnsi="Arial"/>
          <w:sz w:val="16"/>
          <w:szCs w:val="16"/>
          <w:u w:val="single" w:color="auto"/>
          <w:color w:val="auto"/>
        </w:rPr>
        <w:t>Termination Agreement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Holder is not a party to any Termination Agreement that contains such definition, then Cause shall have the same meaning provided for such term under the severance plan sponsored by Holder’s employer and under which Holder is eligible to participate; and “</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shall have the same meaning as such term has under any Termination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Holder is not a party to any Termination Agreement that contains such definition, then Good Reason shall include any of the reasons allowing Holder to terminate employment and remain eligible for severance benefits under the severance plan sponsored by Holder’s employer and under which Holder is eligible to participate.</w:t>
      </w:r>
    </w:p>
    <w:p>
      <w:pPr>
        <w:spacing w:after="0" w:line="120" w:lineRule="exact"/>
        <w:rPr>
          <w:sz w:val="20"/>
          <w:szCs w:val="20"/>
          <w:color w:val="auto"/>
        </w:rPr>
      </w:pPr>
    </w:p>
    <w:p>
      <w:pPr>
        <w:ind w:firstLine="921"/>
        <w:spacing w:after="0" w:line="290" w:lineRule="auto"/>
        <w:tabs>
          <w:tab w:leader="none" w:pos="1176"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Divestiture</w:t>
      </w:r>
      <w:r>
        <w:rPr>
          <w:rFonts w:ascii="Arial" w:cs="Arial" w:eastAsia="Arial" w:hAnsi="Arial"/>
          <w:sz w:val="16"/>
          <w:szCs w:val="16"/>
          <w:color w:val="auto"/>
        </w:rPr>
        <w:t>. In the event that Holder’s principal employer is a subsidiary of Home &amp; Security that ceases to be a subsidiary of Home &amp; Security (“Divestiture”), then Holder’s employment shall be deemed to be terminated for all purposes as of the date on which Holder’s principal employer ceases to be a subsidiary of Home &amp; Security (the “</w:t>
      </w:r>
      <w:r>
        <w:rPr>
          <w:rFonts w:ascii="Arial" w:cs="Arial" w:eastAsia="Arial" w:hAnsi="Arial"/>
          <w:sz w:val="16"/>
          <w:szCs w:val="16"/>
          <w:u w:val="single" w:color="auto"/>
          <w:color w:val="auto"/>
        </w:rPr>
        <w:t>Divestiture Date</w:t>
      </w:r>
      <w:r>
        <w:rPr>
          <w:rFonts w:ascii="Arial" w:cs="Arial" w:eastAsia="Arial" w:hAnsi="Arial"/>
          <w:sz w:val="16"/>
          <w:szCs w:val="16"/>
          <w:color w:val="auto"/>
        </w:rPr>
        <w:t>”), and the Award shall become nonforfeitable and shall be paid out on the Divestiture Date (x) based upon actual subsidiary performance through the date of Divestiture and (y) pro-rated for the portion of the Performance Period that elapsed prior to Holder’s termination of employment. In addition, Holder will be entitled to receive payment of any Dividend Equivalents representing any dividends that would have been paid during the Performance Period on the number of shares of common stock paid under this Section 12 but prior to the Divestiture, but will not be entitled to be credited with or to receive any other Dividend Equivalents.</w:t>
      </w:r>
    </w:p>
    <w:p>
      <w:pPr>
        <w:spacing w:after="0" w:line="118" w:lineRule="exact"/>
        <w:rPr>
          <w:rFonts w:ascii="Arial" w:cs="Arial" w:eastAsia="Arial" w:hAnsi="Arial"/>
          <w:sz w:val="16"/>
          <w:szCs w:val="16"/>
          <w:color w:val="auto"/>
        </w:rPr>
      </w:pPr>
    </w:p>
    <w:p>
      <w:pPr>
        <w:ind w:right="120" w:firstLine="921"/>
        <w:spacing w:after="0" w:line="332" w:lineRule="auto"/>
        <w:tabs>
          <w:tab w:leader="none" w:pos="1176"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Stockholder Rights</w:t>
      </w:r>
      <w:r>
        <w:rPr>
          <w:rFonts w:ascii="Arial" w:cs="Arial" w:eastAsia="Arial" w:hAnsi="Arial"/>
          <w:sz w:val="16"/>
          <w:szCs w:val="16"/>
          <w:color w:val="auto"/>
        </w:rPr>
        <w:t>. Neither Holder nor any other person shall have any rights of a stockholder as to Performance Shares until such shares shall have been recorded on Home &amp; Security’s official stockholder records as having been issued or transferred in the form of common stock.</w:t>
      </w:r>
    </w:p>
    <w:p>
      <w:pPr>
        <w:spacing w:after="0" w:line="85" w:lineRule="exact"/>
        <w:rPr>
          <w:rFonts w:ascii="Arial" w:cs="Arial" w:eastAsia="Arial" w:hAnsi="Arial"/>
          <w:sz w:val="16"/>
          <w:szCs w:val="16"/>
          <w:color w:val="auto"/>
        </w:rPr>
      </w:pPr>
    </w:p>
    <w:p>
      <w:pPr>
        <w:ind w:right="40" w:firstLine="921"/>
        <w:spacing w:after="0" w:line="287" w:lineRule="auto"/>
        <w:tabs>
          <w:tab w:leader="none" w:pos="1176"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Upon any payment to Holder of shares of common stock of Home &amp; Security or of any Dividend Equivalents, Federal income and other tax withholding (and state and local income tax withholding, if applicable) may be required to be withheld by the Company. The Company may withhold such required amounts from Holder’s future paychecks or, if applicable, any Dividend Equivalents, or the Company may require that Holder deliver the amounts to be withheld. In addition, upon any payment of shares of Home &amp; Security common stock, Holder may pay any Federal income and other tax withholding (and any state and local income tax withholding, if applicable) by electing either to have the Company withhold a portion of the shares of common stock otherwise deliverable, or by delivering other shares of common stock owned by Holder, in either case having a fair market value (determined on the date that the amount of tax Holder has elected to have withheld is to be determined) of the amount to be withheld, provided that the election shall be irrevocable and shall be subject to such rules as the Committee may adopt. For purposes of this Section 14, “</w:t>
      </w:r>
      <w:r>
        <w:rPr>
          <w:rFonts w:ascii="Arial" w:cs="Arial" w:eastAsia="Arial" w:hAnsi="Arial"/>
          <w:sz w:val="16"/>
          <w:szCs w:val="16"/>
          <w:u w:val="single" w:color="auto"/>
          <w:color w:val="auto"/>
        </w:rPr>
        <w:t>Fair Market Value</w:t>
      </w:r>
      <w:r>
        <w:rPr>
          <w:rFonts w:ascii="Arial" w:cs="Arial" w:eastAsia="Arial" w:hAnsi="Arial"/>
          <w:sz w:val="16"/>
          <w:szCs w:val="16"/>
          <w:color w:val="auto"/>
        </w:rPr>
        <w:t>” as of any date means the value determined by reference to the closing price of a share of Common Stock as finally reported on the New York Stock Exchange for the trading day immediately preceding such date.</w:t>
      </w:r>
    </w:p>
    <w:p>
      <w:pPr>
        <w:sectPr>
          <w:pgSz w:w="11900" w:h="16838" w:orient="portrait"/>
          <w:cols w:equalWidth="0" w:num="1">
            <w:col w:w="11380"/>
          </w:cols>
          <w:pgMar w:left="240" w:top="280" w:right="279" w:bottom="1440" w:gutter="0" w:footer="0" w:header="0"/>
        </w:sectPr>
      </w:pPr>
    </w:p>
    <w:bookmarkStart w:id="102" w:name="page103"/>
    <w:bookmarkEnd w:id="102"/>
    <w:p>
      <w:pPr>
        <w:ind w:left="-921" w:right="200" w:firstLine="921"/>
        <w:spacing w:after="0" w:line="268" w:lineRule="auto"/>
        <w:tabs>
          <w:tab w:leader="none" w:pos="25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w:t>
      </w:r>
      <w:r>
        <w:rPr>
          <w:rFonts w:ascii="Arial" w:cs="Arial" w:eastAsia="Arial" w:hAnsi="Arial"/>
          <w:sz w:val="18"/>
          <w:szCs w:val="18"/>
          <w:color w:val="auto"/>
        </w:rPr>
        <w:t>. This agreement and the Award provided for hereunder shall be governed by and construed in accordance with the laws of the State of Delaware.</w:t>
      </w:r>
    </w:p>
    <w:p>
      <w:pPr>
        <w:spacing w:after="0" w:line="50" w:lineRule="exact"/>
        <w:rPr>
          <w:rFonts w:ascii="Arial" w:cs="Arial" w:eastAsia="Arial" w:hAnsi="Arial"/>
          <w:sz w:val="18"/>
          <w:szCs w:val="18"/>
          <w:color w:val="auto"/>
        </w:rPr>
      </w:pPr>
    </w:p>
    <w:p>
      <w:pPr>
        <w:ind w:left="259" w:hanging="259"/>
        <w:spacing w:after="0"/>
        <w:tabs>
          <w:tab w:leader="none" w:pos="259"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Conflicts</w:t>
      </w:r>
      <w:r>
        <w:rPr>
          <w:rFonts w:ascii="Arial" w:cs="Arial" w:eastAsia="Arial" w:hAnsi="Arial"/>
          <w:sz w:val="18"/>
          <w:szCs w:val="18"/>
          <w:color w:val="auto"/>
        </w:rPr>
        <w:t>. In the event of a conflict between this Agreement and the Plan, the terms of the Plan shall apply.</w:t>
      </w:r>
    </w:p>
    <w:p>
      <w:pPr>
        <w:spacing w:after="0" w:line="171" w:lineRule="exact"/>
        <w:rPr>
          <w:rFonts w:ascii="Arial" w:cs="Arial" w:eastAsia="Arial" w:hAnsi="Arial"/>
          <w:sz w:val="18"/>
          <w:szCs w:val="18"/>
          <w:color w:val="auto"/>
        </w:rPr>
      </w:pPr>
    </w:p>
    <w:p>
      <w:pPr>
        <w:jc w:val="both"/>
        <w:ind w:left="-921" w:firstLine="921"/>
        <w:spacing w:after="0" w:line="259" w:lineRule="auto"/>
        <w:tabs>
          <w:tab w:leader="none" w:pos="25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No Rights to Continued Employment</w:t>
      </w:r>
      <w:r>
        <w:rPr>
          <w:rFonts w:ascii="Arial" w:cs="Arial" w:eastAsia="Arial" w:hAnsi="Arial"/>
          <w:sz w:val="18"/>
          <w:szCs w:val="18"/>
          <w:color w:val="auto"/>
        </w:rPr>
        <w:t>. In no event will the granting of the Award or its acceptance by Holder, or any provision of this Agreement or the Plan, give or be deemed to give Holder any right to continued employment by the Company or affect in any manner the right of the Company to terminate the employment of any person at any time for any reason.</w:t>
      </w:r>
    </w:p>
    <w:p>
      <w:pPr>
        <w:spacing w:after="0" w:line="140" w:lineRule="exact"/>
        <w:rPr>
          <w:rFonts w:ascii="Arial" w:cs="Arial" w:eastAsia="Arial" w:hAnsi="Arial"/>
          <w:sz w:val="18"/>
          <w:szCs w:val="18"/>
          <w:color w:val="auto"/>
        </w:rPr>
      </w:pPr>
    </w:p>
    <w:p>
      <w:pPr>
        <w:ind w:left="-921" w:right="40" w:firstLine="921"/>
        <w:spacing w:after="0" w:line="259" w:lineRule="auto"/>
        <w:tabs>
          <w:tab w:leader="none" w:pos="25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Decisions of Board or Committee</w:t>
      </w:r>
      <w:r>
        <w:rPr>
          <w:rFonts w:ascii="Arial" w:cs="Arial" w:eastAsia="Arial" w:hAnsi="Arial"/>
          <w:sz w:val="18"/>
          <w:szCs w:val="18"/>
          <w:color w:val="auto"/>
        </w:rPr>
        <w:t>. The Board or the Committee has the right to resolve all questions which may arise in connection with the Award. Any interpretation, determination or other action made or taken by the Board or the Committee regarding the Plan or this Agreement is final, binding and conclusive.</w:t>
      </w:r>
    </w:p>
    <w:p>
      <w:pPr>
        <w:spacing w:after="0" w:line="140" w:lineRule="exact"/>
        <w:rPr>
          <w:rFonts w:ascii="Arial" w:cs="Arial" w:eastAsia="Arial" w:hAnsi="Arial"/>
          <w:sz w:val="18"/>
          <w:szCs w:val="18"/>
          <w:color w:val="auto"/>
        </w:rPr>
      </w:pPr>
    </w:p>
    <w:p>
      <w:pPr>
        <w:ind w:left="-921" w:right="400" w:firstLine="921"/>
        <w:spacing w:after="0" w:line="268" w:lineRule="auto"/>
        <w:tabs>
          <w:tab w:leader="none" w:pos="25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is binding upon and will inure to the benefit of any successor or successors of the Company and any person or persons who, upon the death of Holder, acquire any rights in accordance with this Agreement or the Plan.</w:t>
      </w:r>
    </w:p>
    <w:p>
      <w:pPr>
        <w:spacing w:after="0" w:line="131" w:lineRule="exact"/>
        <w:rPr>
          <w:rFonts w:ascii="Arial" w:cs="Arial" w:eastAsia="Arial" w:hAnsi="Arial"/>
          <w:sz w:val="18"/>
          <w:szCs w:val="18"/>
          <w:color w:val="auto"/>
        </w:rPr>
      </w:pPr>
    </w:p>
    <w:p>
      <w:pPr>
        <w:ind w:left="-921" w:right="100" w:firstLine="921"/>
        <w:spacing w:after="0" w:line="289" w:lineRule="auto"/>
        <w:tabs>
          <w:tab w:leader="none" w:pos="255"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or other communications provided for in this Agreement will be made, if to the Company, to Fortune Brands Home &amp; Security, Inc., Attn. Secretary of the Compensation Committee of the Board of Directors, 520 Lake Cook Road, Deerfield, Illinois 60015, and if to Holder, to the last known mailing address of Holder contained in the records of the Company. All notices, requests or other communications provided for in this Agreement will be made in writing either (a) by personal delivery; (b) by facsimile or electronic mail with confirmation of receipt; (c) by mailing in the United States mails; or (d) by express courier service. The notice, request or other communication will be deemed to be received upon personal delivery, upon confirmation of receipt of facsimile or electronic mail transmission or upon receipt by the intended party if by United States mail or express courier service; provided, however, that if a notice, request or other communication sent to the Company is not received during regular business hours, it will be deemed to be received on the next succeeding business day of the Company.</w:t>
      </w:r>
    </w:p>
    <w:p>
      <w:pPr>
        <w:spacing w:after="0" w:line="118" w:lineRule="exact"/>
        <w:rPr>
          <w:rFonts w:ascii="Arial" w:cs="Arial" w:eastAsia="Arial" w:hAnsi="Arial"/>
          <w:sz w:val="16"/>
          <w:szCs w:val="16"/>
          <w:color w:val="auto"/>
        </w:rPr>
      </w:pPr>
    </w:p>
    <w:p>
      <w:pPr>
        <w:ind w:left="-921" w:right="320" w:firstLine="921"/>
        <w:spacing w:after="0" w:line="332" w:lineRule="auto"/>
        <w:tabs>
          <w:tab w:leader="none" w:pos="255"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Partial Invalidity</w:t>
      </w:r>
      <w:r>
        <w:rPr>
          <w:rFonts w:ascii="Arial" w:cs="Arial" w:eastAsia="Arial" w:hAnsi="Arial"/>
          <w:sz w:val="16"/>
          <w:szCs w:val="16"/>
          <w:color w:val="auto"/>
        </w:rPr>
        <w:t>. The invalidity or unenforceability of any particular provision of this Agreement will not affect any other provisions of this Agreement and this Agreement will be construed in all respects as if such invalid or unenforceable provisions were omitted.</w:t>
      </w:r>
    </w:p>
    <w:p>
      <w:pPr>
        <w:spacing w:after="0" w:line="85" w:lineRule="exact"/>
        <w:rPr>
          <w:rFonts w:ascii="Arial" w:cs="Arial" w:eastAsia="Arial" w:hAnsi="Arial"/>
          <w:sz w:val="16"/>
          <w:szCs w:val="16"/>
          <w:color w:val="auto"/>
        </w:rPr>
      </w:pPr>
    </w:p>
    <w:p>
      <w:pPr>
        <w:ind w:left="-921" w:right="320" w:firstLine="921"/>
        <w:spacing w:after="0" w:line="259" w:lineRule="auto"/>
        <w:tabs>
          <w:tab w:leader="none" w:pos="25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Agreement Subject to the Plan</w:t>
      </w:r>
      <w:r>
        <w:rPr>
          <w:rFonts w:ascii="Arial" w:cs="Arial" w:eastAsia="Arial" w:hAnsi="Arial"/>
          <w:sz w:val="18"/>
          <w:szCs w:val="18"/>
          <w:color w:val="auto"/>
        </w:rPr>
        <w:t>. This Agreement is subject to, and will be interpreted in accordance with, the provisions of the Plan. Holder hereby acknowledges receipt of a copy of the Plan, and by accepting the Award in the manner specified by the Company, he or she agrees to be bound by the terms and conditions of this Agreement, the Award and the Plan.</w:t>
      </w:r>
    </w:p>
    <w:p>
      <w:pPr>
        <w:spacing w:after="0" w:line="140" w:lineRule="exact"/>
        <w:rPr>
          <w:rFonts w:ascii="Arial" w:cs="Arial" w:eastAsia="Arial" w:hAnsi="Arial"/>
          <w:sz w:val="18"/>
          <w:szCs w:val="18"/>
          <w:color w:val="auto"/>
        </w:rPr>
      </w:pPr>
    </w:p>
    <w:p>
      <w:pPr>
        <w:ind w:left="-921" w:right="20" w:firstLine="921"/>
        <w:spacing w:after="0" w:line="306" w:lineRule="auto"/>
        <w:tabs>
          <w:tab w:leader="none" w:pos="255"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This Agreement and the Award are intended to comply with the requirements of Section 409A of the Code and will be interpreted and construed consistently with such intent. Any payment of Performance Shares and Dividend Equivalents to the Holder pursuant to this Agreement is also intended to be exempt from Section 409A of the Code to the maximum extent possible as a short-term deferral pursuant to Treasury regulation</w:t>
      </w:r>
    </w:p>
    <w:p>
      <w:pPr>
        <w:sectPr>
          <w:pgSz w:w="11900" w:h="16838" w:orient="portrait"/>
          <w:cols w:equalWidth="0" w:num="1">
            <w:col w:w="10439"/>
          </w:cols>
          <w:pgMar w:left="1161" w:top="280" w:right="299" w:bottom="1440" w:gutter="0" w:footer="0" w:header="0"/>
        </w:sectPr>
      </w:pPr>
    </w:p>
    <w:bookmarkStart w:id="103" w:name="page104"/>
    <w:bookmarkEnd w:id="103"/>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§1.409A-1(b)(4). In the event the terms of this Agreement would subject Holder to taxes or penalties under Section 409A of the Code (“</w:t>
      </w:r>
      <w:r>
        <w:rPr>
          <w:rFonts w:ascii="Arial" w:cs="Arial" w:eastAsia="Arial" w:hAnsi="Arial"/>
          <w:sz w:val="16"/>
          <w:szCs w:val="16"/>
          <w:u w:val="single" w:color="auto"/>
          <w:color w:val="auto"/>
        </w:rPr>
        <w:t>409A Penalties</w:t>
      </w:r>
      <w:r>
        <w:rPr>
          <w:rFonts w:ascii="Arial" w:cs="Arial" w:eastAsia="Arial" w:hAnsi="Arial"/>
          <w:sz w:val="16"/>
          <w:szCs w:val="16"/>
          <w:color w:val="auto"/>
        </w:rPr>
        <w:t xml:space="preserve">”), Holder and the Company will cooperate diligently to amend the terms of this Agreement to avoid such 409A Penalties, to the extent possible;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will the Company be responsible for any 409A Penalties that arise in connection with any amounts payable under this Agreement.</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all of which together will constitute but one Agreement.</w:t>
      </w:r>
    </w:p>
    <w:p>
      <w:pPr>
        <w:sectPr>
          <w:pgSz w:w="11900" w:h="16838" w:orient="portrait"/>
          <w:cols w:equalWidth="0" w:num="1">
            <w:col w:w="11360"/>
          </w:cols>
          <w:pgMar w:left="240" w:top="280" w:right="29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10.11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FORTUNE BRANDS HOME &amp; SECURITY,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LONG-TERM INCENTIVE PLAN</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Option Award Notice -February 21, 2012 (the “Notice”)</w:t>
      </w:r>
    </w:p>
    <w:p>
      <w:pPr>
        <w:spacing w:after="0" w:line="17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You have been awarded an option to purchase shares of Common Stock of Fortune Brands Home &amp; Security, Inc. (the “</w:t>
      </w:r>
      <w:r>
        <w:rPr>
          <w:rFonts w:ascii="Arial" w:cs="Arial" w:eastAsia="Arial" w:hAnsi="Arial"/>
          <w:sz w:val="16"/>
          <w:szCs w:val="16"/>
          <w:u w:val="single" w:color="auto"/>
          <w:color w:val="auto"/>
        </w:rPr>
        <w:t>Company</w:t>
      </w:r>
      <w:r>
        <w:rPr>
          <w:rFonts w:ascii="Arial" w:cs="Arial" w:eastAsia="Arial" w:hAnsi="Arial"/>
          <w:sz w:val="16"/>
          <w:szCs w:val="16"/>
          <w:color w:val="auto"/>
        </w:rPr>
        <w:t>”), pursuant to the terms and conditions of the Fortune Brands Home &amp; Security, Inc. 2011 Long-Term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and the Stock Option Agreement (together with this Notice, the “</w:t>
      </w:r>
      <w:r>
        <w:rPr>
          <w:rFonts w:ascii="Arial" w:cs="Arial" w:eastAsia="Arial" w:hAnsi="Arial"/>
          <w:sz w:val="16"/>
          <w:szCs w:val="16"/>
          <w:u w:val="single" w:color="auto"/>
          <w:color w:val="auto"/>
        </w:rPr>
        <w:t>Agreement</w:t>
      </w:r>
      <w:r>
        <w:rPr>
          <w:rFonts w:ascii="Arial" w:cs="Arial" w:eastAsia="Arial" w:hAnsi="Arial"/>
          <w:sz w:val="16"/>
          <w:szCs w:val="16"/>
          <w:color w:val="auto"/>
        </w:rPr>
        <w:t>”). Copies of the Plan and the Performance Share Award Agreement are available on the Morgan Stanley Smith Barney Benefit Access</w:t>
      </w:r>
      <w:r>
        <w:rPr>
          <w:rFonts w:ascii="Arial" w:cs="Arial" w:eastAsia="Arial" w:hAnsi="Arial"/>
          <w:sz w:val="10"/>
          <w:szCs w:val="10"/>
          <w:color w:val="auto"/>
        </w:rPr>
        <w:t>®</w:t>
      </w:r>
      <w:r>
        <w:rPr>
          <w:rFonts w:ascii="Arial" w:cs="Arial" w:eastAsia="Arial" w:hAnsi="Arial"/>
          <w:sz w:val="16"/>
          <w:szCs w:val="16"/>
          <w:color w:val="auto"/>
        </w:rPr>
        <w:t xml:space="preserve"> website (</w:t>
      </w:r>
      <w:r>
        <w:rPr>
          <w:rFonts w:ascii="Arial" w:cs="Arial" w:eastAsia="Arial" w:hAnsi="Arial"/>
          <w:sz w:val="16"/>
          <w:szCs w:val="16"/>
          <w:u w:val="single" w:color="auto"/>
          <w:color w:val="auto"/>
        </w:rPr>
        <w:t>www.benefitaccess.com</w:t>
      </w:r>
      <w:r>
        <w:rPr>
          <w:rFonts w:ascii="Arial" w:cs="Arial" w:eastAsia="Arial" w:hAnsi="Arial"/>
          <w:sz w:val="16"/>
          <w:szCs w:val="16"/>
          <w:color w:val="auto"/>
        </w:rPr>
        <w:t>). Capitalized terms not defined in this Notice have the meanings specified in the Plan or the Agreement.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Option:</w:t>
            </w:r>
          </w:p>
        </w:tc>
        <w:tc>
          <w:tcPr>
            <w:tcW w:w="9800" w:type="dxa"/>
            <w:vAlign w:val="bottom"/>
            <w:gridSpan w:val="2"/>
          </w:tcPr>
          <w:p>
            <w:pPr>
              <w:ind w:left="220"/>
              <w:spacing w:after="0"/>
              <w:rPr>
                <w:sz w:val="20"/>
                <w:szCs w:val="20"/>
                <w:color w:val="auto"/>
              </w:rPr>
            </w:pPr>
            <w:r>
              <w:rPr>
                <w:rFonts w:ascii="Arial" w:cs="Arial" w:eastAsia="Arial" w:hAnsi="Arial"/>
                <w:sz w:val="18"/>
                <w:szCs w:val="18"/>
                <w:color w:val="auto"/>
                <w:w w:val="88"/>
              </w:rPr>
              <w:t>You have been awarded a Nonqualified Stock Option to purchase from the Company [XX] shares of its Common Stock, par value $0.01</w:t>
            </w:r>
          </w:p>
        </w:tc>
      </w:tr>
      <w:tr>
        <w:trPr>
          <w:trHeight w:val="222"/>
        </w:trPr>
        <w:tc>
          <w:tcPr>
            <w:tcW w:w="1480" w:type="dxa"/>
            <w:vAlign w:val="bottom"/>
          </w:tcPr>
          <w:p>
            <w:pPr>
              <w:spacing w:after="0"/>
              <w:rPr>
                <w:sz w:val="19"/>
                <w:szCs w:val="19"/>
                <w:color w:val="auto"/>
              </w:rPr>
            </w:pPr>
          </w:p>
        </w:tc>
        <w:tc>
          <w:tcPr>
            <w:tcW w:w="9800" w:type="dxa"/>
            <w:vAlign w:val="bottom"/>
            <w:gridSpan w:val="2"/>
          </w:tcPr>
          <w:p>
            <w:pPr>
              <w:ind w:left="220"/>
              <w:spacing w:after="0"/>
              <w:rPr>
                <w:sz w:val="20"/>
                <w:szCs w:val="20"/>
                <w:color w:val="auto"/>
              </w:rPr>
            </w:pPr>
            <w:r>
              <w:rPr>
                <w:rFonts w:ascii="Arial" w:cs="Arial" w:eastAsia="Arial" w:hAnsi="Arial"/>
                <w:sz w:val="18"/>
                <w:szCs w:val="18"/>
                <w:color w:val="auto"/>
              </w:rPr>
              <w:t>per share, per share, subject to adjustment as provided in Section 3.4 of the Agreement.</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Award Date:</w:t>
            </w:r>
          </w:p>
        </w:tc>
        <w:tc>
          <w:tcPr>
            <w:tcW w:w="4720" w:type="dxa"/>
            <w:vAlign w:val="bottom"/>
          </w:tcPr>
          <w:p>
            <w:pPr>
              <w:ind w:left="220"/>
              <w:spacing w:after="0"/>
              <w:rPr>
                <w:sz w:val="20"/>
                <w:szCs w:val="20"/>
                <w:color w:val="auto"/>
              </w:rPr>
            </w:pPr>
            <w:r>
              <w:rPr>
                <w:rFonts w:ascii="Arial" w:cs="Arial" w:eastAsia="Arial" w:hAnsi="Arial"/>
                <w:sz w:val="18"/>
                <w:szCs w:val="18"/>
                <w:color w:val="auto"/>
              </w:rPr>
              <w:t>February 21, 2012</w:t>
            </w:r>
          </w:p>
        </w:tc>
        <w:tc>
          <w:tcPr>
            <w:tcW w:w="5080" w:type="dxa"/>
            <w:vAlign w:val="bottom"/>
          </w:tcPr>
          <w:p>
            <w:pPr>
              <w:spacing w:after="0"/>
              <w:rPr>
                <w:sz w:val="24"/>
                <w:szCs w:val="24"/>
                <w:color w:val="auto"/>
              </w:rPr>
            </w:pP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Exercise Price:</w:t>
            </w:r>
          </w:p>
        </w:tc>
        <w:tc>
          <w:tcPr>
            <w:tcW w:w="9800" w:type="dxa"/>
            <w:vAlign w:val="bottom"/>
            <w:gridSpan w:val="2"/>
          </w:tcPr>
          <w:p>
            <w:pPr>
              <w:ind w:left="220"/>
              <w:spacing w:after="0"/>
              <w:rPr>
                <w:sz w:val="20"/>
                <w:szCs w:val="20"/>
                <w:color w:val="auto"/>
              </w:rPr>
            </w:pPr>
            <w:r>
              <w:rPr>
                <w:rFonts w:ascii="Arial" w:cs="Arial" w:eastAsia="Arial" w:hAnsi="Arial"/>
                <w:sz w:val="18"/>
                <w:szCs w:val="18"/>
                <w:color w:val="auto"/>
              </w:rPr>
              <w:t>$19.46 per share, subject to adjustment as provided in Section 3.4 of the Agreement.</w:t>
            </w:r>
          </w:p>
        </w:tc>
      </w:tr>
      <w:tr>
        <w:trPr>
          <w:trHeight w:val="318"/>
        </w:trPr>
        <w:tc>
          <w:tcPr>
            <w:tcW w:w="1480" w:type="dxa"/>
            <w:vAlign w:val="bottom"/>
          </w:tcPr>
          <w:p>
            <w:pPr>
              <w:spacing w:after="0"/>
              <w:rPr>
                <w:sz w:val="20"/>
                <w:szCs w:val="20"/>
                <w:color w:val="auto"/>
              </w:rPr>
            </w:pPr>
            <w:r>
              <w:rPr>
                <w:rFonts w:ascii="Arial" w:cs="Arial" w:eastAsia="Arial" w:hAnsi="Arial"/>
                <w:sz w:val="18"/>
                <w:szCs w:val="18"/>
                <w:color w:val="auto"/>
              </w:rPr>
              <w:t>Vesting Schedule:</w:t>
            </w:r>
          </w:p>
        </w:tc>
        <w:tc>
          <w:tcPr>
            <w:tcW w:w="9800" w:type="dxa"/>
            <w:vAlign w:val="bottom"/>
            <w:gridSpan w:val="2"/>
          </w:tcPr>
          <w:p>
            <w:pPr>
              <w:ind w:left="220"/>
              <w:spacing w:after="0"/>
              <w:rPr>
                <w:sz w:val="20"/>
                <w:szCs w:val="20"/>
                <w:color w:val="auto"/>
              </w:rPr>
            </w:pPr>
            <w:r>
              <w:rPr>
                <w:rFonts w:ascii="Arial" w:cs="Arial" w:eastAsia="Arial" w:hAnsi="Arial"/>
                <w:sz w:val="18"/>
                <w:szCs w:val="18"/>
                <w:color w:val="auto"/>
                <w:w w:val="87"/>
              </w:rPr>
              <w:t>Except as otherwise provided in and subject to the Plan, the Agreement or any other agreement between the Company and Optionee, the</w:t>
            </w:r>
          </w:p>
        </w:tc>
      </w:tr>
      <w:tr>
        <w:trPr>
          <w:trHeight w:val="222"/>
        </w:trPr>
        <w:tc>
          <w:tcPr>
            <w:tcW w:w="1480" w:type="dxa"/>
            <w:vAlign w:val="bottom"/>
          </w:tcPr>
          <w:p>
            <w:pPr>
              <w:spacing w:after="0"/>
              <w:rPr>
                <w:sz w:val="19"/>
                <w:szCs w:val="19"/>
                <w:color w:val="auto"/>
              </w:rPr>
            </w:pPr>
          </w:p>
        </w:tc>
        <w:tc>
          <w:tcPr>
            <w:tcW w:w="9800" w:type="dxa"/>
            <w:vAlign w:val="bottom"/>
            <w:gridSpan w:val="2"/>
          </w:tcPr>
          <w:p>
            <w:pPr>
              <w:ind w:left="220"/>
              <w:spacing w:after="0"/>
              <w:rPr>
                <w:sz w:val="20"/>
                <w:szCs w:val="20"/>
                <w:color w:val="auto"/>
              </w:rPr>
            </w:pPr>
            <w:r>
              <w:rPr>
                <w:rFonts w:ascii="Arial" w:cs="Arial" w:eastAsia="Arial" w:hAnsi="Arial"/>
                <w:sz w:val="18"/>
                <w:szCs w:val="18"/>
                <w:color w:val="auto"/>
              </w:rPr>
              <w:t>Option will vest in the following increments on the following dates:</w:t>
            </w:r>
          </w:p>
        </w:tc>
      </w:tr>
      <w:tr>
        <w:trPr>
          <w:trHeight w:val="318"/>
        </w:trPr>
        <w:tc>
          <w:tcPr>
            <w:tcW w:w="1480" w:type="dxa"/>
            <w:vAlign w:val="bottom"/>
          </w:tcPr>
          <w:p>
            <w:pPr>
              <w:spacing w:after="0"/>
              <w:rPr>
                <w:sz w:val="24"/>
                <w:szCs w:val="24"/>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One-third of the Option</w:t>
            </w:r>
          </w:p>
        </w:tc>
        <w:tc>
          <w:tcPr>
            <w:tcW w:w="5080" w:type="dxa"/>
            <w:vAlign w:val="bottom"/>
          </w:tcPr>
          <w:p>
            <w:pPr>
              <w:ind w:left="60"/>
              <w:spacing w:after="0"/>
              <w:rPr>
                <w:sz w:val="20"/>
                <w:szCs w:val="20"/>
                <w:color w:val="auto"/>
              </w:rPr>
            </w:pPr>
            <w:r>
              <w:rPr>
                <w:rFonts w:ascii="Arial" w:cs="Arial" w:eastAsia="Arial" w:hAnsi="Arial"/>
                <w:sz w:val="18"/>
                <w:szCs w:val="18"/>
                <w:color w:val="auto"/>
              </w:rPr>
              <w:t>February 21, 2013</w:t>
            </w:r>
          </w:p>
        </w:tc>
      </w:tr>
      <w:tr>
        <w:trPr>
          <w:trHeight w:val="216"/>
        </w:trPr>
        <w:tc>
          <w:tcPr>
            <w:tcW w:w="1480" w:type="dxa"/>
            <w:vAlign w:val="bottom"/>
          </w:tcPr>
          <w:p>
            <w:pPr>
              <w:spacing w:after="0"/>
              <w:rPr>
                <w:sz w:val="18"/>
                <w:szCs w:val="18"/>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One-third of the Option</w:t>
            </w:r>
          </w:p>
        </w:tc>
        <w:tc>
          <w:tcPr>
            <w:tcW w:w="5080" w:type="dxa"/>
            <w:vAlign w:val="bottom"/>
          </w:tcPr>
          <w:p>
            <w:pPr>
              <w:ind w:left="60"/>
              <w:spacing w:after="0"/>
              <w:rPr>
                <w:sz w:val="20"/>
                <w:szCs w:val="20"/>
                <w:color w:val="auto"/>
              </w:rPr>
            </w:pPr>
            <w:r>
              <w:rPr>
                <w:rFonts w:ascii="Arial" w:cs="Arial" w:eastAsia="Arial" w:hAnsi="Arial"/>
                <w:sz w:val="18"/>
                <w:szCs w:val="18"/>
                <w:color w:val="auto"/>
              </w:rPr>
              <w:t>February 21, 2014</w:t>
            </w:r>
          </w:p>
        </w:tc>
      </w:tr>
      <w:tr>
        <w:trPr>
          <w:trHeight w:val="222"/>
        </w:trPr>
        <w:tc>
          <w:tcPr>
            <w:tcW w:w="148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One-third of the Option</w:t>
            </w:r>
          </w:p>
        </w:tc>
        <w:tc>
          <w:tcPr>
            <w:tcW w:w="5080" w:type="dxa"/>
            <w:vAlign w:val="bottom"/>
          </w:tcPr>
          <w:p>
            <w:pPr>
              <w:ind w:left="60"/>
              <w:spacing w:after="0"/>
              <w:rPr>
                <w:sz w:val="20"/>
                <w:szCs w:val="20"/>
                <w:color w:val="auto"/>
              </w:rPr>
            </w:pPr>
            <w:r>
              <w:rPr>
                <w:rFonts w:ascii="Arial" w:cs="Arial" w:eastAsia="Arial" w:hAnsi="Arial"/>
                <w:sz w:val="18"/>
                <w:szCs w:val="18"/>
                <w:color w:val="auto"/>
              </w:rPr>
              <w:t>February 21, 2015</w:t>
            </w:r>
          </w:p>
        </w:tc>
      </w:tr>
      <w:tr>
        <w:trPr>
          <w:trHeight w:val="318"/>
        </w:trPr>
        <w:tc>
          <w:tcPr>
            <w:tcW w:w="1480" w:type="dxa"/>
            <w:vAlign w:val="bottom"/>
          </w:tcPr>
          <w:p>
            <w:pPr>
              <w:spacing w:after="0"/>
              <w:rPr>
                <w:sz w:val="20"/>
                <w:szCs w:val="20"/>
                <w:color w:val="auto"/>
              </w:rPr>
            </w:pPr>
            <w:r>
              <w:rPr>
                <w:rFonts w:ascii="Arial" w:cs="Arial" w:eastAsia="Arial" w:hAnsi="Arial"/>
                <w:sz w:val="18"/>
                <w:szCs w:val="18"/>
                <w:color w:val="auto"/>
              </w:rPr>
              <w:t>Expiration Date:</w:t>
            </w:r>
          </w:p>
        </w:tc>
        <w:tc>
          <w:tcPr>
            <w:tcW w:w="9800" w:type="dxa"/>
            <w:vAlign w:val="bottom"/>
            <w:gridSpan w:val="2"/>
          </w:tcPr>
          <w:p>
            <w:pPr>
              <w:ind w:left="220"/>
              <w:spacing w:after="0"/>
              <w:rPr>
                <w:sz w:val="20"/>
                <w:szCs w:val="20"/>
                <w:color w:val="auto"/>
              </w:rPr>
            </w:pPr>
            <w:r>
              <w:rPr>
                <w:rFonts w:ascii="Arial" w:cs="Arial" w:eastAsia="Arial" w:hAnsi="Arial"/>
                <w:sz w:val="18"/>
                <w:szCs w:val="18"/>
                <w:color w:val="auto"/>
                <w:w w:val="88"/>
              </w:rPr>
              <w:t>Except to the extent earlier terminated or exercised pursuant to the terms of the Agreement or the Plan, the Option will terminate at 3:00</w:t>
            </w:r>
          </w:p>
        </w:tc>
      </w:tr>
      <w:tr>
        <w:trPr>
          <w:trHeight w:val="222"/>
        </w:trPr>
        <w:tc>
          <w:tcPr>
            <w:tcW w:w="148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w w:val="89"/>
              </w:rPr>
              <w:t>p.m., Eastern time, on the tenth anniversary of the Award Date.</w:t>
            </w:r>
          </w:p>
        </w:tc>
        <w:tc>
          <w:tcPr>
            <w:tcW w:w="5080" w:type="dxa"/>
            <w:vAlign w:val="bottom"/>
          </w:tcPr>
          <w:p>
            <w:pPr>
              <w:spacing w:after="0"/>
              <w:rPr>
                <w:sz w:val="19"/>
                <w:szCs w:val="19"/>
                <w:color w:val="auto"/>
              </w:rPr>
            </w:pPr>
          </w:p>
        </w:tc>
      </w:tr>
    </w:tbl>
    <w:p>
      <w:pPr>
        <w:sectPr>
          <w:pgSz w:w="11900" w:h="16838" w:orient="portrait"/>
          <w:cols w:equalWidth="0" w:num="1">
            <w:col w:w="11420"/>
          </w:cols>
          <w:pgMar w:left="240" w:top="125" w:right="239" w:bottom="1440" w:gutter="0" w:footer="0" w:header="0"/>
        </w:sectPr>
      </w:pPr>
    </w:p>
    <w:bookmarkStart w:id="105" w:name="page106"/>
    <w:bookmarkEnd w:id="10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FORTUNE BRANDS HOME &amp; SECURITY,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2011 LONG-TERM INCENTIVE PLAN</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of February 21, 2012 Stock Option Agreement (the “Agreement”)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Fortune Brands Home &amp; Security, Inc., a Delaware corporation (“</w:t>
      </w:r>
      <w:r>
        <w:rPr>
          <w:rFonts w:ascii="Arial" w:cs="Arial" w:eastAsia="Arial" w:hAnsi="Arial"/>
          <w:sz w:val="16"/>
          <w:szCs w:val="16"/>
          <w:u w:val="single" w:color="auto"/>
          <w:color w:val="auto"/>
        </w:rPr>
        <w:t>Company</w:t>
      </w:r>
      <w:r>
        <w:rPr>
          <w:rFonts w:ascii="Arial" w:cs="Arial" w:eastAsia="Arial" w:hAnsi="Arial"/>
          <w:sz w:val="16"/>
          <w:szCs w:val="16"/>
          <w:color w:val="auto"/>
        </w:rPr>
        <w:t>”), grants to the individual (“</w:t>
      </w:r>
      <w:r>
        <w:rPr>
          <w:rFonts w:ascii="Arial" w:cs="Arial" w:eastAsia="Arial" w:hAnsi="Arial"/>
          <w:sz w:val="16"/>
          <w:szCs w:val="16"/>
          <w:u w:val="single" w:color="auto"/>
          <w:color w:val="auto"/>
        </w:rPr>
        <w:t>Optionee</w:t>
      </w:r>
      <w:r>
        <w:rPr>
          <w:rFonts w:ascii="Arial" w:cs="Arial" w:eastAsia="Arial" w:hAnsi="Arial"/>
          <w:sz w:val="16"/>
          <w:szCs w:val="16"/>
          <w:color w:val="auto"/>
        </w:rPr>
        <w:t>”) named in the attached award notice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 Notice</w:t>
      </w:r>
      <w:r>
        <w:rPr>
          <w:rFonts w:ascii="Arial" w:cs="Arial" w:eastAsia="Arial" w:hAnsi="Arial"/>
          <w:sz w:val="16"/>
          <w:szCs w:val="16"/>
          <w:color w:val="auto"/>
        </w:rPr>
        <w:t>”) an option to purchase shares of Common Stock from the Company subject to the terms and conditions of the Fortune Brands Home &amp; Security,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 2011 Long-Term Incentive Plan (“</w:t>
      </w:r>
      <w:r>
        <w:rPr>
          <w:rFonts w:ascii="Arial" w:cs="Arial" w:eastAsia="Arial" w:hAnsi="Arial"/>
          <w:sz w:val="16"/>
          <w:szCs w:val="16"/>
          <w:u w:val="single" w:color="auto"/>
          <w:color w:val="auto"/>
        </w:rPr>
        <w:t>Plan</w:t>
      </w:r>
      <w:r>
        <w:rPr>
          <w:rFonts w:ascii="Arial" w:cs="Arial" w:eastAsia="Arial" w:hAnsi="Arial"/>
          <w:sz w:val="16"/>
          <w:szCs w:val="16"/>
          <w:color w:val="auto"/>
        </w:rPr>
        <w:t>”) and the Award Notice. The date of grant (“</w:t>
      </w:r>
      <w:r>
        <w:rPr>
          <w:rFonts w:ascii="Arial" w:cs="Arial" w:eastAsia="Arial" w:hAnsi="Arial"/>
          <w:sz w:val="16"/>
          <w:szCs w:val="16"/>
          <w:u w:val="single" w:color="auto"/>
          <w:color w:val="auto"/>
        </w:rPr>
        <w:t>Award Date</w:t>
      </w:r>
      <w:r>
        <w:rPr>
          <w:rFonts w:ascii="Arial" w:cs="Arial" w:eastAsia="Arial" w:hAnsi="Arial"/>
          <w:sz w:val="16"/>
          <w:szCs w:val="16"/>
          <w:color w:val="auto"/>
        </w:rPr>
        <w:t>”), the number and class of shares of Common Stock subject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Option and the purchase price per share (“</w:t>
      </w:r>
      <w:r>
        <w:rPr>
          <w:rFonts w:ascii="Arial" w:cs="Arial" w:eastAsia="Arial" w:hAnsi="Arial"/>
          <w:sz w:val="16"/>
          <w:szCs w:val="16"/>
          <w:u w:val="single" w:color="auto"/>
          <w:color w:val="auto"/>
        </w:rPr>
        <w:t>Exercise Price</w:t>
      </w:r>
      <w:r>
        <w:rPr>
          <w:rFonts w:ascii="Arial" w:cs="Arial" w:eastAsia="Arial" w:hAnsi="Arial"/>
          <w:sz w:val="16"/>
          <w:szCs w:val="16"/>
          <w:color w:val="auto"/>
        </w:rPr>
        <w:t>”) are set forth in the Award Notice (“</w:t>
      </w:r>
      <w:r>
        <w:rPr>
          <w:rFonts w:ascii="Arial" w:cs="Arial" w:eastAsia="Arial" w:hAnsi="Arial"/>
          <w:sz w:val="16"/>
          <w:szCs w:val="16"/>
          <w:u w:val="single" w:color="auto"/>
          <w:color w:val="auto"/>
        </w:rPr>
        <w:t>Option</w:t>
      </w:r>
      <w:r>
        <w:rPr>
          <w:rFonts w:ascii="Arial" w:cs="Arial" w:eastAsia="Arial" w:hAnsi="Arial"/>
          <w:sz w:val="16"/>
          <w:szCs w:val="16"/>
          <w:color w:val="auto"/>
        </w:rPr>
        <w:t>”). Capitalized terms not defined in this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have the meanings specified in the Plan.</w:t>
      </w:r>
    </w:p>
    <w:p>
      <w:pPr>
        <w:spacing w:after="0" w:line="165" w:lineRule="exact"/>
        <w:rPr>
          <w:sz w:val="20"/>
          <w:szCs w:val="20"/>
          <w:color w:val="auto"/>
        </w:rPr>
      </w:pPr>
    </w:p>
    <w:p>
      <w:pPr>
        <w:ind w:right="160" w:firstLine="464"/>
        <w:spacing w:after="0" w:line="268" w:lineRule="auto"/>
        <w:tabs>
          <w:tab w:leader="none" w:pos="632"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Option Subject to Acceptance of Agreement</w:t>
      </w:r>
      <w:r>
        <w:rPr>
          <w:rFonts w:ascii="Arial" w:cs="Arial" w:eastAsia="Arial" w:hAnsi="Arial"/>
          <w:sz w:val="18"/>
          <w:szCs w:val="18"/>
          <w:color w:val="auto"/>
        </w:rPr>
        <w:t>. The Option will be null and void unless Optionee accepts this Agreement in a timely manner through the electronic, on-line grant acceptance process prescribed by the Company.</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Time and Manner of Exercise of Option</w:t>
      </w:r>
      <w:r>
        <w:rPr>
          <w:rFonts w:ascii="Arial" w:cs="Arial" w:eastAsia="Arial" w:hAnsi="Arial"/>
          <w:sz w:val="18"/>
          <w:szCs w:val="18"/>
          <w:color w:val="auto"/>
        </w:rPr>
        <w:t>.</w:t>
      </w:r>
    </w:p>
    <w:p>
      <w:pPr>
        <w:spacing w:after="0" w:line="90"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Maximum Term of Option</w:t>
      </w:r>
      <w:r>
        <w:rPr>
          <w:rFonts w:ascii="Arial" w:cs="Arial" w:eastAsia="Arial" w:hAnsi="Arial"/>
          <w:sz w:val="18"/>
          <w:szCs w:val="18"/>
          <w:color w:val="auto"/>
        </w:rPr>
        <w:t>. Except as specifically provided in Section 2.2(a) below, the Option may not be exercised, in whole or in part, after the expiration date set forth in the Award Notice (the “</w:t>
      </w:r>
      <w:r>
        <w:rPr>
          <w:rFonts w:ascii="Arial" w:cs="Arial" w:eastAsia="Arial" w:hAnsi="Arial"/>
          <w:sz w:val="18"/>
          <w:szCs w:val="18"/>
          <w:u w:val="single" w:color="auto"/>
          <w:color w:val="auto"/>
        </w:rPr>
        <w:t>Expiration Date</w:t>
      </w:r>
      <w:r>
        <w:rPr>
          <w:rFonts w:ascii="Arial" w:cs="Arial" w:eastAsia="Arial" w:hAnsi="Arial"/>
          <w:sz w:val="18"/>
          <w:szCs w:val="18"/>
          <w:color w:val="auto"/>
        </w:rPr>
        <w:t>”).</w:t>
      </w:r>
    </w:p>
    <w:p>
      <w:pPr>
        <w:spacing w:after="0" w:line="132" w:lineRule="exact"/>
        <w:rPr>
          <w:sz w:val="20"/>
          <w:szCs w:val="20"/>
          <w:color w:val="auto"/>
        </w:rPr>
      </w:pPr>
    </w:p>
    <w:p>
      <w:pPr>
        <w:ind w:right="300" w:firstLine="913"/>
        <w:spacing w:after="0" w:line="357"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Vesting and Exercise of Option</w:t>
      </w:r>
      <w:r>
        <w:rPr>
          <w:rFonts w:ascii="Arial" w:cs="Arial" w:eastAsia="Arial" w:hAnsi="Arial"/>
          <w:sz w:val="15"/>
          <w:szCs w:val="15"/>
          <w:color w:val="auto"/>
        </w:rPr>
        <w:t>. The Option will vest and become exercisable in accordance with the vesting schedule set forth in the Award Notice (the “</w:t>
      </w:r>
      <w:r>
        <w:rPr>
          <w:rFonts w:ascii="Arial" w:cs="Arial" w:eastAsia="Arial" w:hAnsi="Arial"/>
          <w:sz w:val="15"/>
          <w:szCs w:val="15"/>
          <w:u w:val="single" w:color="auto"/>
          <w:color w:val="auto"/>
        </w:rPr>
        <w:t>Vesting Schedule</w:t>
      </w:r>
      <w:r>
        <w:rPr>
          <w:rFonts w:ascii="Arial" w:cs="Arial" w:eastAsia="Arial" w:hAnsi="Arial"/>
          <w:sz w:val="15"/>
          <w:szCs w:val="15"/>
          <w:color w:val="auto"/>
        </w:rPr>
        <w:t>”). If Optionee’s employment terminates before the Option is fully vested, the Option will vest and be exercisable as follows:</w:t>
      </w:r>
    </w:p>
    <w:p>
      <w:pPr>
        <w:ind w:left="460" w:right="20" w:firstLine="881"/>
        <w:spacing w:after="0" w:line="255" w:lineRule="auto"/>
        <w:tabs>
          <w:tab w:leader="none" w:pos="1575"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Termination as a Result of Optionee’s Death</w:t>
      </w:r>
      <w:r>
        <w:rPr>
          <w:rFonts w:ascii="Arial" w:cs="Arial" w:eastAsia="Arial" w:hAnsi="Arial"/>
          <w:sz w:val="18"/>
          <w:szCs w:val="18"/>
          <w:color w:val="auto"/>
        </w:rPr>
        <w:t>. If Optionee’s employment with the Company terminates by reason of Optionee’s death, then the Option will immediately become fully exercisable and will continue to be exercisable by Optionee’s beneficiary, executor, administrator or legal representative through the earlier of: (i) the date which is three (3) years after the date of Optionee’s death, and (ii) the Expiration Date; provided, however, that the Option will continue to be exercisable for at least one (1) year following the date of Optionee’s death, even if this one-year period extends beyond the Expiration Date.</w:t>
      </w:r>
    </w:p>
    <w:p>
      <w:pPr>
        <w:spacing w:after="0" w:line="61" w:lineRule="exact"/>
        <w:rPr>
          <w:rFonts w:ascii="Arial" w:cs="Arial" w:eastAsia="Arial" w:hAnsi="Arial"/>
          <w:sz w:val="18"/>
          <w:szCs w:val="18"/>
          <w:color w:val="auto"/>
        </w:rPr>
      </w:pPr>
    </w:p>
    <w:p>
      <w:pPr>
        <w:ind w:left="460" w:right="100" w:firstLine="881"/>
        <w:spacing w:after="0" w:line="254" w:lineRule="auto"/>
        <w:tabs>
          <w:tab w:leader="none" w:pos="1585"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Termination as a Result of Disability</w:t>
      </w:r>
      <w:r>
        <w:rPr>
          <w:rFonts w:ascii="Arial" w:cs="Arial" w:eastAsia="Arial" w:hAnsi="Arial"/>
          <w:sz w:val="18"/>
          <w:szCs w:val="18"/>
          <w:color w:val="auto"/>
        </w:rPr>
        <w:t>. If Optionee’s employment with the Company terminates by reason of Optionee’s Disability (as defined below), then, provided that Optionee has been continuously employed with the Company for at least one (1) year following the Award Date and prior to the date of Disability, Optionee will be treated as continuing employment with the Company during the Disability for purposes of determining the vesting and exercisability of the Option, and the Option will continue to vest in accordance with the Vesting Schedule and be exercisable by Optionee or Optionee’s legal representative or guardian through the Expiration Date. For purposes of this Option, “</w:t>
      </w:r>
      <w:r>
        <w:rPr>
          <w:rFonts w:ascii="Arial" w:cs="Arial" w:eastAsia="Arial" w:hAnsi="Arial"/>
          <w:sz w:val="18"/>
          <w:szCs w:val="18"/>
          <w:u w:val="single" w:color="auto"/>
          <w:color w:val="auto"/>
        </w:rPr>
        <w:t>Disability</w:t>
      </w:r>
      <w:r>
        <w:rPr>
          <w:rFonts w:ascii="Arial" w:cs="Arial" w:eastAsia="Arial" w:hAnsi="Arial"/>
          <w:sz w:val="18"/>
          <w:szCs w:val="18"/>
          <w:color w:val="auto"/>
        </w:rPr>
        <w:t>” means Optionee’s inability to engage in any substantial gainful activity by</w:t>
      </w:r>
    </w:p>
    <w:p>
      <w:pPr>
        <w:sectPr>
          <w:pgSz w:w="11900" w:h="16838" w:orient="portrait"/>
          <w:cols w:equalWidth="0" w:num="1">
            <w:col w:w="11380"/>
          </w:cols>
          <w:pgMar w:left="240" w:top="274" w:right="279" w:bottom="1440" w:gutter="0" w:footer="0" w:header="0"/>
        </w:sectPr>
      </w:pPr>
    </w:p>
    <w:bookmarkStart w:id="106" w:name="page107"/>
    <w:bookmarkEnd w:id="106"/>
    <w:p>
      <w:pPr>
        <w:spacing w:after="0" w:line="3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 of any medically determinable physical or mental impairment which can be expected to result in death or that has lasted or can be expected to last for a continuous period of not less than 12 months, within the meaning of Section 22(e)(3) of the Internal Revenue Code of 1986, as amended (the “</w:t>
      </w:r>
      <w:r>
        <w:rPr>
          <w:rFonts w:ascii="Arial" w:cs="Arial" w:eastAsia="Arial" w:hAnsi="Arial"/>
          <w:sz w:val="15"/>
          <w:szCs w:val="15"/>
          <w:u w:val="single" w:color="auto"/>
          <w:color w:val="auto"/>
        </w:rPr>
        <w:t>Code</w:t>
      </w:r>
      <w:r>
        <w:rPr>
          <w:rFonts w:ascii="Arial" w:cs="Arial" w:eastAsia="Arial" w:hAnsi="Arial"/>
          <w:sz w:val="15"/>
          <w:szCs w:val="15"/>
          <w:color w:val="auto"/>
        </w:rPr>
        <w:t>”).</w:t>
      </w:r>
    </w:p>
    <w:p>
      <w:pPr>
        <w:ind w:right="20" w:firstLine="881"/>
        <w:spacing w:after="0" w:line="289" w:lineRule="auto"/>
        <w:tabs>
          <w:tab w:leader="none" w:pos="1115"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Termination as a Result of Retirement</w:t>
      </w:r>
      <w:r>
        <w:rPr>
          <w:rFonts w:ascii="Arial" w:cs="Arial" w:eastAsia="Arial" w:hAnsi="Arial"/>
          <w:sz w:val="16"/>
          <w:szCs w:val="16"/>
          <w:color w:val="auto"/>
        </w:rPr>
        <w:t xml:space="preserve">. Notwithstanding the provisions of Section 3.6 below, if Optionee’s employment with the Company terminates by reason of Optionee’s Retirement (as defined below), the Option, shall become fully vested and exercisable on the effective date of Optionee’s Retirement and shall remain exercisable through the Expiration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as of the date of Optionee’s Retirement, Optionee has been continuously employed with the Company for at least one (1) year following the Award Date. For purposes of this Option, “</w:t>
      </w:r>
      <w:r>
        <w:rPr>
          <w:rFonts w:ascii="Arial" w:cs="Arial" w:eastAsia="Arial" w:hAnsi="Arial"/>
          <w:sz w:val="16"/>
          <w:szCs w:val="16"/>
          <w:u w:val="single" w:color="auto"/>
          <w:color w:val="auto"/>
        </w:rPr>
        <w:t>Retirement</w:t>
      </w:r>
      <w:r>
        <w:rPr>
          <w:rFonts w:ascii="Arial" w:cs="Arial" w:eastAsia="Arial" w:hAnsi="Arial"/>
          <w:sz w:val="16"/>
          <w:szCs w:val="16"/>
          <w:color w:val="auto"/>
        </w:rPr>
        <w:t>” means Optionee’s termination of employment (other than for Cause, as defined in subsection (e) below) on or after attaining age 55 and completing at least five (5) years of service with the Company or its predecessors and affiliates. In the event of a Change in Control as provided in Section 3.6 below, Optionee shall be eligible for the treatment described in this Section 2.2(c) if Optionee terminates employment after qualifying for Retirement, even if Optionee does not have Good Reason (as described below).</w:t>
      </w:r>
    </w:p>
    <w:p>
      <w:pPr>
        <w:spacing w:after="0" w:line="37" w:lineRule="exact"/>
        <w:rPr>
          <w:rFonts w:ascii="Arial" w:cs="Arial" w:eastAsia="Arial" w:hAnsi="Arial"/>
          <w:sz w:val="16"/>
          <w:szCs w:val="16"/>
          <w:color w:val="auto"/>
        </w:rPr>
      </w:pPr>
    </w:p>
    <w:p>
      <w:pPr>
        <w:ind w:right="60" w:firstLine="881"/>
        <w:spacing w:after="0" w:line="255" w:lineRule="auto"/>
        <w:tabs>
          <w:tab w:leader="none" w:pos="1125"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Termination Other than for Cause, Death, Disability or Retirement</w:t>
      </w:r>
      <w:r>
        <w:rPr>
          <w:rFonts w:ascii="Arial" w:cs="Arial" w:eastAsia="Arial" w:hAnsi="Arial"/>
          <w:sz w:val="18"/>
          <w:szCs w:val="18"/>
          <w:color w:val="auto"/>
        </w:rPr>
        <w:t>. If Optionee’s employment with the Company terminates for any reason other than for Cause (as defined below), death, Disability or Retirement, the Option, to the extent vested on the effective date of such termination of employment, may be exercised by Optionee through the earlier to occur of (i) the date which is three (3) months after the date of such termination of employment and (ii) the Expiration Date. The Option, to the extent not vested on the effective date of such termination of employment, will not become exercisable and will be cancelled as of Optionee’s termination date.</w:t>
      </w:r>
    </w:p>
    <w:p>
      <w:pPr>
        <w:spacing w:after="0" w:line="61" w:lineRule="exact"/>
        <w:rPr>
          <w:rFonts w:ascii="Arial" w:cs="Arial" w:eastAsia="Arial" w:hAnsi="Arial"/>
          <w:sz w:val="18"/>
          <w:szCs w:val="18"/>
          <w:color w:val="auto"/>
        </w:rPr>
      </w:pPr>
    </w:p>
    <w:p>
      <w:pPr>
        <w:ind w:right="20" w:firstLine="881"/>
        <w:spacing w:after="0" w:line="294" w:lineRule="auto"/>
        <w:tabs>
          <w:tab w:leader="none" w:pos="1115"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Termination by Company for Cause</w:t>
      </w:r>
      <w:r>
        <w:rPr>
          <w:rFonts w:ascii="Arial" w:cs="Arial" w:eastAsia="Arial" w:hAnsi="Arial"/>
          <w:sz w:val="16"/>
          <w:szCs w:val="16"/>
          <w:color w:val="auto"/>
        </w:rPr>
        <w:t>. For purposes of this Option, “</w:t>
      </w:r>
      <w:r>
        <w:rPr>
          <w:rFonts w:ascii="Arial" w:cs="Arial" w:eastAsia="Arial" w:hAnsi="Arial"/>
          <w:sz w:val="16"/>
          <w:szCs w:val="16"/>
          <w:u w:val="single" w:color="auto"/>
          <w:color w:val="auto"/>
        </w:rPr>
        <w:t>Cause</w:t>
      </w:r>
      <w:r>
        <w:rPr>
          <w:rFonts w:ascii="Arial" w:cs="Arial" w:eastAsia="Arial" w:hAnsi="Arial"/>
          <w:sz w:val="16"/>
          <w:szCs w:val="16"/>
          <w:color w:val="auto"/>
        </w:rPr>
        <w:t>” has the same meaning as set forth in any employment or other written agreement between Optionee and the Company regarding benefits upon termination of employment (“</w:t>
      </w:r>
      <w:r>
        <w:rPr>
          <w:rFonts w:ascii="Arial" w:cs="Arial" w:eastAsia="Arial" w:hAnsi="Arial"/>
          <w:sz w:val="16"/>
          <w:szCs w:val="16"/>
          <w:u w:val="single" w:color="auto"/>
          <w:color w:val="auto"/>
        </w:rPr>
        <w:t>Termination Agreement</w:t>
      </w:r>
      <w:r>
        <w:rPr>
          <w:rFonts w:ascii="Arial" w:cs="Arial" w:eastAsia="Arial" w:hAnsi="Arial"/>
          <w:sz w:val="16"/>
          <w:szCs w:val="16"/>
          <w:color w:val="auto"/>
        </w:rPr>
        <w:t>”), provided that if Optionee is not a party to a Termination Agreement that contains such definition, then Cause shall have the same meaning provided for such term under the severance plan sponsored by Optionee’s employer and under which Optionee is eligible to participate. If the Company terminates Optionee’s employment for Cause, then the Option, whether or not vested, will terminate immediately upon such termination of employment.</w:t>
      </w:r>
    </w:p>
    <w:p>
      <w:pPr>
        <w:spacing w:after="0" w:line="34" w:lineRule="exact"/>
        <w:rPr>
          <w:rFonts w:ascii="Arial" w:cs="Arial" w:eastAsia="Arial" w:hAnsi="Arial"/>
          <w:sz w:val="16"/>
          <w:szCs w:val="16"/>
          <w:color w:val="auto"/>
        </w:rPr>
      </w:pPr>
    </w:p>
    <w:p>
      <w:pPr>
        <w:ind w:right="40" w:firstLine="881"/>
        <w:spacing w:after="0" w:line="256" w:lineRule="auto"/>
        <w:tabs>
          <w:tab w:leader="none" w:pos="1096"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Transfer of Employment; Leave of Absence</w:t>
      </w:r>
      <w:r>
        <w:rPr>
          <w:rFonts w:ascii="Arial" w:cs="Arial" w:eastAsia="Arial" w:hAnsi="Arial"/>
          <w:sz w:val="18"/>
          <w:szCs w:val="18"/>
          <w:color w:val="auto"/>
        </w:rPr>
        <w:t>. For the purposes of this Agreement, (i) a transfer of Optionee’s employment from the Company to a subsidiary or vice versa, or from one subsidiary to another, without an intervening period, shall not be deemed a termination of employment; and (ii) if Optionee is granted in writing a leave of absence, Optionee shall be deemed to have remained in the employ of the Company or a subsidiary during such leave of absence.</w:t>
      </w:r>
    </w:p>
    <w:p>
      <w:pPr>
        <w:sectPr>
          <w:pgSz w:w="11900" w:h="16838" w:orient="portrait"/>
          <w:cols w:equalWidth="0" w:num="1">
            <w:col w:w="10960"/>
          </w:cols>
          <w:pgMar w:left="700" w:top="280" w:right="239" w:bottom="1440" w:gutter="0" w:footer="0" w:header="0"/>
        </w:sectPr>
      </w:pPr>
    </w:p>
    <w:bookmarkStart w:id="107" w:name="page108"/>
    <w:bookmarkEnd w:id="107"/>
    <w:p>
      <w:pPr>
        <w:ind w:right="60"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2.3. </w:t>
      </w:r>
      <w:r>
        <w:rPr>
          <w:rFonts w:ascii="Arial" w:cs="Arial" w:eastAsia="Arial" w:hAnsi="Arial"/>
          <w:sz w:val="16"/>
          <w:szCs w:val="16"/>
          <w:u w:val="single" w:color="auto"/>
          <w:color w:val="auto"/>
        </w:rPr>
        <w:t>Method of Exercise</w:t>
      </w:r>
      <w:r>
        <w:rPr>
          <w:rFonts w:ascii="Arial" w:cs="Arial" w:eastAsia="Arial" w:hAnsi="Arial"/>
          <w:sz w:val="16"/>
          <w:szCs w:val="16"/>
          <w:color w:val="auto"/>
        </w:rPr>
        <w:t>. Subject to this Agreement, the Option may be exercised (a) by specifying the number of whole shares of Common Stock to be purchased in the manner prescribed by the Company, accompanied by full payment (or by arranging for full payment to the Company’s satisfaction) either</w:t>
      </w:r>
    </w:p>
    <w:p>
      <w:pPr>
        <w:ind w:firstLine="8"/>
        <w:spacing w:after="0" w:line="281" w:lineRule="auto"/>
        <w:tabs>
          <w:tab w:leader="none" w:pos="21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 cash, (ii) by delivery to the Company (either actual delivery or by attestation procedures established by the Company) of shares of Common Stock having an aggregate Fair Market Value (as defined below), determined as of the date of exercise, equal to the aggregate purchase price payable pursuant to the Option,</w:t>
      </w:r>
    </w:p>
    <w:p>
      <w:pPr>
        <w:spacing w:after="0" w:line="1" w:lineRule="exact"/>
        <w:rPr>
          <w:rFonts w:ascii="Arial" w:cs="Arial" w:eastAsia="Arial" w:hAnsi="Arial"/>
          <w:sz w:val="16"/>
          <w:szCs w:val="16"/>
          <w:color w:val="auto"/>
        </w:rPr>
      </w:pPr>
    </w:p>
    <w:p>
      <w:pPr>
        <w:ind w:right="80" w:firstLine="8"/>
        <w:spacing w:after="0" w:line="290" w:lineRule="auto"/>
        <w:tabs>
          <w:tab w:leader="none" w:pos="307" w:val="left"/>
        </w:tabs>
        <w:numPr>
          <w:ilvl w:val="0"/>
          <w:numId w:val="78"/>
        </w:numPr>
        <w:rPr>
          <w:rFonts w:ascii="Arial" w:cs="Arial" w:eastAsia="Arial" w:hAnsi="Arial"/>
          <w:sz w:val="16"/>
          <w:szCs w:val="16"/>
          <w:color w:val="auto"/>
        </w:rPr>
      </w:pPr>
      <w:r>
        <w:rPr>
          <w:rFonts w:ascii="Arial" w:cs="Arial" w:eastAsia="Arial" w:hAnsi="Arial"/>
          <w:sz w:val="16"/>
          <w:szCs w:val="16"/>
          <w:color w:val="auto"/>
        </w:rPr>
        <w:t>authorizing the Company to sell shares of Common Stock subject to the option exercise and withhold from the proceeds an amount equal to the option exercise price, or (iv) by a combination of (i), (ii) and (iii); and (b) by executing such documents as the Company may reasonably request. For this purpose, “</w:t>
      </w:r>
      <w:r>
        <w:rPr>
          <w:rFonts w:ascii="Arial" w:cs="Arial" w:eastAsia="Arial" w:hAnsi="Arial"/>
          <w:sz w:val="16"/>
          <w:szCs w:val="16"/>
          <w:u w:val="single" w:color="auto"/>
          <w:color w:val="auto"/>
        </w:rPr>
        <w:t>Fair</w:t>
      </w:r>
      <w:r>
        <w:rPr>
          <w:rFonts w:ascii="Arial" w:cs="Arial" w:eastAsia="Arial" w:hAnsi="Arial"/>
          <w:sz w:val="16"/>
          <w:szCs w:val="16"/>
          <w:color w:val="auto"/>
        </w:rPr>
        <w:t xml:space="preserve"> </w:t>
      </w:r>
      <w:r>
        <w:rPr>
          <w:rFonts w:ascii="Arial" w:cs="Arial" w:eastAsia="Arial" w:hAnsi="Arial"/>
          <w:sz w:val="16"/>
          <w:szCs w:val="16"/>
          <w:u w:val="single" w:color="auto"/>
          <w:color w:val="auto"/>
        </w:rPr>
        <w:t>Market Value</w:t>
      </w:r>
      <w:r>
        <w:rPr>
          <w:rFonts w:ascii="Arial" w:cs="Arial" w:eastAsia="Arial" w:hAnsi="Arial"/>
          <w:sz w:val="16"/>
          <w:szCs w:val="16"/>
          <w:color w:val="auto"/>
        </w:rPr>
        <w:t>” as of any date means the value determined by reference to the closing price of a share of Common Stock as finally reported on the New York Stock Exchange for the trading day immediately preceding such date. Any fraction of a share of Common Stock which would be required to pay such purchase price will be disregarded and the remaining amount due will be paid in cash by Optionee. No Common Stock will be issued or delivered until the full purchase price and any related withholding taxes, as described in Section 3.3, have been paid.</w:t>
      </w:r>
    </w:p>
    <w:p>
      <w:pPr>
        <w:spacing w:after="0" w:line="118" w:lineRule="exact"/>
        <w:rPr>
          <w:sz w:val="20"/>
          <w:szCs w:val="20"/>
          <w:color w:val="auto"/>
        </w:rPr>
      </w:pPr>
    </w:p>
    <w:p>
      <w:pPr>
        <w:ind w:right="240" w:firstLine="913"/>
        <w:spacing w:after="0" w:line="332"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Termination of Option</w:t>
      </w:r>
      <w:r>
        <w:rPr>
          <w:rFonts w:ascii="Arial" w:cs="Arial" w:eastAsia="Arial" w:hAnsi="Arial"/>
          <w:sz w:val="16"/>
          <w:szCs w:val="16"/>
          <w:color w:val="auto"/>
        </w:rPr>
        <w:t>. The Option will terminate on the Expiration Date except as otherwise provided in Section 2.2 or exercised pursuant to Section 2.3. Upon the termination of the Option, the Option will no longer be exercisable and will immediately become null and void.</w:t>
      </w:r>
    </w:p>
    <w:p>
      <w:pPr>
        <w:spacing w:after="0" w:line="85" w:lineRule="exact"/>
        <w:rPr>
          <w:sz w:val="20"/>
          <w:szCs w:val="20"/>
          <w:color w:val="auto"/>
        </w:rPr>
      </w:pPr>
    </w:p>
    <w:p>
      <w:pPr>
        <w:ind w:left="640" w:hanging="17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Additional Terms and Conditions of Option</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Nontransferability of Option</w:t>
      </w:r>
      <w:r>
        <w:rPr>
          <w:rFonts w:ascii="Arial" w:cs="Arial" w:eastAsia="Arial" w:hAnsi="Arial"/>
          <w:sz w:val="16"/>
          <w:szCs w:val="16"/>
          <w:color w:val="auto"/>
        </w:rPr>
        <w:t>. The Option cannot be transferred by Optionee other than (a) by will or the laws of descent and distribution; or</w:t>
      </w:r>
    </w:p>
    <w:p>
      <w:pPr>
        <w:spacing w:after="0" w:line="38" w:lineRule="exact"/>
        <w:rPr>
          <w:sz w:val="20"/>
          <w:szCs w:val="20"/>
          <w:color w:val="auto"/>
        </w:rPr>
      </w:pPr>
    </w:p>
    <w:p>
      <w:pPr>
        <w:ind w:right="120" w:firstLine="8"/>
        <w:spacing w:after="0" w:line="287" w:lineRule="auto"/>
        <w:tabs>
          <w:tab w:leader="none" w:pos="249" w:val="left"/>
        </w:tabs>
        <w:numPr>
          <w:ilvl w:val="0"/>
          <w:numId w:val="80"/>
        </w:numPr>
        <w:rPr>
          <w:rFonts w:ascii="Arial" w:cs="Arial" w:eastAsia="Arial" w:hAnsi="Arial"/>
          <w:sz w:val="16"/>
          <w:szCs w:val="16"/>
          <w:color w:val="auto"/>
        </w:rPr>
      </w:pPr>
      <w:r>
        <w:rPr>
          <w:rFonts w:ascii="Arial" w:cs="Arial" w:eastAsia="Arial" w:hAnsi="Arial"/>
          <w:sz w:val="16"/>
          <w:szCs w:val="16"/>
          <w:color w:val="auto"/>
        </w:rPr>
        <w:t>pursuant to an approved domestic relations order approved in writing by the Secretary of the Compensation Committee of the Company’s Board of Directors (“</w:t>
      </w:r>
      <w:r>
        <w:rPr>
          <w:rFonts w:ascii="Arial" w:cs="Arial" w:eastAsia="Arial" w:hAnsi="Arial"/>
          <w:sz w:val="16"/>
          <w:szCs w:val="16"/>
          <w:u w:val="single" w:color="auto"/>
          <w:color w:val="auto"/>
        </w:rPr>
        <w:t>Committee</w:t>
      </w:r>
      <w:r>
        <w:rPr>
          <w:rFonts w:ascii="Arial" w:cs="Arial" w:eastAsia="Arial" w:hAnsi="Arial"/>
          <w:sz w:val="16"/>
          <w:szCs w:val="16"/>
          <w:color w:val="auto"/>
        </w:rPr>
        <w:t>”) or the Secretary’s designee. Optionee must immediately notify the Company of any transfer and provide such information about the transferee as the Company may request. No transferee of an Option may make any subsequent transfer of the Option, and such transferee may exercise the Option in accordance with Section 2.3 (iii) only to the extent all transferees are permitted to exercise the Option in accordance with Section 2.3(iii). Except to the extent permitted by this Section 3.1, (x) the Option is exercisable only by Optionee or Optionee’s legal representative, guardian or similar person during Optionee’s lifetime; and (y) the Option may not be sold, transferred, assigned, pledged, hypothecated, encumbered or otherwise disposed of (whether by operation of law or otherwise) or be subject to execution, attachment or similar process. Upon any attempt to sell, transfer, assign, pledge, hypothecate, encumber or otherwise dispose of the Option, the Option will immediately become null and void.</w:t>
      </w:r>
    </w:p>
    <w:p>
      <w:pPr>
        <w:spacing w:after="0" w:line="124"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Investment Representation</w:t>
      </w:r>
      <w:r>
        <w:rPr>
          <w:rFonts w:ascii="Arial" w:cs="Arial" w:eastAsia="Arial" w:hAnsi="Arial"/>
          <w:sz w:val="16"/>
          <w:szCs w:val="16"/>
          <w:color w:val="auto"/>
        </w:rPr>
        <w:t>. Optionee represents and covenants that (a) any shares of Common Stock purchased upon exercise of the Option will be purchased for investment and not with a view to the distribution of such shares within the meaning of the Securities Act of 1933, as amended (the “</w:t>
      </w:r>
      <w:r>
        <w:rPr>
          <w:rFonts w:ascii="Arial" w:cs="Arial" w:eastAsia="Arial" w:hAnsi="Arial"/>
          <w:sz w:val="16"/>
          <w:szCs w:val="16"/>
          <w:u w:val="single" w:color="auto"/>
          <w:color w:val="auto"/>
        </w:rPr>
        <w:t>Securities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Act</w:t>
      </w:r>
      <w:r>
        <w:rPr>
          <w:rFonts w:ascii="Arial" w:cs="Arial" w:eastAsia="Arial" w:hAnsi="Arial"/>
          <w:sz w:val="16"/>
          <w:szCs w:val="16"/>
          <w:color w:val="auto"/>
        </w:rPr>
        <w:t>”) unless such purchase has been registered under the Securities Act and any applicable state securities laws; (b) any subsequent sale of any such shares will be made either pursuant to an effective registration statement under the Securities Act and any applicable state securities laws, or pursuant to an exemption from registration under the Securities Act and such state securities laws; and ( c) if requested by the Company, Optionee will submit a</w:t>
      </w:r>
    </w:p>
    <w:p>
      <w:pPr>
        <w:sectPr>
          <w:pgSz w:w="11900" w:h="16838" w:orient="portrait"/>
          <w:cols w:equalWidth="0" w:num="1">
            <w:col w:w="11420"/>
          </w:cols>
          <w:pgMar w:left="240" w:top="280" w:right="239" w:bottom="1440" w:gutter="0" w:footer="0" w:header="0"/>
        </w:sectPr>
      </w:pPr>
    </w:p>
    <w:bookmarkStart w:id="108" w:name="page109"/>
    <w:bookmarkEnd w:id="108"/>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written statement, in a form satisfactory to the Company, that such representation (i) is true and correct as of the purchase date of any shares, or (ii) is true and correct as of the date any such shares are sold, as applicable. As a further condition to any exercise of the Option, Optionee agrees to comply with all regulations and requirements of any regulatory authority having control of or supervision over the issuance or delivery of the shares and to execute any documents which the Board or the Committee in its sole discretion deems necessary or advisable.</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Withholding Taxes</w:t>
      </w:r>
      <w:r>
        <w:rPr>
          <w:rFonts w:ascii="Arial" w:cs="Arial" w:eastAsia="Arial" w:hAnsi="Arial"/>
          <w:sz w:val="18"/>
          <w:szCs w:val="18"/>
          <w:color w:val="auto"/>
        </w:rPr>
        <w:t>.</w:t>
      </w:r>
    </w:p>
    <w:p>
      <w:pPr>
        <w:spacing w:after="0" w:line="90" w:lineRule="exact"/>
        <w:rPr>
          <w:sz w:val="20"/>
          <w:szCs w:val="20"/>
          <w:color w:val="auto"/>
        </w:rPr>
      </w:pPr>
    </w:p>
    <w:p>
      <w:pPr>
        <w:ind w:left="460" w:right="80" w:firstLine="881"/>
        <w:spacing w:after="0" w:line="294" w:lineRule="auto"/>
        <w:tabs>
          <w:tab w:leader="none" w:pos="1575" w:val="left"/>
        </w:tabs>
        <w:numPr>
          <w:ilvl w:val="1"/>
          <w:numId w:val="81"/>
        </w:numPr>
        <w:rPr>
          <w:rFonts w:ascii="Arial" w:cs="Arial" w:eastAsia="Arial" w:hAnsi="Arial"/>
          <w:sz w:val="16"/>
          <w:szCs w:val="16"/>
          <w:color w:val="auto"/>
        </w:rPr>
      </w:pPr>
      <w:r>
        <w:rPr>
          <w:rFonts w:ascii="Arial" w:cs="Arial" w:eastAsia="Arial" w:hAnsi="Arial"/>
          <w:sz w:val="16"/>
          <w:szCs w:val="16"/>
          <w:color w:val="auto"/>
        </w:rPr>
        <w:t>Upon exercise of the Option, Optionee will, at the Company’s request, pay to the Company in addition to the purchase price of the shares, such amount as the Company may be required, under all applicable federal, state, local or other laws or regulations, to withhold and pay over as income or other withholding taxes (the “</w:t>
      </w:r>
      <w:r>
        <w:rPr>
          <w:rFonts w:ascii="Arial" w:cs="Arial" w:eastAsia="Arial" w:hAnsi="Arial"/>
          <w:sz w:val="16"/>
          <w:szCs w:val="16"/>
          <w:u w:val="single" w:color="auto"/>
          <w:color w:val="auto"/>
        </w:rPr>
        <w:t>Required Tax Payments</w:t>
      </w:r>
      <w:r>
        <w:rPr>
          <w:rFonts w:ascii="Arial" w:cs="Arial" w:eastAsia="Arial" w:hAnsi="Arial"/>
          <w:sz w:val="16"/>
          <w:szCs w:val="16"/>
          <w:color w:val="auto"/>
        </w:rPr>
        <w:t>”) with respect to such exercise of the Option. If Optionee fails to do so, the Company may, in its discretion, deduct any Required Tax Payments from any amount payable by the Company to Optionee. No shares of Common Stock will be issued or delivered until the Required Tax Payments have been paid in full.</w:t>
      </w:r>
    </w:p>
    <w:p>
      <w:pPr>
        <w:spacing w:after="0" w:line="34" w:lineRule="exact"/>
        <w:rPr>
          <w:rFonts w:ascii="Arial" w:cs="Arial" w:eastAsia="Arial" w:hAnsi="Arial"/>
          <w:sz w:val="16"/>
          <w:szCs w:val="16"/>
          <w:color w:val="auto"/>
        </w:rPr>
      </w:pPr>
    </w:p>
    <w:p>
      <w:pPr>
        <w:ind w:left="460" w:right="260" w:firstLine="881"/>
        <w:spacing w:after="0" w:line="284" w:lineRule="auto"/>
        <w:tabs>
          <w:tab w:leader="none" w:pos="1585" w:val="left"/>
        </w:tabs>
        <w:numPr>
          <w:ilvl w:val="1"/>
          <w:numId w:val="81"/>
        </w:numPr>
        <w:rPr>
          <w:rFonts w:ascii="Arial" w:cs="Arial" w:eastAsia="Arial" w:hAnsi="Arial"/>
          <w:sz w:val="16"/>
          <w:szCs w:val="16"/>
          <w:color w:val="auto"/>
        </w:rPr>
      </w:pPr>
      <w:r>
        <w:rPr>
          <w:rFonts w:ascii="Arial" w:cs="Arial" w:eastAsia="Arial" w:hAnsi="Arial"/>
          <w:sz w:val="16"/>
          <w:szCs w:val="16"/>
          <w:color w:val="auto"/>
        </w:rPr>
        <w:t>Optionee may pay the Required Tax Payments to the Company by any of the following means: (i) a cash payment; (ii) delivery (either actual delivery or by attestation procedures established by the Company) of previously owned whole shares of Common Stock having an aggregate Fair Market Value, determined as of the date on which such withholding obligation arises (the “</w:t>
      </w:r>
      <w:r>
        <w:rPr>
          <w:rFonts w:ascii="Arial" w:cs="Arial" w:eastAsia="Arial" w:hAnsi="Arial"/>
          <w:sz w:val="16"/>
          <w:szCs w:val="16"/>
          <w:u w:val="single" w:color="auto"/>
          <w:color w:val="auto"/>
        </w:rPr>
        <w:t>Tax Date</w:t>
      </w:r>
      <w:r>
        <w:rPr>
          <w:rFonts w:ascii="Arial" w:cs="Arial" w:eastAsia="Arial" w:hAnsi="Arial"/>
          <w:sz w:val="16"/>
          <w:szCs w:val="16"/>
          <w:color w:val="auto"/>
        </w:rPr>
        <w:t>”), equal to the Required Tax Payments;</w:t>
      </w:r>
    </w:p>
    <w:p>
      <w:pPr>
        <w:spacing w:after="0" w:line="1" w:lineRule="exact"/>
        <w:rPr>
          <w:rFonts w:ascii="Arial" w:cs="Arial" w:eastAsia="Arial" w:hAnsi="Arial"/>
          <w:sz w:val="16"/>
          <w:szCs w:val="16"/>
          <w:color w:val="auto"/>
        </w:rPr>
      </w:pPr>
    </w:p>
    <w:p>
      <w:pPr>
        <w:ind w:left="460" w:firstLine="4"/>
        <w:spacing w:after="0" w:line="253" w:lineRule="auto"/>
        <w:tabs>
          <w:tab w:leader="none" w:pos="767" w:val="left"/>
        </w:tabs>
        <w:numPr>
          <w:ilvl w:val="0"/>
          <w:numId w:val="82"/>
        </w:numPr>
        <w:rPr>
          <w:rFonts w:ascii="Arial" w:cs="Arial" w:eastAsia="Arial" w:hAnsi="Arial"/>
          <w:sz w:val="18"/>
          <w:szCs w:val="18"/>
          <w:color w:val="auto"/>
        </w:rPr>
      </w:pPr>
      <w:r>
        <w:rPr>
          <w:rFonts w:ascii="Arial" w:cs="Arial" w:eastAsia="Arial" w:hAnsi="Arial"/>
          <w:sz w:val="18"/>
          <w:szCs w:val="18"/>
          <w:color w:val="auto"/>
        </w:rPr>
        <w:t>authorizing the Company to withhold whole shares of Common Stock which would otherwise be delivered to Optionee upon exercise of the Option having an aggregate Fair Market Value, determined as of the Tax Date, equal to the Required Tax Payments; or (iv) any combination of (i), (ii) and (iii). Shares of Common Stock to be delivered or withheld may not have a Fair Market Value in excess of the minimum amount of the Required Tax Payments. Any fraction of a share of Common Stock which would be required to satisfy any such obligation will be disregarded and the remaining amount due will be paid in cash by Optionee.</w:t>
      </w:r>
    </w:p>
    <w:p>
      <w:pPr>
        <w:spacing w:after="0" w:line="145"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Adjustment</w:t>
      </w:r>
      <w:r>
        <w:rPr>
          <w:rFonts w:ascii="Arial" w:cs="Arial" w:eastAsia="Arial" w:hAnsi="Arial"/>
          <w:sz w:val="16"/>
          <w:szCs w:val="16"/>
          <w:color w:val="auto"/>
        </w:rPr>
        <w:t>. In the event of any stock split, stock dividend, recapitalization, reorganization, merger, consolidation, combination, exchange of shares, liquidation, spin-off or other similar change in capitalization or event, or any distribution to Optionees of Common Stock other than a regular cash dividend, the number and class of securities subject to the Option and the Exercise Price will be equitably adjusted by the Committee, such adjustment to be made in accordance with Section 409A of the Code. The decision of the Committee regarding any such adjustment is final, binding and conclusive.</w:t>
      </w:r>
    </w:p>
    <w:p>
      <w:pPr>
        <w:spacing w:after="0" w:line="113"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Company Clawback Policy</w:t>
      </w:r>
      <w:r>
        <w:rPr>
          <w:rFonts w:ascii="Arial" w:cs="Arial" w:eastAsia="Arial" w:hAnsi="Arial"/>
          <w:sz w:val="16"/>
          <w:szCs w:val="16"/>
          <w:color w:val="auto"/>
        </w:rPr>
        <w:t>. Notwithstanding any provision of the Plan or this Agreement to the contrary, outstanding Options may be cancelled, and the Company may require the Optionee to return shares of Company common stock (or the value of such shares as of the date of exercise) received as a result of a prior Option exercise, and any other amount required by law to be returned in the event that such repayment is required in order to comply with the Company’s clawback policy as then in effect or any laws or regulations relating to restatements of the Company’s publicly-reported financial results.</w:t>
      </w:r>
    </w:p>
    <w:p>
      <w:pPr>
        <w:sectPr>
          <w:pgSz w:w="11900" w:h="16838" w:orient="portrait"/>
          <w:cols w:equalWidth="0" w:num="1">
            <w:col w:w="11400"/>
          </w:cols>
          <w:pgMar w:left="240" w:top="280" w:right="259" w:bottom="1440" w:gutter="0" w:footer="0" w:header="0"/>
        </w:sectPr>
      </w:pPr>
    </w:p>
    <w:bookmarkStart w:id="109" w:name="page110"/>
    <w:bookmarkEnd w:id="109"/>
    <w:p>
      <w:pPr>
        <w:ind w:right="20"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3.6. </w:t>
      </w:r>
      <w:r>
        <w:rPr>
          <w:rFonts w:ascii="Arial" w:cs="Arial" w:eastAsia="Arial" w:hAnsi="Arial"/>
          <w:sz w:val="16"/>
          <w:szCs w:val="16"/>
          <w:u w:val="single" w:color="auto"/>
          <w:color w:val="auto"/>
        </w:rPr>
        <w:t>Change in Control</w:t>
      </w:r>
      <w:r>
        <w:rPr>
          <w:rFonts w:ascii="Arial" w:cs="Arial" w:eastAsia="Arial" w:hAnsi="Arial"/>
          <w:sz w:val="16"/>
          <w:szCs w:val="16"/>
          <w:color w:val="auto"/>
        </w:rPr>
        <w:t>. In the event of a Change in Control, the Option will become subject to Section 5.8 of the Plan. In the event that the Option remains outstanding following such Change in Control and the Optionee’s employment is terminated either by the Company other than for Cause, or by Optionee for Good Reason (as defined below) on or after such Change in Control but before the Option is fully vested, the Option will become fully vested as of the date of Optionee’s termination of employment and will remain exercisable through the Expiration Date, subject to Section 5.8 of the Plan. For this purpose, “</w:t>
      </w:r>
      <w:r>
        <w:rPr>
          <w:rFonts w:ascii="Arial" w:cs="Arial" w:eastAsia="Arial" w:hAnsi="Arial"/>
          <w:sz w:val="16"/>
          <w:szCs w:val="16"/>
          <w:u w:val="single" w:color="auto"/>
          <w:color w:val="auto"/>
        </w:rPr>
        <w:t>Good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Reason</w:t>
      </w:r>
      <w:r>
        <w:rPr>
          <w:rFonts w:ascii="Arial" w:cs="Arial" w:eastAsia="Arial" w:hAnsi="Arial"/>
          <w:sz w:val="16"/>
          <w:szCs w:val="16"/>
          <w:color w:val="auto"/>
        </w:rPr>
        <w:t>” has the same meaning as set forth in any Termination Agreement between Optionee and the Company, provided that if Optionee is not a party to a Termination Agreement that contains such definition, then Good Reason shall include any of the reasons allowing Optionee to terminate employment and remain eligible for severance benefits under the severance plan sponsored by Optionee’s employer and under which Optionee is eligible to participate.</w:t>
      </w:r>
    </w:p>
    <w:p>
      <w:pPr>
        <w:spacing w:after="0" w:line="118" w:lineRule="exact"/>
        <w:rPr>
          <w:sz w:val="20"/>
          <w:szCs w:val="20"/>
          <w:color w:val="auto"/>
        </w:rPr>
      </w:pPr>
    </w:p>
    <w:p>
      <w:pPr>
        <w:jc w:val="both"/>
        <w:ind w:right="560" w:firstLine="913"/>
        <w:spacing w:after="0" w:line="259"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Divestiture</w:t>
      </w:r>
      <w:r>
        <w:rPr>
          <w:rFonts w:ascii="Arial" w:cs="Arial" w:eastAsia="Arial" w:hAnsi="Arial"/>
          <w:sz w:val="18"/>
          <w:szCs w:val="18"/>
          <w:color w:val="auto"/>
        </w:rPr>
        <w:t>. In the event that Optionee’s principal employer is a Subsidiary of the Company that ceases to be a Subsidiary of Company (a “</w:t>
      </w:r>
      <w:r>
        <w:rPr>
          <w:rFonts w:ascii="Arial" w:cs="Arial" w:eastAsia="Arial" w:hAnsi="Arial"/>
          <w:sz w:val="18"/>
          <w:szCs w:val="18"/>
          <w:u w:val="single" w:color="auto"/>
          <w:color w:val="auto"/>
        </w:rPr>
        <w:t>Divestiture</w:t>
      </w:r>
      <w:r>
        <w:rPr>
          <w:rFonts w:ascii="Arial" w:cs="Arial" w:eastAsia="Arial" w:hAnsi="Arial"/>
          <w:sz w:val="18"/>
          <w:szCs w:val="18"/>
          <w:color w:val="auto"/>
        </w:rPr>
        <w:t>”), the Option will become fully vested as of the date of of the Divestiture and will remain exercisable through the Expiration Date, subject to Section 5.8 of the Plan.</w:t>
      </w:r>
    </w:p>
    <w:p>
      <w:pPr>
        <w:spacing w:after="0" w:line="140"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Compliance with Applicable Law</w:t>
      </w:r>
      <w:r>
        <w:rPr>
          <w:rFonts w:ascii="Arial" w:cs="Arial" w:eastAsia="Arial" w:hAnsi="Arial"/>
          <w:sz w:val="18"/>
          <w:szCs w:val="18"/>
          <w:color w:val="auto"/>
        </w:rPr>
        <w:t>. The Option is subject to the condition that if the listing, registration or qualification of the shares subject to the Option upon any securities exchange or under any law, or the consent or approval of any governmental body, or the taking of any other action is necessary or desirable as a condition of, or in connection with, the purchase or issuance of shares hereunder, the Option may not be exercised, in whole or in part, and such shares may not be issued, unless such listing, registration, qualification, consent, approval or other action has been effected or obtained, free of any conditions not acceptable to the Company. The Company agrees to use reasonable efforts to effect or obtain any such listing, registration, qualification, consent, approval or other action.</w:t>
      </w:r>
    </w:p>
    <w:p>
      <w:pPr>
        <w:spacing w:after="0" w:line="144"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Issuance or Delivery of Shares</w:t>
      </w:r>
      <w:r>
        <w:rPr>
          <w:rFonts w:ascii="Arial" w:cs="Arial" w:eastAsia="Arial" w:hAnsi="Arial"/>
          <w:sz w:val="18"/>
          <w:szCs w:val="18"/>
          <w:color w:val="auto"/>
        </w:rPr>
        <w:t>. Upon the exercise of the Option, in whole or in part, the Company will issue or deliver, subject to the conditions of this Article 3, the number of shares of Common Stock purchased. Such issuance will be evidenced by the appropriate entry on the books of the Company or of a duly authorized transfer agent of the Company. The Company will pay all original issue or transfer taxes and all fees and expenses related to such issuance, except as otherwise provided in Section 3.3.</w:t>
      </w:r>
    </w:p>
    <w:p>
      <w:pPr>
        <w:spacing w:after="0" w:line="143"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Option Confers No Rights as Stockholder</w:t>
      </w:r>
      <w:r>
        <w:rPr>
          <w:rFonts w:ascii="Arial" w:cs="Arial" w:eastAsia="Arial" w:hAnsi="Arial"/>
          <w:sz w:val="18"/>
          <w:szCs w:val="18"/>
          <w:color w:val="auto"/>
        </w:rPr>
        <w:t>. Optionee will not be entitled to any privileges of ownership with respect to shares of Common Stock subject to the Option unless and until such shares are purchased and issued upon the exercise of the Option, in whole or in part, and Optionee becomes a stockholder of record with respect to such issued shares. Optionee will not be considered a stockholder of the Company with respect to any such shares that have not been purchased and issued.</w:t>
      </w:r>
    </w:p>
    <w:p>
      <w:pPr>
        <w:spacing w:after="0" w:line="143"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Option Confers No Rights to Continued Employment</w:t>
      </w:r>
      <w:r>
        <w:rPr>
          <w:rFonts w:ascii="Arial" w:cs="Arial" w:eastAsia="Arial" w:hAnsi="Arial"/>
          <w:sz w:val="18"/>
          <w:szCs w:val="18"/>
          <w:color w:val="auto"/>
        </w:rPr>
        <w:t>. In no event will the granting of the Option or its acceptance by Optionee, or any provision of this Agreement or the Plan, give or be deemed to give Optionee any right to continued employment by the Company, any Subsidiary or any affiliate of the Company or affect in any manner the right of the Company, any Subsidiary or any affiliate of the Company to terminate the employment of any person at any time.</w:t>
      </w:r>
    </w:p>
    <w:p>
      <w:pPr>
        <w:sectPr>
          <w:pgSz w:w="11900" w:h="16838" w:orient="portrait"/>
          <w:cols w:equalWidth="0" w:num="1">
            <w:col w:w="11420"/>
          </w:cols>
          <w:pgMar w:left="240" w:top="280" w:right="239" w:bottom="1440" w:gutter="0" w:footer="0" w:header="0"/>
        </w:sectPr>
      </w:pPr>
    </w:p>
    <w:bookmarkStart w:id="110" w:name="page111"/>
    <w:bookmarkEnd w:id="110"/>
    <w:p>
      <w:pPr>
        <w:ind w:left="1100" w:hanging="179"/>
        <w:spacing w:after="0"/>
        <w:tabs>
          <w:tab w:leader="none" w:pos="110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 Provisions</w:t>
      </w:r>
      <w:r>
        <w:rPr>
          <w:rFonts w:ascii="Arial" w:cs="Arial" w:eastAsia="Arial" w:hAnsi="Arial"/>
          <w:sz w:val="18"/>
          <w:szCs w:val="18"/>
          <w:color w:val="auto"/>
        </w:rPr>
        <w:t>.</w:t>
      </w:r>
    </w:p>
    <w:p>
      <w:pPr>
        <w:spacing w:after="0" w:line="90" w:lineRule="exact"/>
        <w:rPr>
          <w:sz w:val="20"/>
          <w:szCs w:val="20"/>
          <w:color w:val="auto"/>
        </w:rPr>
      </w:pPr>
    </w:p>
    <w:p>
      <w:pPr>
        <w:jc w:val="both"/>
        <w:ind w:right="260" w:firstLine="913"/>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Decisions of Board or Committee</w:t>
      </w:r>
      <w:r>
        <w:rPr>
          <w:rFonts w:ascii="Arial" w:cs="Arial" w:eastAsia="Arial" w:hAnsi="Arial"/>
          <w:sz w:val="18"/>
          <w:szCs w:val="18"/>
          <w:color w:val="auto"/>
        </w:rPr>
        <w:t>. The Board or the Committee has the right to resolve all questions which may arise in connection with the Option or its exercise. Any interpretation, determination or other action made or taken by the Board or the Committee regarding the Plan or this Agreement is final, binding and conclusive.</w:t>
      </w:r>
    </w:p>
    <w:p>
      <w:pPr>
        <w:spacing w:after="0" w:line="140"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is binding upon and will inure to the benefit of any successor or successors of the Company and any person or persons who may, upon the death of Optionee, acquire any rights in accordance with this Agreement or the Plan.</w:t>
      </w:r>
    </w:p>
    <w:p>
      <w:pPr>
        <w:spacing w:after="0" w:line="132"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or other communications provided for in this Agreement will be made, if to the Company, to Fortune Brands Home &amp; Security, Inc., Attn. Secretary of the Compensation Committee of the Board of Directors, 520 Lake Cook Road, Deerfield, Illinois 60015, and if to Optionee, to the last known mailing address of Optionee contained in the records of the Company. All notices, requests or other communications provided for in this Agreement will be made in writing either (a) by personal delivery, (b) by facsimile or electronic mail with confirmation of receipt, (c) by mailing in the United States mails or (d) by express courier service. The notice, request or other communication will be deemed to be received upon personal delivery, upon confirmation of receipt of facsimile or electronic mail transmission or upon receipt by the intended party if by United States mail or express courier service; provided, however, that if a notice, request or other communication sent to the Company is not received during regular business hours, it will be deemed to be received on the next succeeding business day of the Company.</w:t>
      </w:r>
    </w:p>
    <w:p>
      <w:pPr>
        <w:spacing w:after="0" w:line="118" w:lineRule="exact"/>
        <w:rPr>
          <w:sz w:val="20"/>
          <w:szCs w:val="20"/>
          <w:color w:val="auto"/>
        </w:rPr>
      </w:pPr>
    </w:p>
    <w:p>
      <w:pPr>
        <w:jc w:val="both"/>
        <w:ind w:right="160" w:firstLine="913"/>
        <w:spacing w:after="0" w:line="268"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Partial Invalidity</w:t>
      </w:r>
      <w:r>
        <w:rPr>
          <w:rFonts w:ascii="Arial" w:cs="Arial" w:eastAsia="Arial" w:hAnsi="Arial"/>
          <w:sz w:val="18"/>
          <w:szCs w:val="18"/>
          <w:color w:val="auto"/>
        </w:rPr>
        <w:t>. The invalidity or unenforceability of any particular provision of this Agreement will not affect any other provisions and this Agreement will be construed in all respects as if such invalid or unenforceable provisions were omitted.</w:t>
      </w:r>
    </w:p>
    <w:p>
      <w:pPr>
        <w:spacing w:after="0" w:line="132" w:lineRule="exact"/>
        <w:rPr>
          <w:sz w:val="20"/>
          <w:szCs w:val="20"/>
          <w:color w:val="auto"/>
        </w:rPr>
      </w:pPr>
    </w:p>
    <w:p>
      <w:pPr>
        <w:jc w:val="both"/>
        <w:ind w:right="160" w:firstLine="913"/>
        <w:spacing w:after="0" w:line="259"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the Option and all determinations made and actions taken pursuant to this Agreement and the Option, to the extent not governed by the Code or the laws of the United States, are governed by, and construed in accordance with, the laws of the State of Delaware without giving effect to principles of conflicts of laws.</w:t>
      </w:r>
    </w:p>
    <w:p>
      <w:pPr>
        <w:spacing w:after="0" w:line="14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Agreement Subject to the Plan</w:t>
      </w:r>
      <w:r>
        <w:rPr>
          <w:rFonts w:ascii="Arial" w:cs="Arial" w:eastAsia="Arial" w:hAnsi="Arial"/>
          <w:sz w:val="18"/>
          <w:szCs w:val="18"/>
          <w:color w:val="auto"/>
        </w:rPr>
        <w:t>. This Agreement is subject to, and will be interpreted in accordance with, the provisions of the Plan. Optionee acknowledges receipt of a copy of the Plan, and by accepting the Option in the manner specified by the Company, agrees to be bound by the terms and conditions of this Agreement, the Award Notice and the Plan.</w:t>
      </w:r>
    </w:p>
    <w:p>
      <w:pPr>
        <w:sectPr>
          <w:pgSz w:w="11900" w:h="16838" w:orient="portrait"/>
          <w:cols w:equalWidth="0" w:num="1">
            <w:col w:w="11360"/>
          </w:cols>
          <w:pgMar w:left="240" w:top="280" w:right="29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10.12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FORTUNE BRANDS HOME &amp; SECURITY,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LONG-TERM INCENTIVE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Restricted Stock Unit Award Notice—February 21, 2012 (the “Notice”)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have been awarded restricted stock units (“RSUs”) that will be paid in shares of common stock of Fortune Brands Home &amp; Security, Inc.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when they vest, pursuant to the terms and conditions of the Fortune Brands Home &amp; Security, Inc. 2011 Long-Term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Restricted Stock Unit Agreement (together with this Notice, the “</w:t>
      </w:r>
      <w:r>
        <w:rPr>
          <w:rFonts w:ascii="Arial" w:cs="Arial" w:eastAsia="Arial" w:hAnsi="Arial"/>
          <w:sz w:val="16"/>
          <w:szCs w:val="16"/>
          <w:u w:val="single" w:color="auto"/>
          <w:color w:val="auto"/>
        </w:rPr>
        <w:t>Agreement</w:t>
      </w:r>
      <w:r>
        <w:rPr>
          <w:rFonts w:ascii="Arial" w:cs="Arial" w:eastAsia="Arial" w:hAnsi="Arial"/>
          <w:sz w:val="16"/>
          <w:szCs w:val="16"/>
          <w:color w:val="auto"/>
        </w:rPr>
        <w:t>”). Copies of the Plan and the Restricted Stock Unit Agreement Copies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Plan and the Performance Share Award Agreement are available on the Morgan Stanley Smith Barney Benefit Access</w:t>
      </w:r>
      <w:r>
        <w:rPr>
          <w:rFonts w:ascii="Arial" w:cs="Arial" w:eastAsia="Arial" w:hAnsi="Arial"/>
          <w:sz w:val="10"/>
          <w:szCs w:val="10"/>
          <w:color w:val="auto"/>
        </w:rPr>
        <w:t>®</w:t>
      </w:r>
      <w:r>
        <w:rPr>
          <w:rFonts w:ascii="Arial" w:cs="Arial" w:eastAsia="Arial" w:hAnsi="Arial"/>
          <w:sz w:val="16"/>
          <w:szCs w:val="16"/>
          <w:color w:val="auto"/>
        </w:rPr>
        <w:t xml:space="preserve"> website (</w:t>
      </w:r>
      <w:r>
        <w:rPr>
          <w:rFonts w:ascii="Arial" w:cs="Arial" w:eastAsia="Arial" w:hAnsi="Arial"/>
          <w:sz w:val="16"/>
          <w:szCs w:val="16"/>
          <w:u w:val="single" w:color="auto"/>
          <w:color w:val="auto"/>
        </w:rPr>
        <w:t>www.benefitaccess.com</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not defined in this Notice have the meanings specified in the Plan or the Agreement.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620" w:type="dxa"/>
            <w:vAlign w:val="bottom"/>
          </w:tcPr>
          <w:p>
            <w:pPr>
              <w:spacing w:after="0"/>
              <w:rPr>
                <w:sz w:val="20"/>
                <w:szCs w:val="20"/>
                <w:color w:val="auto"/>
              </w:rPr>
            </w:pPr>
            <w:r>
              <w:rPr>
                <w:rFonts w:ascii="Arial" w:cs="Arial" w:eastAsia="Arial" w:hAnsi="Arial"/>
                <w:sz w:val="18"/>
                <w:szCs w:val="18"/>
                <w:color w:val="auto"/>
              </w:rPr>
              <w:t>Award:</w:t>
            </w:r>
          </w:p>
        </w:tc>
        <w:tc>
          <w:tcPr>
            <w:tcW w:w="9740" w:type="dxa"/>
            <w:vAlign w:val="bottom"/>
            <w:gridSpan w:val="2"/>
          </w:tcPr>
          <w:p>
            <w:pPr>
              <w:ind w:left="340"/>
              <w:spacing w:after="0"/>
              <w:rPr>
                <w:sz w:val="20"/>
                <w:szCs w:val="20"/>
                <w:color w:val="auto"/>
              </w:rPr>
            </w:pPr>
            <w:r>
              <w:rPr>
                <w:rFonts w:ascii="Arial" w:cs="Arial" w:eastAsia="Arial" w:hAnsi="Arial"/>
                <w:sz w:val="18"/>
                <w:szCs w:val="18"/>
                <w:color w:val="auto"/>
                <w:w w:val="90"/>
              </w:rPr>
              <w:t>You have been awarded [</w:t>
            </w:r>
            <w:r>
              <w:rPr>
                <w:rFonts w:ascii="Arial" w:cs="Arial" w:eastAsia="Arial" w:hAnsi="Arial"/>
                <w:sz w:val="18"/>
                <w:szCs w:val="18"/>
                <w:b w:val="1"/>
                <w:bCs w:val="1"/>
                <w:color w:val="auto"/>
                <w:w w:val="90"/>
              </w:rPr>
              <w:t>XX</w:t>
            </w:r>
            <w:r>
              <w:rPr>
                <w:rFonts w:ascii="Arial" w:cs="Arial" w:eastAsia="Arial" w:hAnsi="Arial"/>
                <w:sz w:val="18"/>
                <w:szCs w:val="18"/>
                <w:color w:val="auto"/>
                <w:w w:val="90"/>
              </w:rPr>
              <w:t>] RSUs, which will be paid in shares of Company common stock, par value $0.01 per share, when the</w:t>
            </w:r>
          </w:p>
        </w:tc>
      </w:tr>
      <w:tr>
        <w:trPr>
          <w:trHeight w:val="222"/>
        </w:trPr>
        <w:tc>
          <w:tcPr>
            <w:tcW w:w="1620" w:type="dxa"/>
            <w:vAlign w:val="bottom"/>
          </w:tcPr>
          <w:p>
            <w:pPr>
              <w:spacing w:after="0"/>
              <w:rPr>
                <w:sz w:val="19"/>
                <w:szCs w:val="19"/>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Award vests.</w:t>
            </w:r>
          </w:p>
        </w:tc>
        <w:tc>
          <w:tcPr>
            <w:tcW w:w="4540" w:type="dxa"/>
            <w:vAlign w:val="bottom"/>
          </w:tcPr>
          <w:p>
            <w:pPr>
              <w:spacing w:after="0"/>
              <w:rPr>
                <w:sz w:val="19"/>
                <w:szCs w:val="19"/>
                <w:color w:val="auto"/>
              </w:rPr>
            </w:pP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Award Date:</w:t>
            </w:r>
          </w:p>
        </w:tc>
        <w:tc>
          <w:tcPr>
            <w:tcW w:w="5200" w:type="dxa"/>
            <w:vAlign w:val="bottom"/>
          </w:tcPr>
          <w:p>
            <w:pPr>
              <w:ind w:left="340"/>
              <w:spacing w:after="0"/>
              <w:rPr>
                <w:sz w:val="20"/>
                <w:szCs w:val="20"/>
                <w:color w:val="auto"/>
              </w:rPr>
            </w:pPr>
            <w:r>
              <w:rPr>
                <w:rFonts w:ascii="Arial" w:cs="Arial" w:eastAsia="Arial" w:hAnsi="Arial"/>
                <w:sz w:val="18"/>
                <w:szCs w:val="18"/>
                <w:color w:val="auto"/>
              </w:rPr>
              <w:t>February 21, 2012</w:t>
            </w:r>
          </w:p>
        </w:tc>
        <w:tc>
          <w:tcPr>
            <w:tcW w:w="4540" w:type="dxa"/>
            <w:vAlign w:val="bottom"/>
          </w:tcPr>
          <w:p>
            <w:pPr>
              <w:spacing w:after="0"/>
              <w:rPr>
                <w:sz w:val="24"/>
                <w:szCs w:val="24"/>
                <w:color w:val="auto"/>
              </w:rPr>
            </w:pPr>
          </w:p>
        </w:tc>
      </w:tr>
      <w:tr>
        <w:trPr>
          <w:trHeight w:val="426"/>
        </w:trPr>
        <w:tc>
          <w:tcPr>
            <w:tcW w:w="1620" w:type="dxa"/>
            <w:vAlign w:val="bottom"/>
          </w:tcPr>
          <w:p>
            <w:pPr>
              <w:spacing w:after="0"/>
              <w:rPr>
                <w:sz w:val="20"/>
                <w:szCs w:val="20"/>
                <w:color w:val="auto"/>
              </w:rPr>
            </w:pPr>
            <w:r>
              <w:rPr>
                <w:rFonts w:ascii="Arial" w:cs="Arial" w:eastAsia="Arial" w:hAnsi="Arial"/>
                <w:sz w:val="18"/>
                <w:szCs w:val="18"/>
                <w:color w:val="auto"/>
              </w:rPr>
              <w:t>Vesting Schedule:</w:t>
            </w:r>
          </w:p>
        </w:tc>
        <w:tc>
          <w:tcPr>
            <w:tcW w:w="9740" w:type="dxa"/>
            <w:vAlign w:val="bottom"/>
            <w:gridSpan w:val="2"/>
          </w:tcPr>
          <w:p>
            <w:pPr>
              <w:ind w:left="340"/>
              <w:spacing w:after="0"/>
              <w:rPr>
                <w:sz w:val="20"/>
                <w:szCs w:val="20"/>
                <w:color w:val="auto"/>
              </w:rPr>
            </w:pPr>
            <w:r>
              <w:rPr>
                <w:rFonts w:ascii="Arial" w:cs="Arial" w:eastAsia="Arial" w:hAnsi="Arial"/>
                <w:sz w:val="18"/>
                <w:szCs w:val="18"/>
                <w:color w:val="auto"/>
                <w:w w:val="87"/>
              </w:rPr>
              <w:t>Except as otherwise provided in and subject to the Plan, the Agreement or any other agreement between the Company and Holder, the</w:t>
            </w:r>
          </w:p>
        </w:tc>
      </w:tr>
      <w:tr>
        <w:trPr>
          <w:trHeight w:val="222"/>
        </w:trPr>
        <w:tc>
          <w:tcPr>
            <w:tcW w:w="1620" w:type="dxa"/>
            <w:vAlign w:val="bottom"/>
          </w:tcPr>
          <w:p>
            <w:pPr>
              <w:spacing w:after="0"/>
              <w:rPr>
                <w:sz w:val="19"/>
                <w:szCs w:val="19"/>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w w:val="93"/>
              </w:rPr>
              <w:t>RSUs will vest in the following increments on the following dates:</w:t>
            </w:r>
          </w:p>
        </w:tc>
        <w:tc>
          <w:tcPr>
            <w:tcW w:w="4540" w:type="dxa"/>
            <w:vAlign w:val="bottom"/>
          </w:tcPr>
          <w:p>
            <w:pPr>
              <w:spacing w:after="0"/>
              <w:rPr>
                <w:sz w:val="19"/>
                <w:szCs w:val="19"/>
                <w:color w:val="auto"/>
              </w:rPr>
            </w:pPr>
          </w:p>
        </w:tc>
      </w:tr>
      <w:tr>
        <w:trPr>
          <w:trHeight w:val="426"/>
        </w:trPr>
        <w:tc>
          <w:tcPr>
            <w:tcW w:w="1620" w:type="dxa"/>
            <w:vAlign w:val="bottom"/>
          </w:tcPr>
          <w:p>
            <w:pPr>
              <w:spacing w:after="0"/>
              <w:rPr>
                <w:sz w:val="24"/>
                <w:szCs w:val="24"/>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One-third of the RSUs</w:t>
            </w:r>
          </w:p>
        </w:tc>
        <w:tc>
          <w:tcPr>
            <w:tcW w:w="4540" w:type="dxa"/>
            <w:vAlign w:val="bottom"/>
          </w:tcPr>
          <w:p>
            <w:pPr>
              <w:ind w:left="160"/>
              <w:spacing w:after="0"/>
              <w:rPr>
                <w:sz w:val="20"/>
                <w:szCs w:val="20"/>
                <w:color w:val="auto"/>
              </w:rPr>
            </w:pPr>
            <w:r>
              <w:rPr>
                <w:rFonts w:ascii="Arial" w:cs="Arial" w:eastAsia="Arial" w:hAnsi="Arial"/>
                <w:sz w:val="18"/>
                <w:szCs w:val="18"/>
                <w:color w:val="auto"/>
              </w:rPr>
              <w:t>February 21, 2013</w:t>
            </w:r>
          </w:p>
        </w:tc>
      </w:tr>
      <w:tr>
        <w:trPr>
          <w:trHeight w:val="216"/>
        </w:trPr>
        <w:tc>
          <w:tcPr>
            <w:tcW w:w="16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One-third of the RSUs</w:t>
            </w:r>
          </w:p>
        </w:tc>
        <w:tc>
          <w:tcPr>
            <w:tcW w:w="4540" w:type="dxa"/>
            <w:vAlign w:val="bottom"/>
          </w:tcPr>
          <w:p>
            <w:pPr>
              <w:ind w:left="160"/>
              <w:spacing w:after="0"/>
              <w:rPr>
                <w:sz w:val="20"/>
                <w:szCs w:val="20"/>
                <w:color w:val="auto"/>
              </w:rPr>
            </w:pPr>
            <w:r>
              <w:rPr>
                <w:rFonts w:ascii="Arial" w:cs="Arial" w:eastAsia="Arial" w:hAnsi="Arial"/>
                <w:sz w:val="18"/>
                <w:szCs w:val="18"/>
                <w:color w:val="auto"/>
              </w:rPr>
              <w:t>February 21, 2014</w:t>
            </w:r>
          </w:p>
        </w:tc>
      </w:tr>
      <w:tr>
        <w:trPr>
          <w:trHeight w:val="222"/>
        </w:trPr>
        <w:tc>
          <w:tcPr>
            <w:tcW w:w="1620" w:type="dxa"/>
            <w:vAlign w:val="bottom"/>
          </w:tcPr>
          <w:p>
            <w:pPr>
              <w:spacing w:after="0"/>
              <w:rPr>
                <w:sz w:val="19"/>
                <w:szCs w:val="19"/>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One-third of the RSUs</w:t>
            </w:r>
          </w:p>
        </w:tc>
        <w:tc>
          <w:tcPr>
            <w:tcW w:w="4540" w:type="dxa"/>
            <w:vAlign w:val="bottom"/>
          </w:tcPr>
          <w:p>
            <w:pPr>
              <w:ind w:left="160"/>
              <w:spacing w:after="0"/>
              <w:rPr>
                <w:sz w:val="20"/>
                <w:szCs w:val="20"/>
                <w:color w:val="auto"/>
              </w:rPr>
            </w:pPr>
            <w:r>
              <w:rPr>
                <w:rFonts w:ascii="Arial" w:cs="Arial" w:eastAsia="Arial" w:hAnsi="Arial"/>
                <w:sz w:val="18"/>
                <w:szCs w:val="18"/>
                <w:color w:val="auto"/>
              </w:rPr>
              <w:t>February 21, 2015</w:t>
            </w:r>
          </w:p>
        </w:tc>
      </w:tr>
    </w:tbl>
    <w:p>
      <w:pPr>
        <w:sectPr>
          <w:pgSz w:w="11900" w:h="16838" w:orient="portrait"/>
          <w:cols w:equalWidth="0" w:num="1">
            <w:col w:w="11420"/>
          </w:cols>
          <w:pgMar w:left="240" w:top="125" w:right="239" w:bottom="1440" w:gutter="0" w:footer="0" w:header="0"/>
        </w:sectPr>
      </w:pPr>
    </w:p>
    <w:bookmarkStart w:id="112" w:name="page113"/>
    <w:bookmarkEnd w:id="11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FORTUNE BRANDS HOME &amp; SECURITY,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2011 LONG-TERM INCENTIVE PLAN</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February 21, 2012 Restricted Stock Unit Agreement (the “Agreement”)</w:t>
      </w:r>
    </w:p>
    <w:p>
      <w:pPr>
        <w:spacing w:after="0" w:line="1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Fortune Brands Home &amp; Security, Inc., a Delaware corporation (“</w:t>
      </w:r>
      <w:r>
        <w:rPr>
          <w:rFonts w:ascii="Arial" w:cs="Arial" w:eastAsia="Arial" w:hAnsi="Arial"/>
          <w:sz w:val="16"/>
          <w:szCs w:val="16"/>
          <w:u w:val="single" w:color="auto"/>
          <w:color w:val="auto"/>
        </w:rPr>
        <w:t>Company</w:t>
      </w:r>
      <w:r>
        <w:rPr>
          <w:rFonts w:ascii="Arial" w:cs="Arial" w:eastAsia="Arial" w:hAnsi="Arial"/>
          <w:sz w:val="16"/>
          <w:szCs w:val="16"/>
          <w:color w:val="auto"/>
        </w:rPr>
        <w:t>”), grants to the individual (“</w:t>
      </w:r>
      <w:r>
        <w:rPr>
          <w:rFonts w:ascii="Arial" w:cs="Arial" w:eastAsia="Arial" w:hAnsi="Arial"/>
          <w:sz w:val="16"/>
          <w:szCs w:val="16"/>
          <w:u w:val="single" w:color="auto"/>
          <w:color w:val="auto"/>
        </w:rPr>
        <w:t>Holder</w:t>
      </w:r>
      <w:r>
        <w:rPr>
          <w:rFonts w:ascii="Arial" w:cs="Arial" w:eastAsia="Arial" w:hAnsi="Arial"/>
          <w:sz w:val="16"/>
          <w:szCs w:val="16"/>
          <w:color w:val="auto"/>
        </w:rPr>
        <w:t>”) named in the award notice (“</w:t>
      </w:r>
      <w:r>
        <w:rPr>
          <w:rFonts w:ascii="Arial" w:cs="Arial" w:eastAsia="Arial" w:hAnsi="Arial"/>
          <w:sz w:val="16"/>
          <w:szCs w:val="16"/>
          <w:u w:val="single" w:color="auto"/>
          <w:color w:val="auto"/>
        </w:rPr>
        <w:t>Award</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an award of restricted stock units (“RSUs”) subject to the terms and conditions of the Fortune Brands Home &amp; Security, Inc. 2011 Long-Term Incentive Plan (“</w:t>
      </w:r>
      <w:r>
        <w:rPr>
          <w:rFonts w:ascii="Arial" w:cs="Arial" w:eastAsia="Arial" w:hAnsi="Arial"/>
          <w:sz w:val="16"/>
          <w:szCs w:val="16"/>
          <w:u w:val="single" w:color="auto"/>
          <w:color w:val="auto"/>
        </w:rPr>
        <w:t>Plan</w:t>
      </w:r>
      <w:r>
        <w:rPr>
          <w:rFonts w:ascii="Arial" w:cs="Arial" w:eastAsia="Arial" w:hAnsi="Arial"/>
          <w:sz w:val="16"/>
          <w:szCs w:val="16"/>
          <w:color w:val="auto"/>
        </w:rPr>
        <w:t>”) and this Agreement. Capitalized terms not defined in this Agreement have the meanings specified in the Plan.</w:t>
      </w:r>
    </w:p>
    <w:p>
      <w:pPr>
        <w:spacing w:after="0" w:line="107" w:lineRule="exact"/>
        <w:rPr>
          <w:sz w:val="20"/>
          <w:szCs w:val="20"/>
          <w:color w:val="auto"/>
        </w:rPr>
      </w:pPr>
    </w:p>
    <w:p>
      <w:pPr>
        <w:ind w:right="20" w:firstLine="464"/>
        <w:spacing w:after="0" w:line="259" w:lineRule="auto"/>
        <w:tabs>
          <w:tab w:leader="none" w:pos="632"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Number of RSUs</w:t>
      </w:r>
      <w:r>
        <w:rPr>
          <w:rFonts w:ascii="Arial" w:cs="Arial" w:eastAsia="Arial" w:hAnsi="Arial"/>
          <w:sz w:val="18"/>
          <w:szCs w:val="18"/>
          <w:color w:val="auto"/>
        </w:rPr>
        <w:t>. The Company awards Holder the number of RSUs set forth in the Award Notice (the “</w:t>
      </w:r>
      <w:r>
        <w:rPr>
          <w:rFonts w:ascii="Arial" w:cs="Arial" w:eastAsia="Arial" w:hAnsi="Arial"/>
          <w:sz w:val="18"/>
          <w:szCs w:val="18"/>
          <w:u w:val="single" w:color="auto"/>
          <w:color w:val="auto"/>
        </w:rPr>
        <w:t>Award</w:t>
      </w:r>
      <w:r>
        <w:rPr>
          <w:rFonts w:ascii="Arial" w:cs="Arial" w:eastAsia="Arial" w:hAnsi="Arial"/>
          <w:sz w:val="18"/>
          <w:szCs w:val="18"/>
          <w:color w:val="auto"/>
        </w:rPr>
        <w:t>”), effective as of the Award Date. This Award will become null and void unless Holder accepts this Agreement in a timely manner through the electronic, on-line grant acceptance process prescribed by the Company.</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Restriction Period and Vesting</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43"/>
        <w:spacing w:after="0" w:line="259" w:lineRule="auto"/>
        <w:tabs>
          <w:tab w:leader="none" w:pos="1137" w:val="left"/>
        </w:tabs>
        <w:numPr>
          <w:ilvl w:val="1"/>
          <w:numId w:val="84"/>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and the Plan, the RSUs subject to the Award will vest in one-third (1/3) increments on each of the first (1</w:t>
      </w:r>
      <w:r>
        <w:rPr>
          <w:rFonts w:ascii="Arial" w:cs="Arial" w:eastAsia="Arial" w:hAnsi="Arial"/>
          <w:sz w:val="11"/>
          <w:szCs w:val="11"/>
          <w:color w:val="auto"/>
        </w:rPr>
        <w:t>st</w:t>
      </w:r>
      <w:r>
        <w:rPr>
          <w:rFonts w:ascii="Arial" w:cs="Arial" w:eastAsia="Arial" w:hAnsi="Arial"/>
          <w:sz w:val="18"/>
          <w:szCs w:val="18"/>
          <w:color w:val="auto"/>
        </w:rPr>
        <w:t>), second (2</w:t>
      </w:r>
      <w:r>
        <w:rPr>
          <w:rFonts w:ascii="Arial" w:cs="Arial" w:eastAsia="Arial" w:hAnsi="Arial"/>
          <w:sz w:val="11"/>
          <w:szCs w:val="11"/>
          <w:color w:val="auto"/>
        </w:rPr>
        <w:t>nd</w:t>
      </w:r>
      <w:r>
        <w:rPr>
          <w:rFonts w:ascii="Arial" w:cs="Arial" w:eastAsia="Arial" w:hAnsi="Arial"/>
          <w:sz w:val="18"/>
          <w:szCs w:val="18"/>
          <w:color w:val="auto"/>
        </w:rPr>
        <w:t>) and third (3</w:t>
      </w:r>
      <w:r>
        <w:rPr>
          <w:rFonts w:ascii="Arial" w:cs="Arial" w:eastAsia="Arial" w:hAnsi="Arial"/>
          <w:sz w:val="11"/>
          <w:szCs w:val="11"/>
          <w:color w:val="auto"/>
        </w:rPr>
        <w:t>rd</w:t>
      </w:r>
      <w:r>
        <w:rPr>
          <w:rFonts w:ascii="Arial" w:cs="Arial" w:eastAsia="Arial" w:hAnsi="Arial"/>
          <w:sz w:val="18"/>
          <w:szCs w:val="18"/>
          <w:color w:val="auto"/>
        </w:rPr>
        <w:t>) anniversaries of the Award Date (the “</w:t>
      </w:r>
      <w:r>
        <w:rPr>
          <w:rFonts w:ascii="Arial" w:cs="Arial" w:eastAsia="Arial" w:hAnsi="Arial"/>
          <w:sz w:val="18"/>
          <w:szCs w:val="18"/>
          <w:u w:val="single" w:color="auto"/>
          <w:color w:val="auto"/>
        </w:rPr>
        <w:t>Restriction Period</w:t>
      </w:r>
      <w:r>
        <w:rPr>
          <w:rFonts w:ascii="Arial" w:cs="Arial" w:eastAsia="Arial" w:hAnsi="Arial"/>
          <w:sz w:val="18"/>
          <w:szCs w:val="18"/>
          <w:color w:val="auto"/>
        </w:rPr>
        <w:t>”), provided Holder remains employed with the Company through such date and, subject to the provisions of subsection 2(f) below.</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In the event of Holder’s death, the RSUs will become fully vested on the date of such death.</w:t>
      </w:r>
    </w:p>
    <w:p>
      <w:pPr>
        <w:spacing w:after="0" w:line="90" w:lineRule="exact"/>
        <w:rPr>
          <w:rFonts w:ascii="Arial" w:cs="Arial" w:eastAsia="Arial" w:hAnsi="Arial"/>
          <w:sz w:val="18"/>
          <w:szCs w:val="18"/>
          <w:color w:val="auto"/>
        </w:rPr>
      </w:pPr>
    </w:p>
    <w:p>
      <w:pPr>
        <w:ind w:left="460" w:right="40" w:firstLine="443"/>
        <w:spacing w:after="0" w:line="306" w:lineRule="auto"/>
        <w:tabs>
          <w:tab w:leader="none" w:pos="1137" w:val="left"/>
        </w:tabs>
        <w:numPr>
          <w:ilvl w:val="1"/>
          <w:numId w:val="84"/>
        </w:numPr>
        <w:rPr>
          <w:rFonts w:ascii="Arial" w:cs="Arial" w:eastAsia="Arial" w:hAnsi="Arial"/>
          <w:sz w:val="16"/>
          <w:szCs w:val="16"/>
          <w:color w:val="auto"/>
        </w:rPr>
      </w:pPr>
      <w:r>
        <w:rPr>
          <w:rFonts w:ascii="Arial" w:cs="Arial" w:eastAsia="Arial" w:hAnsi="Arial"/>
          <w:sz w:val="16"/>
          <w:szCs w:val="16"/>
          <w:color w:val="auto"/>
        </w:rPr>
        <w:t>In the event of Holder’s Retirement (as defined below) at least one (1) year following the Award Date, any unvested RSUs will become fully vested as of Holder’s Retirement, provided that Holder has been actively employed for the one (1) year period following the Award Date. For purposes of this Award, “</w:t>
      </w:r>
      <w:r>
        <w:rPr>
          <w:rFonts w:ascii="Arial" w:cs="Arial" w:eastAsia="Arial" w:hAnsi="Arial"/>
          <w:sz w:val="16"/>
          <w:szCs w:val="16"/>
          <w:u w:val="single" w:color="auto"/>
          <w:color w:val="auto"/>
        </w:rPr>
        <w:t>Retirement</w:t>
      </w:r>
      <w:r>
        <w:rPr>
          <w:rFonts w:ascii="Arial" w:cs="Arial" w:eastAsia="Arial" w:hAnsi="Arial"/>
          <w:sz w:val="16"/>
          <w:szCs w:val="16"/>
          <w:color w:val="auto"/>
        </w:rPr>
        <w:t>” means the attainment of age 55 and the completion of five (5) years of service with the Company or its predecessors or affiliates.</w:t>
      </w:r>
    </w:p>
    <w:p>
      <w:pPr>
        <w:spacing w:after="0" w:line="25" w:lineRule="exact"/>
        <w:rPr>
          <w:rFonts w:ascii="Arial" w:cs="Arial" w:eastAsia="Arial" w:hAnsi="Arial"/>
          <w:sz w:val="16"/>
          <w:szCs w:val="16"/>
          <w:color w:val="auto"/>
        </w:rPr>
      </w:pPr>
    </w:p>
    <w:p>
      <w:pPr>
        <w:ind w:left="460" w:firstLine="443"/>
        <w:spacing w:after="0" w:line="291" w:lineRule="auto"/>
        <w:tabs>
          <w:tab w:leader="none" w:pos="1147" w:val="left"/>
        </w:tabs>
        <w:numPr>
          <w:ilvl w:val="1"/>
          <w:numId w:val="84"/>
        </w:numPr>
        <w:rPr>
          <w:rFonts w:ascii="Arial" w:cs="Arial" w:eastAsia="Arial" w:hAnsi="Arial"/>
          <w:sz w:val="16"/>
          <w:szCs w:val="16"/>
          <w:color w:val="auto"/>
        </w:rPr>
      </w:pPr>
      <w:r>
        <w:rPr>
          <w:rFonts w:ascii="Arial" w:cs="Arial" w:eastAsia="Arial" w:hAnsi="Arial"/>
          <w:sz w:val="16"/>
          <w:szCs w:val="16"/>
          <w:color w:val="auto"/>
        </w:rPr>
        <w:t>In the event of Holder’s Disability (as defined below), Holder will be treated as continuing employment with the Company for purposes of the Award, and RSUs will continue to vest in accordance with the vesting schedule described in Section 2(a) and subject to Section 2(f), provided that as of the date of Holder’s Disability, Holder has been continuously employed with the Company for at least one (1) year following the Award Date. For purposes of this Award, “</w:t>
      </w:r>
      <w:r>
        <w:rPr>
          <w:rFonts w:ascii="Arial" w:cs="Arial" w:eastAsia="Arial" w:hAnsi="Arial"/>
          <w:sz w:val="16"/>
          <w:szCs w:val="16"/>
          <w:u w:val="single" w:color="auto"/>
          <w:color w:val="auto"/>
        </w:rPr>
        <w:t>Disability</w:t>
      </w:r>
      <w:r>
        <w:rPr>
          <w:rFonts w:ascii="Arial" w:cs="Arial" w:eastAsia="Arial" w:hAnsi="Arial"/>
          <w:sz w:val="16"/>
          <w:szCs w:val="16"/>
          <w:color w:val="auto"/>
        </w:rPr>
        <w:t>” means Holder’s inability to engage in any substantial gainful activity by reason of any medically determinable physical or mental impairment which can be expected to result in death or that has lasted or can be expected to last for a continuous period of not less than 12 months, within the meaning of Section 22(e)(3) of the Internal Revenue Code of 1986, as amended (the “Code”).</w:t>
      </w:r>
    </w:p>
    <w:p>
      <w:pPr>
        <w:spacing w:after="0" w:line="39" w:lineRule="exact"/>
        <w:rPr>
          <w:rFonts w:ascii="Arial" w:cs="Arial" w:eastAsia="Arial" w:hAnsi="Arial"/>
          <w:sz w:val="16"/>
          <w:szCs w:val="16"/>
          <w:color w:val="auto"/>
        </w:rPr>
      </w:pPr>
    </w:p>
    <w:p>
      <w:pPr>
        <w:ind w:left="460" w:right="220" w:firstLine="443"/>
        <w:spacing w:after="0" w:line="306" w:lineRule="auto"/>
        <w:tabs>
          <w:tab w:leader="none" w:pos="1137" w:val="left"/>
        </w:tabs>
        <w:numPr>
          <w:ilvl w:val="1"/>
          <w:numId w:val="84"/>
        </w:numPr>
        <w:rPr>
          <w:rFonts w:ascii="Arial" w:cs="Arial" w:eastAsia="Arial" w:hAnsi="Arial"/>
          <w:sz w:val="16"/>
          <w:szCs w:val="16"/>
          <w:color w:val="auto"/>
        </w:rPr>
      </w:pPr>
      <w:r>
        <w:rPr>
          <w:rFonts w:ascii="Arial" w:cs="Arial" w:eastAsia="Arial" w:hAnsi="Arial"/>
          <w:sz w:val="16"/>
          <w:szCs w:val="16"/>
          <w:color w:val="auto"/>
        </w:rPr>
        <w:t>For the purposes of this Agreement, (i) a transfer of Holder’s employment from Home &amp; Security to a subsidiary or vice versa, or from one subsidiary to another, without an intervening period, shall not be deemed a termination of employment; and (ii) if Holder is granted in writing a leave of absence, Holder shall be deemed to have remained in the employ of Home &amp; Security or a subsidiary during such leave of absence.</w:t>
      </w:r>
    </w:p>
    <w:p>
      <w:pPr>
        <w:sectPr>
          <w:pgSz w:w="11900" w:h="16838" w:orient="portrait"/>
          <w:cols w:equalWidth="0" w:num="1">
            <w:col w:w="11380"/>
          </w:cols>
          <w:pgMar w:left="240" w:top="490" w:right="279" w:bottom="1440" w:gutter="0" w:footer="0" w:header="0"/>
        </w:sectPr>
      </w:pPr>
    </w:p>
    <w:bookmarkStart w:id="113" w:name="page114"/>
    <w:bookmarkEnd w:id="113"/>
    <w:p>
      <w:pPr>
        <w:jc w:val="both"/>
        <w:ind w:left="-4" w:firstLine="443"/>
        <w:spacing w:after="0" w:line="298" w:lineRule="auto"/>
        <w:tabs>
          <w:tab w:leader="none" w:pos="653" w:val="left"/>
        </w:tabs>
        <w:numPr>
          <w:ilvl w:val="1"/>
          <w:numId w:val="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provided under Sections 2(b) and 2(c), if Holder is a “covered employee” for purposes of Section 162(m) (or any successor provision) (“</w:t>
      </w:r>
      <w:r>
        <w:rPr>
          <w:rFonts w:ascii="Arial" w:cs="Arial" w:eastAsia="Arial" w:hAnsi="Arial"/>
          <w:sz w:val="16"/>
          <w:szCs w:val="16"/>
          <w:u w:val="single" w:color="auto"/>
          <w:color w:val="auto"/>
        </w:rPr>
        <w:t>Section 162(m)</w:t>
      </w:r>
      <w:r>
        <w:rPr>
          <w:rFonts w:ascii="Arial" w:cs="Arial" w:eastAsia="Arial" w:hAnsi="Arial"/>
          <w:sz w:val="16"/>
          <w:szCs w:val="16"/>
          <w:color w:val="auto"/>
        </w:rPr>
        <w:t>”)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at any time during the Restriction Period, any unvested RSUs will not vest unless and until the date on which the Compensation Committee of the Company’s Board of Directors certifies the attainment of the performance goals set forth in the attachment to this Agreement if the Holder is a covered employee.</w:t>
      </w:r>
    </w:p>
    <w:p>
      <w:pPr>
        <w:spacing w:after="0" w:line="31" w:lineRule="exact"/>
        <w:rPr>
          <w:rFonts w:ascii="Arial" w:cs="Arial" w:eastAsia="Arial" w:hAnsi="Arial"/>
          <w:sz w:val="16"/>
          <w:szCs w:val="16"/>
          <w:color w:val="auto"/>
        </w:rPr>
      </w:pPr>
    </w:p>
    <w:p>
      <w:pPr>
        <w:jc w:val="both"/>
        <w:ind w:left="-4" w:right="340" w:firstLine="443"/>
        <w:spacing w:after="0" w:line="259" w:lineRule="auto"/>
        <w:tabs>
          <w:tab w:leader="none" w:pos="682" w:val="left"/>
        </w:tabs>
        <w:numPr>
          <w:ilvl w:val="1"/>
          <w:numId w:val="85"/>
        </w:numPr>
        <w:rPr>
          <w:rFonts w:ascii="Arial" w:cs="Arial" w:eastAsia="Arial" w:hAnsi="Arial"/>
          <w:sz w:val="18"/>
          <w:szCs w:val="18"/>
          <w:color w:val="auto"/>
        </w:rPr>
      </w:pPr>
      <w:r>
        <w:rPr>
          <w:rFonts w:ascii="Arial" w:cs="Arial" w:eastAsia="Arial" w:hAnsi="Arial"/>
          <w:sz w:val="18"/>
          <w:szCs w:val="18"/>
          <w:color w:val="auto"/>
        </w:rPr>
        <w:t>If, because the New York Stock Exchange (or such successor exchange on which shares of Company common stock is traded) is not open for trading, Company common stock is not publicly traded on a vesting date described above, the vesting date will be the next following date on which the New York Stock Exchange (or such successor exchange) is open for trading.</w:t>
      </w:r>
    </w:p>
    <w:p>
      <w:pPr>
        <w:spacing w:after="0" w:line="140" w:lineRule="exact"/>
        <w:rPr>
          <w:rFonts w:ascii="Arial" w:cs="Arial" w:eastAsia="Arial" w:hAnsi="Arial"/>
          <w:sz w:val="18"/>
          <w:szCs w:val="18"/>
          <w:color w:val="auto"/>
        </w:rPr>
      </w:pPr>
    </w:p>
    <w:p>
      <w:pPr>
        <w:jc w:val="both"/>
        <w:ind w:left="-464" w:right="620" w:firstLine="464"/>
        <w:spacing w:after="0" w:line="259" w:lineRule="auto"/>
        <w:tabs>
          <w:tab w:leader="none" w:pos="168"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Termination Other than As a Result of Death, Retirement or Disability</w:t>
      </w:r>
      <w:r>
        <w:rPr>
          <w:rFonts w:ascii="Arial" w:cs="Arial" w:eastAsia="Arial" w:hAnsi="Arial"/>
          <w:sz w:val="18"/>
          <w:szCs w:val="18"/>
          <w:color w:val="auto"/>
        </w:rPr>
        <w:t>. Except as provided in Section 6 below, if Holder’s employment with the Company terminates for any reason other than death, Retirement or Disability prior to the applicable vesting date, all unvested RSUs will be immediately forfeited by Holder and cancelled by the Company.</w:t>
      </w:r>
    </w:p>
    <w:p>
      <w:pPr>
        <w:spacing w:after="0" w:line="140" w:lineRule="exact"/>
        <w:rPr>
          <w:rFonts w:ascii="Arial" w:cs="Arial" w:eastAsia="Arial" w:hAnsi="Arial"/>
          <w:sz w:val="18"/>
          <w:szCs w:val="18"/>
          <w:color w:val="auto"/>
        </w:rPr>
      </w:pPr>
    </w:p>
    <w:p>
      <w:pPr>
        <w:ind w:left="-464" w:right="40" w:firstLine="464"/>
        <w:spacing w:after="0" w:line="255" w:lineRule="auto"/>
        <w:tabs>
          <w:tab w:leader="none" w:pos="168"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Holder will be entitled to receive dividend equivalents with respect to the Award, to the extent that the Company pays dividends on Company common stock during the Restriction Period. Such dividend equivalents will be equal to the cash dividends (if any) that would have been paid to Holder for the shares of common stock subject to the Award had such shares been issued and outstanding on the dividend record date occurring during the Restriction Period. Dividend equivalents (if any) will be subject to the same vesting conditions as the RSUs and will be paid to Holder in cash at the same time as the shares of common stock subject to the Award are delivered.</w:t>
      </w:r>
    </w:p>
    <w:p>
      <w:pPr>
        <w:spacing w:after="0" w:line="142" w:lineRule="exact"/>
        <w:rPr>
          <w:rFonts w:ascii="Arial" w:cs="Arial" w:eastAsia="Arial" w:hAnsi="Arial"/>
          <w:sz w:val="18"/>
          <w:szCs w:val="18"/>
          <w:color w:val="auto"/>
        </w:rPr>
      </w:pPr>
    </w:p>
    <w:p>
      <w:pPr>
        <w:jc w:val="both"/>
        <w:ind w:left="-464" w:right="100" w:firstLine="464"/>
        <w:spacing w:after="0" w:line="298" w:lineRule="auto"/>
        <w:tabs>
          <w:tab w:leader="none" w:pos="168"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Delivery of Common Stock</w:t>
      </w:r>
      <w:r>
        <w:rPr>
          <w:rFonts w:ascii="Arial" w:cs="Arial" w:eastAsia="Arial" w:hAnsi="Arial"/>
          <w:sz w:val="16"/>
          <w:szCs w:val="16"/>
          <w:color w:val="auto"/>
        </w:rPr>
        <w:t>. During the Restriction Period, the Company will hold the unvested RSUs subject to the Award in book-entry form, and the RSUs will represent only an unfunded and unsecured obligation of the Company. Except as otherwise provided in Section 6(b) below, on each applicable vesting date, the Company will deliver or cause to be delivered one share of common stock for each RSU that vests on such date to Holder (or, in the event of Holder’s death or Disability, Holder’s appointed and qualified executor or other personal representative). No fractional shares will be delivered.</w:t>
      </w:r>
    </w:p>
    <w:p>
      <w:pPr>
        <w:spacing w:after="0" w:line="112" w:lineRule="exact"/>
        <w:rPr>
          <w:rFonts w:ascii="Arial" w:cs="Arial" w:eastAsia="Arial" w:hAnsi="Arial"/>
          <w:sz w:val="16"/>
          <w:szCs w:val="16"/>
          <w:color w:val="auto"/>
        </w:rPr>
      </w:pPr>
    </w:p>
    <w:p>
      <w:pPr>
        <w:ind w:left="176" w:hanging="176"/>
        <w:spacing w:after="0"/>
        <w:tabs>
          <w:tab w:leader="none" w:pos="176"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Change in Control and Divestitures</w:t>
      </w:r>
      <w:r>
        <w:rPr>
          <w:rFonts w:ascii="Arial" w:cs="Arial" w:eastAsia="Arial" w:hAnsi="Arial"/>
          <w:sz w:val="16"/>
          <w:szCs w:val="16"/>
          <w:color w:val="auto"/>
        </w:rPr>
        <w:t>. Upon a Change in Control (as defined in the Plan), the Award will be subject to Section 5.8 of the Plan.</w:t>
      </w:r>
    </w:p>
    <w:p>
      <w:pPr>
        <w:spacing w:after="0" w:line="113" w:lineRule="exact"/>
        <w:rPr>
          <w:rFonts w:ascii="Arial" w:cs="Arial" w:eastAsia="Arial" w:hAnsi="Arial"/>
          <w:sz w:val="16"/>
          <w:szCs w:val="16"/>
          <w:color w:val="auto"/>
        </w:rPr>
      </w:pPr>
    </w:p>
    <w:p>
      <w:pPr>
        <w:jc w:val="both"/>
        <w:ind w:left="-4" w:right="220" w:firstLine="443"/>
        <w:spacing w:after="0" w:line="298" w:lineRule="auto"/>
        <w:tabs>
          <w:tab w:leader="none" w:pos="672"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or for Good Reason Following Change in Control.</w:t>
      </w:r>
      <w:r>
        <w:rPr>
          <w:rFonts w:ascii="Arial" w:cs="Arial" w:eastAsia="Arial" w:hAnsi="Arial"/>
          <w:sz w:val="16"/>
          <w:szCs w:val="16"/>
          <w:color w:val="auto"/>
        </w:rPr>
        <w:t xml:space="preserve"> In the event that unvested RSUs remain outstanding following a Change in Control, and Holder’s employment is terminated on or after such Change in Control but prior to the end of the Restriction Period either: (i) by the Company other than for Cause (as defined below), or (ii) by Holder for Good Reason (as defined below), the RSUs will become fully vested and nonforfeitable as of the date of Holder’s termination of employment. For purposes of this Award, (x) “</w:t>
      </w:r>
      <w:r>
        <w:rPr>
          <w:rFonts w:ascii="Arial" w:cs="Arial" w:eastAsia="Arial" w:hAnsi="Arial"/>
          <w:sz w:val="16"/>
          <w:szCs w:val="16"/>
          <w:u w:val="single" w:color="auto"/>
          <w:color w:val="auto"/>
        </w:rPr>
        <w:t>Cause</w:t>
      </w:r>
      <w:r>
        <w:rPr>
          <w:rFonts w:ascii="Arial" w:cs="Arial" w:eastAsia="Arial" w:hAnsi="Arial"/>
          <w:sz w:val="16"/>
          <w:szCs w:val="16"/>
          <w:color w:val="auto"/>
        </w:rPr>
        <w:t>” shall have the same meaning as</w:t>
      </w:r>
    </w:p>
    <w:p>
      <w:pPr>
        <w:sectPr>
          <w:pgSz w:w="11900" w:h="16838" w:orient="portrait"/>
          <w:cols w:equalWidth="0" w:num="1">
            <w:col w:w="10956"/>
          </w:cols>
          <w:pgMar w:left="704" w:top="280" w:right="239" w:bottom="1440" w:gutter="0" w:footer="0" w:header="0"/>
        </w:sectPr>
      </w:pPr>
    </w:p>
    <w:bookmarkStart w:id="114" w:name="page115"/>
    <w:bookmarkEnd w:id="114"/>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term has under any employment or other written agreement between Holder and the Company (“</w:t>
      </w:r>
      <w:r>
        <w:rPr>
          <w:rFonts w:ascii="Arial" w:cs="Arial" w:eastAsia="Arial" w:hAnsi="Arial"/>
          <w:sz w:val="16"/>
          <w:szCs w:val="16"/>
          <w:u w:val="single" w:color="auto"/>
          <w:color w:val="auto"/>
        </w:rPr>
        <w:t>Termination Agreement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Holder is not a party to any Termination Agreement that contains such definition, then Cause shall have the same meaning provided for such term under the severance plan sponsored by Holder’s employer and under which Holder is eligible to participate; and (y) “</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shall have the same meaning as such term has under any Termination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Holder is not a party to any Termination Agreement that contains such definition, then Good Reason shall include any of the reasons allowing Holder to terminate employment and remain eligible for severance benefits under the severance plan sponsored by Holder’s employer and under which Holder is eligible to participate.</w:t>
      </w:r>
    </w:p>
    <w:p>
      <w:pPr>
        <w:spacing w:after="0" w:line="39" w:lineRule="exact"/>
        <w:rPr>
          <w:sz w:val="20"/>
          <w:szCs w:val="20"/>
          <w:color w:val="auto"/>
        </w:rPr>
      </w:pPr>
    </w:p>
    <w:p>
      <w:pPr>
        <w:ind w:right="120" w:firstLine="443"/>
        <w:spacing w:after="0" w:line="318" w:lineRule="auto"/>
        <w:tabs>
          <w:tab w:leader="none" w:pos="687" w:val="left"/>
        </w:tabs>
        <w:numPr>
          <w:ilvl w:val="1"/>
          <w:numId w:val="87"/>
        </w:numPr>
        <w:rPr>
          <w:rFonts w:ascii="Arial" w:cs="Arial" w:eastAsia="Arial" w:hAnsi="Arial"/>
          <w:sz w:val="15"/>
          <w:szCs w:val="15"/>
          <w:color w:val="auto"/>
        </w:rPr>
      </w:pPr>
      <w:r>
        <w:rPr>
          <w:rFonts w:ascii="Arial" w:cs="Arial" w:eastAsia="Arial" w:hAnsi="Arial"/>
          <w:sz w:val="15"/>
          <w:szCs w:val="15"/>
          <w:u w:val="single" w:color="auto"/>
          <w:color w:val="auto"/>
        </w:rPr>
        <w:t>Divestiture</w:t>
      </w:r>
      <w:r>
        <w:rPr>
          <w:rFonts w:ascii="Arial" w:cs="Arial" w:eastAsia="Arial" w:hAnsi="Arial"/>
          <w:sz w:val="15"/>
          <w:szCs w:val="15"/>
          <w:color w:val="auto"/>
        </w:rPr>
        <w:t xml:space="preserve">. In the event of a Divestiture (as defined below) prior to the end of the Restriction Period, the RSUs will become fully vested and nonforfeitable as of the effective date of the Divestiture; </w:t>
      </w:r>
      <w:r>
        <w:rPr>
          <w:rFonts w:ascii="Arial" w:cs="Arial" w:eastAsia="Arial" w:hAnsi="Arial"/>
          <w:sz w:val="15"/>
          <w:szCs w:val="15"/>
          <w:u w:val="single" w:color="auto"/>
          <w:color w:val="auto"/>
        </w:rPr>
        <w:t>provided</w:t>
      </w:r>
      <w:r>
        <w:rPr>
          <w:rFonts w:ascii="Arial" w:cs="Arial" w:eastAsia="Arial" w:hAnsi="Arial"/>
          <w:sz w:val="15"/>
          <w:szCs w:val="15"/>
          <w:color w:val="auto"/>
        </w:rPr>
        <w:t>, however that if the Divestiture is not a “change in control event” within in the meaning of Treasury regulations issued under Section 409A of the Code, the outstanding RSUs will vest as of the date of Divestiture but shall remain payable one the vesting dates described in this Agreement as though the Divestiture had not occurred. For purposes of this Award, a “</w:t>
      </w:r>
      <w:r>
        <w:rPr>
          <w:rFonts w:ascii="Arial" w:cs="Arial" w:eastAsia="Arial" w:hAnsi="Arial"/>
          <w:sz w:val="15"/>
          <w:szCs w:val="15"/>
          <w:u w:val="single" w:color="auto"/>
          <w:color w:val="auto"/>
        </w:rPr>
        <w:t>Divestiture</w:t>
      </w:r>
      <w:r>
        <w:rPr>
          <w:rFonts w:ascii="Arial" w:cs="Arial" w:eastAsia="Arial" w:hAnsi="Arial"/>
          <w:sz w:val="15"/>
          <w:szCs w:val="15"/>
          <w:color w:val="auto"/>
        </w:rPr>
        <w:t>” occurs if Holder’s principal employer is a subsidiary of the Company that ceases to be a subsidiary of Company as a result of a corporate transaction or re-organization; and</w:t>
      </w:r>
    </w:p>
    <w:p>
      <w:pPr>
        <w:spacing w:after="0" w:line="99" w:lineRule="exact"/>
        <w:rPr>
          <w:rFonts w:ascii="Arial" w:cs="Arial" w:eastAsia="Arial" w:hAnsi="Arial"/>
          <w:sz w:val="15"/>
          <w:szCs w:val="15"/>
          <w:color w:val="auto"/>
        </w:rPr>
      </w:pPr>
    </w:p>
    <w:p>
      <w:pPr>
        <w:ind w:left="-460" w:right="140" w:firstLine="464"/>
        <w:spacing w:after="0" w:line="259" w:lineRule="auto"/>
        <w:tabs>
          <w:tab w:leader="none" w:pos="172"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No Stockholder Rights</w:t>
      </w:r>
      <w:r>
        <w:rPr>
          <w:rFonts w:ascii="Arial" w:cs="Arial" w:eastAsia="Arial" w:hAnsi="Arial"/>
          <w:sz w:val="18"/>
          <w:szCs w:val="18"/>
          <w:color w:val="auto"/>
        </w:rPr>
        <w:t>. Holder will not have any rights of a stockholder (including voting rights) or any other right, title or interest, with respect to any of the shares of common stock subject to the Award unless and until such shares of common stock have been recorded on the Company’s official stockholder records as having been issued or transferred to Holder.</w:t>
      </w:r>
    </w:p>
    <w:p>
      <w:pPr>
        <w:spacing w:after="0" w:line="140" w:lineRule="exact"/>
        <w:rPr>
          <w:rFonts w:ascii="Arial" w:cs="Arial" w:eastAsia="Arial" w:hAnsi="Arial"/>
          <w:sz w:val="18"/>
          <w:szCs w:val="18"/>
          <w:color w:val="auto"/>
        </w:rPr>
      </w:pPr>
    </w:p>
    <w:p>
      <w:pPr>
        <w:ind w:left="-460" w:firstLine="464"/>
        <w:spacing w:after="0" w:line="254" w:lineRule="auto"/>
        <w:tabs>
          <w:tab w:leader="none" w:pos="172"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Law</w:t>
      </w:r>
      <w:r>
        <w:rPr>
          <w:rFonts w:ascii="Arial" w:cs="Arial" w:eastAsia="Arial" w:hAnsi="Arial"/>
          <w:sz w:val="18"/>
          <w:szCs w:val="18"/>
          <w:color w:val="auto"/>
        </w:rPr>
        <w:t>. The Award is subject to the condition that if the listing, registration or qualification of the shares subject to the Award upon any securities exchange or under any law, or the consent or approval of any governmental body, or the taking of any other action is necessary or desirable as a condition of, or in connection with, the vesting of the RSUs or the delivery or issuance of shares, the shares of common stock subject to the Award may not be delivered, in whole or in part, unless such listing, registration, qualification, consent, approval or other action has been effected or obtained, free of any conditions not acceptable to the Company. The Company agrees to use reasonable efforts to effect or obtain any such listing, registration, qualification, consent, approval or other action.</w:t>
      </w:r>
    </w:p>
    <w:p>
      <w:pPr>
        <w:spacing w:after="0" w:line="144" w:lineRule="exact"/>
        <w:rPr>
          <w:rFonts w:ascii="Arial" w:cs="Arial" w:eastAsia="Arial" w:hAnsi="Arial"/>
          <w:sz w:val="18"/>
          <w:szCs w:val="18"/>
          <w:color w:val="auto"/>
        </w:rPr>
      </w:pPr>
    </w:p>
    <w:p>
      <w:pPr>
        <w:ind w:left="-460" w:right="40" w:firstLine="464"/>
        <w:spacing w:after="0" w:line="323" w:lineRule="auto"/>
        <w:tabs>
          <w:tab w:leader="none" w:pos="172" w:val="left"/>
        </w:tabs>
        <w:numPr>
          <w:ilvl w:val="0"/>
          <w:numId w:val="88"/>
        </w:numPr>
        <w:rPr>
          <w:rFonts w:ascii="Arial" w:cs="Arial" w:eastAsia="Arial" w:hAnsi="Arial"/>
          <w:sz w:val="15"/>
          <w:szCs w:val="15"/>
          <w:color w:val="auto"/>
        </w:rPr>
      </w:pPr>
      <w:r>
        <w:rPr>
          <w:rFonts w:ascii="Arial" w:cs="Arial" w:eastAsia="Arial" w:hAnsi="Arial"/>
          <w:sz w:val="15"/>
          <w:szCs w:val="15"/>
          <w:u w:val="single" w:color="auto"/>
          <w:color w:val="auto"/>
        </w:rPr>
        <w:t>Company Clawback Policy</w:t>
      </w:r>
      <w:r>
        <w:rPr>
          <w:rFonts w:ascii="Arial" w:cs="Arial" w:eastAsia="Arial" w:hAnsi="Arial"/>
          <w:sz w:val="15"/>
          <w:szCs w:val="15"/>
          <w:color w:val="auto"/>
        </w:rPr>
        <w:t>. Notwithstanding any provision of the Plan or this Agreement to the contrary, outstanding RSUs may be cancelled, and the Company may require Holder to return shares of Company common stock (or the value of such stock when originally paid to Holder), dividend equivalents (if any) issued under this Agreement and any other amount required by applicable law to be returned, in the event that such repayment is required in order to comply with the Company’s clawback policy as then in effect or any laws or regulations relating to restatements of the Company’s publicly-reported financial results.</w:t>
      </w:r>
    </w:p>
    <w:p>
      <w:pPr>
        <w:spacing w:after="0" w:line="97" w:lineRule="exact"/>
        <w:rPr>
          <w:rFonts w:ascii="Arial" w:cs="Arial" w:eastAsia="Arial" w:hAnsi="Arial"/>
          <w:sz w:val="15"/>
          <w:szCs w:val="15"/>
          <w:color w:val="auto"/>
        </w:rPr>
      </w:pPr>
    </w:p>
    <w:p>
      <w:pPr>
        <w:ind w:left="-460" w:right="100" w:firstLine="464"/>
        <w:spacing w:after="0" w:line="294" w:lineRule="auto"/>
        <w:tabs>
          <w:tab w:leader="none" w:pos="260"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Nontransferability</w:t>
      </w:r>
      <w:r>
        <w:rPr>
          <w:rFonts w:ascii="Arial" w:cs="Arial" w:eastAsia="Arial" w:hAnsi="Arial"/>
          <w:sz w:val="16"/>
          <w:szCs w:val="16"/>
          <w:color w:val="auto"/>
        </w:rPr>
        <w:t>. The Award may not be transferred by Holder other than (a) by will or by the laws of descent and distribution; or (b) pursuant to an approved domestic relations order approved in writing by the Secretary of the Committee or the Secretary’s designee. Except to the extent permitted by the foregoing sentence,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related rights will immediately become null and void.</w:t>
      </w:r>
    </w:p>
    <w:p>
      <w:pPr>
        <w:sectPr>
          <w:pgSz w:w="11900" w:h="16838" w:orient="portrait"/>
          <w:cols w:equalWidth="0" w:num="1">
            <w:col w:w="10940"/>
          </w:cols>
          <w:pgMar w:left="700" w:top="280" w:right="259" w:bottom="1440" w:gutter="0" w:footer="0" w:header="0"/>
        </w:sectPr>
      </w:pPr>
    </w:p>
    <w:bookmarkStart w:id="115" w:name="page116"/>
    <w:bookmarkEnd w:id="115"/>
    <w:p>
      <w:pPr>
        <w:ind w:left="-464" w:right="40" w:firstLine="464"/>
        <w:spacing w:after="0" w:line="285" w:lineRule="auto"/>
        <w:tabs>
          <w:tab w:leader="none" w:pos="249"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Withholding</w:t>
      </w:r>
      <w:r>
        <w:rPr>
          <w:rFonts w:ascii="Arial" w:cs="Arial" w:eastAsia="Arial" w:hAnsi="Arial"/>
          <w:sz w:val="16"/>
          <w:szCs w:val="16"/>
          <w:color w:val="auto"/>
        </w:rPr>
        <w:t>. As a condition to the delivery of shares of common stock upon vesting of any portion of the Award, Holder must, upon request by the Company, pay to the Company such amount as the Company may be required, under all applicable federal, state, local or other laws or regulations, to withhold and pay over as income or other withholding taxes (the “</w:t>
      </w:r>
      <w:r>
        <w:rPr>
          <w:rFonts w:ascii="Arial" w:cs="Arial" w:eastAsia="Arial" w:hAnsi="Arial"/>
          <w:sz w:val="16"/>
          <w:szCs w:val="16"/>
          <w:u w:val="single" w:color="auto"/>
          <w:color w:val="auto"/>
        </w:rPr>
        <w:t>Required Tax Payments</w:t>
      </w:r>
      <w:r>
        <w:rPr>
          <w:rFonts w:ascii="Arial" w:cs="Arial" w:eastAsia="Arial" w:hAnsi="Arial"/>
          <w:sz w:val="16"/>
          <w:szCs w:val="16"/>
          <w:color w:val="auto"/>
        </w:rPr>
        <w:t>”) with respect to the Award. If Holder fails to advance the Required Tax Payments after request by the Company, the Company may, in its discretion, deduct any Required Tax Payments from any amount payable by the Company to Holder, including regular salary or bonus payments. Holder may elect to satisfy his or her obligation to advance the Required Tax Payments by any of the following means: (a) a cash payment to the Company; (b) delivery to the Company (either actual delivery or by attestation procedures established by the Company) of previously owned whole shares of common stock having an aggregate Fair Market Value (as defined below), determined as of the date on which such withholding obligation arises (the “</w:t>
      </w:r>
      <w:r>
        <w:rPr>
          <w:rFonts w:ascii="Arial" w:cs="Arial" w:eastAsia="Arial" w:hAnsi="Arial"/>
          <w:sz w:val="16"/>
          <w:szCs w:val="16"/>
          <w:u w:val="single" w:color="auto"/>
          <w:color w:val="auto"/>
        </w:rPr>
        <w:t>Tax Date</w:t>
      </w:r>
      <w:r>
        <w:rPr>
          <w:rFonts w:ascii="Arial" w:cs="Arial" w:eastAsia="Arial" w:hAnsi="Arial"/>
          <w:sz w:val="16"/>
          <w:szCs w:val="16"/>
          <w:color w:val="auto"/>
        </w:rPr>
        <w:t>”), equal to the Required Tax Payments; (c) authorizing the Company to withhold whole shares of common stock which would otherwise be delivered to Holder having an aggregate Fair Market Value, determined as of the Tax Date, equal to the Required Tax Payments; or (d) any combination of (1), (2) and (3). Shares of common stock to be delivered or withheld may not have a Fair Market Value in excess of the minimum amount of the Required Tax Payments. For purposes of this Award, “</w:t>
      </w:r>
      <w:r>
        <w:rPr>
          <w:rFonts w:ascii="Arial" w:cs="Arial" w:eastAsia="Arial" w:hAnsi="Arial"/>
          <w:sz w:val="16"/>
          <w:szCs w:val="16"/>
          <w:u w:val="single" w:color="auto"/>
          <w:color w:val="auto"/>
        </w:rPr>
        <w:t>Fair Market Value</w:t>
      </w:r>
      <w:r>
        <w:rPr>
          <w:rFonts w:ascii="Arial" w:cs="Arial" w:eastAsia="Arial" w:hAnsi="Arial"/>
          <w:sz w:val="16"/>
          <w:szCs w:val="16"/>
          <w:color w:val="auto"/>
        </w:rPr>
        <w:t>” as of any date means the value determined by reference to the closing price of a share of Common Stock as finally reported on the New York Stock Exchange for the trading day immediately preceding such date. Any fraction of a share of common stock which would be required to satisfy any Required Tax Payment will be disregarded and the remaining amount due must be paid in cash by Holder. No share of common stock will be issued or delivered until the Required Tax Payments have been satisfied in full.</w:t>
      </w:r>
    </w:p>
    <w:p>
      <w:pPr>
        <w:spacing w:after="0" w:line="128" w:lineRule="exact"/>
        <w:rPr>
          <w:sz w:val="20"/>
          <w:szCs w:val="20"/>
          <w:color w:val="auto"/>
        </w:rPr>
      </w:pPr>
    </w:p>
    <w:p>
      <w:pPr>
        <w:ind w:left="-464" w:firstLine="464"/>
        <w:spacing w:after="0" w:line="294" w:lineRule="auto"/>
        <w:tabs>
          <w:tab w:leader="none" w:pos="249"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Adjustment</w:t>
      </w:r>
      <w:r>
        <w:rPr>
          <w:rFonts w:ascii="Arial" w:cs="Arial" w:eastAsia="Arial" w:hAnsi="Arial"/>
          <w:sz w:val="16"/>
          <w:szCs w:val="16"/>
          <w:color w:val="auto"/>
        </w:rPr>
        <w:t>. In the event of any stock split, stock dividend, recapitalization, reorganization, merger, consolidation, combination, exchange of shares, liquidation, spin-off or other similar change in capitalization or event, or any distribution to holders of common stock other than a regular cash dividend, the number and class of securities subject to the RSUs and any applicable performance measures shall be equitably adjusted by the Committee, such adjustment to be made in accordance with Sections 409A and 162(m) of the Code, to the extent applicable. The decision of the Committee regarding any such adjustment is final, binding and conclusive.</w:t>
      </w:r>
    </w:p>
    <w:p>
      <w:pPr>
        <w:spacing w:after="0" w:line="115" w:lineRule="exact"/>
        <w:rPr>
          <w:rFonts w:ascii="Arial" w:cs="Arial" w:eastAsia="Arial" w:hAnsi="Arial"/>
          <w:sz w:val="16"/>
          <w:szCs w:val="16"/>
          <w:color w:val="auto"/>
        </w:rPr>
      </w:pPr>
    </w:p>
    <w:p>
      <w:pPr>
        <w:ind w:left="-464" w:right="40" w:firstLine="464"/>
        <w:spacing w:after="0" w:line="259" w:lineRule="auto"/>
        <w:tabs>
          <w:tab w:leader="none" w:pos="255"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No Rights to Continued Employment</w:t>
      </w:r>
      <w:r>
        <w:rPr>
          <w:rFonts w:ascii="Arial" w:cs="Arial" w:eastAsia="Arial" w:hAnsi="Arial"/>
          <w:sz w:val="18"/>
          <w:szCs w:val="18"/>
          <w:color w:val="auto"/>
        </w:rPr>
        <w:t>. In no event will the granting of the Award or its acceptance by Holder, or any provision of this Agreement or the Plan, give or be deemed to give Holder any right to continued employment by the Company or affect in any manner the right of the Company to terminate the employment of any person at any time for any reason.</w:t>
      </w:r>
    </w:p>
    <w:p>
      <w:pPr>
        <w:spacing w:after="0" w:line="140" w:lineRule="exact"/>
        <w:rPr>
          <w:rFonts w:ascii="Arial" w:cs="Arial" w:eastAsia="Arial" w:hAnsi="Arial"/>
          <w:sz w:val="18"/>
          <w:szCs w:val="18"/>
          <w:color w:val="auto"/>
        </w:rPr>
      </w:pPr>
    </w:p>
    <w:p>
      <w:pPr>
        <w:ind w:left="-464" w:right="260" w:firstLine="464"/>
        <w:spacing w:after="0" w:line="259" w:lineRule="auto"/>
        <w:tabs>
          <w:tab w:leader="none" w:pos="255"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Decisions of Board or Committee</w:t>
      </w:r>
      <w:r>
        <w:rPr>
          <w:rFonts w:ascii="Arial" w:cs="Arial" w:eastAsia="Arial" w:hAnsi="Arial"/>
          <w:sz w:val="18"/>
          <w:szCs w:val="18"/>
          <w:color w:val="auto"/>
        </w:rPr>
        <w:t>. The Board or the Committee has the right to resolve all questions which may arise in connection with the Award. Any interpretation, determination or other action made or taken by the Board or the Committee regarding the Plan or this Agreement is final, binding and conclusive.</w:t>
      </w:r>
    </w:p>
    <w:p>
      <w:pPr>
        <w:sectPr>
          <w:pgSz w:w="11900" w:h="16838" w:orient="portrait"/>
          <w:cols w:equalWidth="0" w:num="1">
            <w:col w:w="10916"/>
          </w:cols>
          <w:pgMar w:left="704" w:top="280" w:right="279" w:bottom="1440" w:gutter="0" w:footer="0" w:header="0"/>
        </w:sectPr>
      </w:pPr>
    </w:p>
    <w:bookmarkStart w:id="116" w:name="page117"/>
    <w:bookmarkEnd w:id="116"/>
    <w:p>
      <w:pPr>
        <w:ind w:left="-8" w:right="340" w:firstLine="464"/>
        <w:spacing w:after="0" w:line="268" w:lineRule="auto"/>
        <w:tabs>
          <w:tab w:leader="none" w:pos="712"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Successors</w:t>
      </w:r>
      <w:r>
        <w:rPr>
          <w:rFonts w:ascii="Arial" w:cs="Arial" w:eastAsia="Arial" w:hAnsi="Arial"/>
          <w:sz w:val="18"/>
          <w:szCs w:val="18"/>
          <w:color w:val="auto"/>
        </w:rPr>
        <w:t>. This Agreement is binding upon and will inure to the benefit of any successor or successors of the Company and any person or persons who, upon the death of Holder, acquire any rights in accordance with this Agreement or the Plan.</w:t>
      </w:r>
    </w:p>
    <w:p>
      <w:pPr>
        <w:spacing w:after="0" w:line="131" w:lineRule="exact"/>
        <w:rPr>
          <w:rFonts w:ascii="Arial" w:cs="Arial" w:eastAsia="Arial" w:hAnsi="Arial"/>
          <w:sz w:val="18"/>
          <w:szCs w:val="18"/>
          <w:color w:val="auto"/>
        </w:rPr>
      </w:pPr>
    </w:p>
    <w:p>
      <w:pPr>
        <w:ind w:left="-8" w:right="40" w:firstLine="464"/>
        <w:spacing w:after="0" w:line="283" w:lineRule="auto"/>
        <w:tabs>
          <w:tab w:leader="none" w:pos="712" w:val="left"/>
        </w:tabs>
        <w:numPr>
          <w:ilvl w:val="1"/>
          <w:numId w:val="91"/>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or other communications provided for in this Agreement will be made, if to the Company, to Fortune Brands Home &amp; Security, Inc., Attn. Secretary of the Compensation Committee of the Board of Directors, 520 Lake Cook Road, Deerfield, Illinois 60015, and if to Holder, to the last known mailing address of Holder contained in the records of the Company. All notices, requests or other communications provided for in this Agreement will be made in writing either (a) by personal delivery; (b) by facsimile or electronic mail with confirmation of receipt; (c) by mailing in the United States mails; or</w:t>
      </w:r>
    </w:p>
    <w:p>
      <w:pPr>
        <w:spacing w:after="0" w:line="2" w:lineRule="exact"/>
        <w:rPr>
          <w:rFonts w:ascii="Arial" w:cs="Arial" w:eastAsia="Arial" w:hAnsi="Arial"/>
          <w:sz w:val="16"/>
          <w:szCs w:val="16"/>
          <w:color w:val="auto"/>
        </w:rPr>
      </w:pPr>
    </w:p>
    <w:p>
      <w:pPr>
        <w:ind w:left="-8" w:firstLine="8"/>
        <w:spacing w:after="0" w:line="254" w:lineRule="auto"/>
        <w:tabs>
          <w:tab w:leader="none" w:pos="241" w:val="left"/>
        </w:tabs>
        <w:numPr>
          <w:ilvl w:val="0"/>
          <w:numId w:val="92"/>
        </w:numPr>
        <w:rPr>
          <w:rFonts w:ascii="Arial" w:cs="Arial" w:eastAsia="Arial" w:hAnsi="Arial"/>
          <w:sz w:val="18"/>
          <w:szCs w:val="18"/>
          <w:color w:val="auto"/>
        </w:rPr>
      </w:pPr>
      <w:r>
        <w:rPr>
          <w:rFonts w:ascii="Arial" w:cs="Arial" w:eastAsia="Arial" w:hAnsi="Arial"/>
          <w:sz w:val="18"/>
          <w:szCs w:val="18"/>
          <w:color w:val="auto"/>
        </w:rPr>
        <w:t>by express courier service. The notice, request or other communication will be deemed to be received upon personal delivery, upon confirmation of receipt of facsimile or electronic mail transmission or upon receipt by the intended party if by United States mail or express courier service; provided, however, that if a notice, request or other communication sent to the Company is not received during regular business hours, it will be deemed to be received on the next succeeding business day of the Company.</w:t>
      </w:r>
    </w:p>
    <w:p>
      <w:pPr>
        <w:spacing w:after="0" w:line="143" w:lineRule="exact"/>
        <w:rPr>
          <w:rFonts w:ascii="Arial" w:cs="Arial" w:eastAsia="Arial" w:hAnsi="Arial"/>
          <w:sz w:val="18"/>
          <w:szCs w:val="18"/>
          <w:color w:val="auto"/>
        </w:rPr>
      </w:pPr>
    </w:p>
    <w:p>
      <w:pPr>
        <w:ind w:left="-8" w:firstLine="464"/>
        <w:spacing w:after="0" w:line="268" w:lineRule="auto"/>
        <w:tabs>
          <w:tab w:leader="none" w:pos="712"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Partial Invalidity</w:t>
      </w:r>
      <w:r>
        <w:rPr>
          <w:rFonts w:ascii="Arial" w:cs="Arial" w:eastAsia="Arial" w:hAnsi="Arial"/>
          <w:sz w:val="18"/>
          <w:szCs w:val="18"/>
          <w:color w:val="auto"/>
        </w:rPr>
        <w:t>. The invalidity or unenforceability of any particular provision of this Agreement will not affect any other provisions of this Agreement and this Agreement will be construed in all respects as if such invalid or unenforceable provisions were omitted.</w:t>
      </w:r>
    </w:p>
    <w:p>
      <w:pPr>
        <w:spacing w:after="0" w:line="131" w:lineRule="exact"/>
        <w:rPr>
          <w:rFonts w:ascii="Arial" w:cs="Arial" w:eastAsia="Arial" w:hAnsi="Arial"/>
          <w:sz w:val="18"/>
          <w:szCs w:val="18"/>
          <w:color w:val="auto"/>
        </w:rPr>
      </w:pPr>
    </w:p>
    <w:p>
      <w:pPr>
        <w:ind w:left="-8" w:right="140" w:firstLine="464"/>
        <w:spacing w:after="0" w:line="259" w:lineRule="auto"/>
        <w:tabs>
          <w:tab w:leader="none" w:pos="712"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the Award and all determinations made and actions taken with respect to this Agreement or Award, to the extent not governed by the Code or the laws of the United States, will be governed by, and construed in accordance with, the laws of the State of Delaware without giving effect to principles of conflicts of laws.</w:t>
      </w:r>
    </w:p>
    <w:p>
      <w:pPr>
        <w:spacing w:after="0" w:line="140" w:lineRule="exact"/>
        <w:rPr>
          <w:rFonts w:ascii="Arial" w:cs="Arial" w:eastAsia="Arial" w:hAnsi="Arial"/>
          <w:sz w:val="18"/>
          <w:szCs w:val="18"/>
          <w:color w:val="auto"/>
        </w:rPr>
      </w:pPr>
    </w:p>
    <w:p>
      <w:pPr>
        <w:ind w:left="-8" w:right="180" w:firstLine="464"/>
        <w:spacing w:after="0" w:line="259" w:lineRule="auto"/>
        <w:tabs>
          <w:tab w:leader="none" w:pos="712"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Agreement Subject to the Plan</w:t>
      </w:r>
      <w:r>
        <w:rPr>
          <w:rFonts w:ascii="Arial" w:cs="Arial" w:eastAsia="Arial" w:hAnsi="Arial"/>
          <w:sz w:val="18"/>
          <w:szCs w:val="18"/>
          <w:color w:val="auto"/>
        </w:rPr>
        <w:t>. This Agreement is subject to, and will be interpreted in accordance with, the provisions of the Plan. Holder hereby acknowledges receipt of a copy of the Plan, and by accepting the Award in the manner specified by the Company, he or she agrees to be bound by the terms and conditions of this Agreement, the Award and the Plan.</w:t>
      </w:r>
    </w:p>
    <w:p>
      <w:pPr>
        <w:spacing w:after="0" w:line="140" w:lineRule="exact"/>
        <w:rPr>
          <w:rFonts w:ascii="Arial" w:cs="Arial" w:eastAsia="Arial" w:hAnsi="Arial"/>
          <w:sz w:val="18"/>
          <w:szCs w:val="18"/>
          <w:color w:val="auto"/>
        </w:rPr>
      </w:pPr>
    </w:p>
    <w:p>
      <w:pPr>
        <w:ind w:left="-8" w:right="60" w:firstLine="464"/>
        <w:spacing w:after="0" w:line="287" w:lineRule="auto"/>
        <w:tabs>
          <w:tab w:leader="none" w:pos="712"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This Agreement and the Award are intended to comply with the requirements of Section 409A of the Code and will be interpreted and construed consistently with such intent. In the event the terms of this Agreement would subject Holder to taxes or penalties under Section 409A of the Code (“</w:t>
      </w:r>
      <w:r>
        <w:rPr>
          <w:rFonts w:ascii="Arial" w:cs="Arial" w:eastAsia="Arial" w:hAnsi="Arial"/>
          <w:sz w:val="16"/>
          <w:szCs w:val="16"/>
          <w:u w:val="single" w:color="auto"/>
          <w:color w:val="auto"/>
        </w:rPr>
        <w:t>409A Penalties</w:t>
      </w:r>
      <w:r>
        <w:rPr>
          <w:rFonts w:ascii="Arial" w:cs="Arial" w:eastAsia="Arial" w:hAnsi="Arial"/>
          <w:sz w:val="16"/>
          <w:szCs w:val="16"/>
          <w:color w:val="auto"/>
        </w:rPr>
        <w:t xml:space="preserve">”), Holder and the Company will cooperate diligently to amend the terms of this Agreement to avoid such 409A Penalties, to the extent possible;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will the Company be responsible for any 409A Penalties that arise in connection with any amounts payable under this Agreement. To the extent any amounts under this Agreement are payable by reference to Holder’s “termination of employment,” such term will be deemed to refer to Holder’s “separation from service,” within the meaning of Section 409A of the Code. Notwithstanding any other provision in this Agreement, if Holder is a “specified employee,” as defined in Section 409A of the Code, as of the date of Holder’s separation from service, then to the extent any amount payable to Holder (a) is payable upon Holder’s separation from service, and (b) under the terms of this Agreement would be payable prior to the six-month anniversary of Holder’s separation from service, such payment will be delayed until the earlier to occur of: (x) the six-month anniversary of Holder’s separation from service and (y) the date of Holder’s death.</w:t>
      </w:r>
    </w:p>
    <w:p>
      <w:pPr>
        <w:sectPr>
          <w:pgSz w:w="11900" w:h="16838" w:orient="portrait"/>
          <w:cols w:equalWidth="0" w:num="1">
            <w:col w:w="11412"/>
          </w:cols>
          <w:pgMar w:left="248" w:top="280" w:right="2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28"/>
        </w:trPr>
        <w:tc>
          <w:tcPr>
            <w:tcW w:w="1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60" w:type="dxa"/>
            <w:vAlign w:val="bottom"/>
          </w:tcPr>
          <w:p>
            <w:pPr>
              <w:ind w:left="6660"/>
              <w:spacing w:after="0"/>
              <w:rPr>
                <w:sz w:val="20"/>
                <w:szCs w:val="20"/>
                <w:color w:val="auto"/>
              </w:rPr>
            </w:pPr>
            <w:r>
              <w:rPr>
                <w:rFonts w:ascii="Arial" w:cs="Arial" w:eastAsia="Arial" w:hAnsi="Arial"/>
                <w:sz w:val="18"/>
                <w:szCs w:val="18"/>
                <w:b w:val="1"/>
                <w:bCs w:val="1"/>
                <w:color w:val="auto"/>
                <w:w w:val="89"/>
              </w:rPr>
              <w:t>Exhibit 10.13</w:t>
            </w:r>
          </w:p>
        </w:tc>
      </w:tr>
      <w:tr>
        <w:trPr>
          <w:trHeight w:val="366"/>
        </w:trPr>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60" w:type="dxa"/>
            <w:vAlign w:val="bottom"/>
          </w:tcPr>
          <w:p>
            <w:pPr>
              <w:jc w:val="center"/>
              <w:ind w:right="3672"/>
              <w:spacing w:after="0"/>
              <w:rPr>
                <w:sz w:val="20"/>
                <w:szCs w:val="20"/>
                <w:color w:val="auto"/>
              </w:rPr>
            </w:pPr>
            <w:r>
              <w:rPr>
                <w:rFonts w:ascii="Arial" w:cs="Arial" w:eastAsia="Arial" w:hAnsi="Arial"/>
                <w:sz w:val="18"/>
                <w:szCs w:val="18"/>
                <w:b w:val="1"/>
                <w:bCs w:val="1"/>
                <w:color w:val="auto"/>
                <w:w w:val="98"/>
              </w:rPr>
              <w:t>FORM OF</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40" w:type="dxa"/>
            <w:vAlign w:val="bottom"/>
            <w:gridSpan w:val="2"/>
          </w:tcPr>
          <w:p>
            <w:pPr>
              <w:jc w:val="center"/>
              <w:ind w:right="3472"/>
              <w:spacing w:after="0"/>
              <w:rPr>
                <w:sz w:val="20"/>
                <w:szCs w:val="20"/>
                <w:color w:val="auto"/>
              </w:rPr>
            </w:pPr>
            <w:r>
              <w:rPr>
                <w:rFonts w:ascii="Arial" w:cs="Arial" w:eastAsia="Arial" w:hAnsi="Arial"/>
                <w:sz w:val="18"/>
                <w:szCs w:val="18"/>
                <w:b w:val="1"/>
                <w:bCs w:val="1"/>
                <w:color w:val="auto"/>
                <w:w w:val="98"/>
              </w:rPr>
              <w:t>AGREEMENT FOR THE PAYMENT OF BENEFITS</w:t>
            </w:r>
          </w:p>
        </w:tc>
      </w:tr>
      <w:tr>
        <w:trPr>
          <w:trHeight w:val="228"/>
        </w:trPr>
        <w:tc>
          <w:tcPr>
            <w:tcW w:w="1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40" w:type="dxa"/>
            <w:vAlign w:val="bottom"/>
            <w:gridSpan w:val="2"/>
          </w:tcPr>
          <w:p>
            <w:pPr>
              <w:jc w:val="center"/>
              <w:ind w:right="3472"/>
              <w:spacing w:after="0"/>
              <w:rPr>
                <w:sz w:val="20"/>
                <w:szCs w:val="20"/>
                <w:color w:val="auto"/>
              </w:rPr>
            </w:pPr>
            <w:r>
              <w:rPr>
                <w:rFonts w:ascii="Arial" w:cs="Arial" w:eastAsia="Arial" w:hAnsi="Arial"/>
                <w:sz w:val="18"/>
                <w:szCs w:val="18"/>
                <w:b w:val="1"/>
                <w:bCs w:val="1"/>
                <w:color w:val="auto"/>
              </w:rPr>
              <w:t>FOLLOWING TERMINATION OF EMPLOYMENT</w:t>
            </w:r>
          </w:p>
        </w:tc>
      </w:tr>
      <w:tr>
        <w:trPr>
          <w:trHeight w:val="340"/>
        </w:trPr>
        <w:tc>
          <w:tcPr>
            <w:tcW w:w="2400" w:type="dxa"/>
            <w:vAlign w:val="bottom"/>
            <w:gridSpan w:val="3"/>
          </w:tcPr>
          <w:p>
            <w:pPr>
              <w:ind w:left="460"/>
              <w:spacing w:after="0"/>
              <w:rPr>
                <w:sz w:val="20"/>
                <w:szCs w:val="20"/>
                <w:color w:val="auto"/>
              </w:rPr>
            </w:pPr>
            <w:r>
              <w:rPr>
                <w:rFonts w:ascii="Arial" w:cs="Arial" w:eastAsia="Arial" w:hAnsi="Arial"/>
                <w:sz w:val="18"/>
                <w:szCs w:val="18"/>
                <w:color w:val="auto"/>
                <w:w w:val="92"/>
              </w:rPr>
              <w:t>AGREEMENT dated as of</w:t>
            </w:r>
          </w:p>
        </w:tc>
        <w:tc>
          <w:tcPr>
            <w:tcW w:w="880" w:type="dxa"/>
            <w:vAlign w:val="bottom"/>
          </w:tcPr>
          <w:p>
            <w:pPr>
              <w:spacing w:after="0"/>
              <w:rPr>
                <w:sz w:val="24"/>
                <w:szCs w:val="24"/>
                <w:color w:val="auto"/>
              </w:rPr>
            </w:pPr>
          </w:p>
        </w:tc>
        <w:tc>
          <w:tcPr>
            <w:tcW w:w="8140" w:type="dxa"/>
            <w:vAlign w:val="bottom"/>
            <w:gridSpan w:val="3"/>
          </w:tcPr>
          <w:p>
            <w:pPr>
              <w:ind w:left="40"/>
              <w:spacing w:after="0"/>
              <w:rPr>
                <w:sz w:val="20"/>
                <w:szCs w:val="20"/>
                <w:color w:val="auto"/>
              </w:rPr>
            </w:pPr>
            <w:r>
              <w:rPr>
                <w:rFonts w:ascii="Arial" w:cs="Arial" w:eastAsia="Arial" w:hAnsi="Arial"/>
                <w:sz w:val="18"/>
                <w:szCs w:val="18"/>
                <w:color w:val="auto"/>
                <w:w w:val="98"/>
              </w:rPr>
              <w:t>, 20  (the “Effective Date”) between Fortune Brands Home &amp; Security, Inc., a Delaware corporation (the</w:t>
            </w:r>
          </w:p>
        </w:tc>
      </w:tr>
      <w:tr>
        <w:trPr>
          <w:trHeight w:val="20"/>
        </w:trPr>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w w:val="94"/>
              </w:rPr>
              <w:t>“Company”), and</w:t>
            </w:r>
          </w:p>
        </w:tc>
        <w:tc>
          <w:tcPr>
            <w:tcW w:w="860" w:type="dxa"/>
            <w:vAlign w:val="bottom"/>
            <w:tcBorders>
              <w:bottom w:val="single" w:sz="8" w:color="auto"/>
            </w:tcBorders>
          </w:tcPr>
          <w:p>
            <w:pPr>
              <w:spacing w:after="0"/>
              <w:rPr>
                <w:sz w:val="17"/>
                <w:szCs w:val="17"/>
                <w:color w:val="auto"/>
              </w:rPr>
            </w:pPr>
          </w:p>
        </w:tc>
        <w:tc>
          <w:tcPr>
            <w:tcW w:w="9260" w:type="dxa"/>
            <w:vAlign w:val="bottom"/>
            <w:gridSpan w:val="5"/>
          </w:tcPr>
          <w:p>
            <w:pPr>
              <w:spacing w:after="0" w:line="196" w:lineRule="exact"/>
              <w:rPr>
                <w:sz w:val="20"/>
                <w:szCs w:val="20"/>
                <w:color w:val="auto"/>
              </w:rPr>
            </w:pPr>
            <w:r>
              <w:rPr>
                <w:rFonts w:ascii="Arial" w:cs="Arial" w:eastAsia="Arial" w:hAnsi="Arial"/>
                <w:sz w:val="18"/>
                <w:szCs w:val="18"/>
                <w:color w:val="auto"/>
              </w:rPr>
              <w:t>(the “Executive”),</w:t>
            </w: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Executive is employed by the Company; and</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WHEREAS, the Company and the Executive desire to enter into this Agreement to set forth the benefits to be provided to the Executive in the event that his or her employment terminates under the circumstances described 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foregoing, the parties agree as follows:</w:t>
      </w:r>
    </w:p>
    <w:p>
      <w:pPr>
        <w:spacing w:after="0" w:line="171" w:lineRule="exact"/>
        <w:rPr>
          <w:sz w:val="20"/>
          <w:szCs w:val="20"/>
          <w:color w:val="auto"/>
        </w:rPr>
      </w:pPr>
    </w:p>
    <w:p>
      <w:pPr>
        <w:ind w:left="180" w:hanging="172"/>
        <w:spacing w:after="0"/>
        <w:tabs>
          <w:tab w:leader="none" w:pos="18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terms shall have the meanings set forth below:</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“Cause” shall mean:</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2"/>
          <w:numId w:val="93"/>
        </w:numPr>
        <w:rPr>
          <w:rFonts w:ascii="Arial" w:cs="Arial" w:eastAsia="Arial" w:hAnsi="Arial"/>
          <w:sz w:val="16"/>
          <w:szCs w:val="16"/>
          <w:color w:val="auto"/>
        </w:rPr>
      </w:pPr>
      <w:r>
        <w:rPr>
          <w:rFonts w:ascii="Arial" w:cs="Arial" w:eastAsia="Arial" w:hAnsi="Arial"/>
          <w:sz w:val="16"/>
          <w:szCs w:val="16"/>
          <w:color w:val="auto"/>
        </w:rPr>
        <w:t>the Executive’s willful and continuous failure to substantially perform his or her material duties (other than a failure due to a Disability);</w:t>
      </w:r>
    </w:p>
    <w:p>
      <w:pPr>
        <w:spacing w:after="0" w:line="113" w:lineRule="exact"/>
        <w:rPr>
          <w:rFonts w:ascii="Arial" w:cs="Arial" w:eastAsia="Arial" w:hAnsi="Arial"/>
          <w:sz w:val="16"/>
          <w:szCs w:val="16"/>
          <w:color w:val="auto"/>
        </w:rPr>
      </w:pPr>
    </w:p>
    <w:p>
      <w:pPr>
        <w:ind w:left="920" w:right="480" w:firstLine="421"/>
        <w:spacing w:after="0" w:line="268" w:lineRule="auto"/>
        <w:tabs>
          <w:tab w:leader="none" w:pos="1598" w:val="left"/>
        </w:tabs>
        <w:numPr>
          <w:ilvl w:val="2"/>
          <w:numId w:val="93"/>
        </w:numPr>
        <w:rPr>
          <w:rFonts w:ascii="Arial" w:cs="Arial" w:eastAsia="Arial" w:hAnsi="Arial"/>
          <w:sz w:val="18"/>
          <w:szCs w:val="18"/>
          <w:color w:val="auto"/>
        </w:rPr>
      </w:pPr>
      <w:r>
        <w:rPr>
          <w:rFonts w:ascii="Arial" w:cs="Arial" w:eastAsia="Arial" w:hAnsi="Arial"/>
          <w:sz w:val="18"/>
          <w:szCs w:val="18"/>
          <w:color w:val="auto"/>
        </w:rPr>
        <w:t>the commission of any activities constituting a violation or breach under any federal, state or local law or regulation applicable to the activities of the Company, as determined in the reasonable judgment of the Company;</w:t>
      </w:r>
    </w:p>
    <w:p>
      <w:pPr>
        <w:spacing w:after="0" w:line="50" w:lineRule="exact"/>
        <w:rPr>
          <w:rFonts w:ascii="Arial" w:cs="Arial" w:eastAsia="Arial" w:hAnsi="Arial"/>
          <w:sz w:val="18"/>
          <w:szCs w:val="18"/>
          <w:color w:val="auto"/>
        </w:rPr>
      </w:pPr>
    </w:p>
    <w:p>
      <w:pPr>
        <w:ind w:left="920" w:right="160" w:firstLine="421"/>
        <w:spacing w:after="0" w:line="268" w:lineRule="auto"/>
        <w:tabs>
          <w:tab w:leader="none" w:pos="1647" w:val="left"/>
        </w:tabs>
        <w:numPr>
          <w:ilvl w:val="2"/>
          <w:numId w:val="93"/>
        </w:numPr>
        <w:rPr>
          <w:rFonts w:ascii="Arial" w:cs="Arial" w:eastAsia="Arial" w:hAnsi="Arial"/>
          <w:sz w:val="18"/>
          <w:szCs w:val="18"/>
          <w:color w:val="auto"/>
        </w:rPr>
      </w:pPr>
      <w:r>
        <w:rPr>
          <w:rFonts w:ascii="Arial" w:cs="Arial" w:eastAsia="Arial" w:hAnsi="Arial"/>
          <w:sz w:val="18"/>
          <w:szCs w:val="18"/>
          <w:color w:val="auto"/>
        </w:rPr>
        <w:t>fraud, breach of fiduciary duty, dishonesty, misappropriation or other actions that cause significant damage to the property or business of the Company;</w:t>
      </w:r>
    </w:p>
    <w:p>
      <w:pPr>
        <w:spacing w:after="0" w:line="50" w:lineRule="exact"/>
        <w:rPr>
          <w:rFonts w:ascii="Arial" w:cs="Arial" w:eastAsia="Arial" w:hAnsi="Arial"/>
          <w:sz w:val="18"/>
          <w:szCs w:val="18"/>
          <w:color w:val="auto"/>
        </w:rPr>
      </w:pPr>
    </w:p>
    <w:p>
      <w:pPr>
        <w:ind w:left="920" w:right="220" w:firstLine="421"/>
        <w:spacing w:after="0" w:line="268" w:lineRule="auto"/>
        <w:tabs>
          <w:tab w:leader="none" w:pos="1637" w:val="left"/>
        </w:tabs>
        <w:numPr>
          <w:ilvl w:val="2"/>
          <w:numId w:val="93"/>
        </w:numPr>
        <w:rPr>
          <w:rFonts w:ascii="Arial" w:cs="Arial" w:eastAsia="Arial" w:hAnsi="Arial"/>
          <w:sz w:val="18"/>
          <w:szCs w:val="18"/>
          <w:color w:val="auto"/>
        </w:rPr>
      </w:pPr>
      <w:r>
        <w:rPr>
          <w:rFonts w:ascii="Arial" w:cs="Arial" w:eastAsia="Arial" w:hAnsi="Arial"/>
          <w:sz w:val="18"/>
          <w:szCs w:val="18"/>
          <w:color w:val="auto"/>
        </w:rPr>
        <w:t>repeated absences from work such that the Executive is unable to perform his or her employment or other duties in all material respects, other than due to Disability;</w:t>
      </w:r>
    </w:p>
    <w:p>
      <w:pPr>
        <w:spacing w:after="0" w:line="50" w:lineRule="exact"/>
        <w:rPr>
          <w:rFonts w:ascii="Arial" w:cs="Arial" w:eastAsia="Arial" w:hAnsi="Arial"/>
          <w:sz w:val="18"/>
          <w:szCs w:val="18"/>
          <w:color w:val="auto"/>
        </w:rPr>
      </w:pPr>
    </w:p>
    <w:p>
      <w:pPr>
        <w:ind w:left="920" w:right="20" w:firstLine="421"/>
        <w:spacing w:after="0" w:line="332" w:lineRule="auto"/>
        <w:tabs>
          <w:tab w:leader="none" w:pos="1588" w:val="left"/>
        </w:tabs>
        <w:numPr>
          <w:ilvl w:val="2"/>
          <w:numId w:val="93"/>
        </w:numPr>
        <w:rPr>
          <w:rFonts w:ascii="Arial" w:cs="Arial" w:eastAsia="Arial" w:hAnsi="Arial"/>
          <w:sz w:val="16"/>
          <w:szCs w:val="16"/>
          <w:color w:val="auto"/>
        </w:rPr>
      </w:pPr>
      <w:r>
        <w:rPr>
          <w:rFonts w:ascii="Arial" w:cs="Arial" w:eastAsia="Arial" w:hAnsi="Arial"/>
          <w:sz w:val="16"/>
          <w:szCs w:val="16"/>
          <w:color w:val="auto"/>
        </w:rPr>
        <w:t>admission or conviction of, or plea of nolo contendere, to any felony that, in the reasonable judgment of the Company, adversely affects the Company’s reputation or the Executive’s ability to carry out the obligations of his or her employment or services;</w:t>
      </w:r>
    </w:p>
    <w:p>
      <w:pPr>
        <w:spacing w:after="0" w:line="4" w:lineRule="exact"/>
        <w:rPr>
          <w:rFonts w:ascii="Arial" w:cs="Arial" w:eastAsia="Arial" w:hAnsi="Arial"/>
          <w:sz w:val="16"/>
          <w:szCs w:val="16"/>
          <w:color w:val="auto"/>
        </w:rPr>
      </w:pPr>
    </w:p>
    <w:p>
      <w:pPr>
        <w:ind w:left="1640" w:hanging="299"/>
        <w:spacing w:after="0"/>
        <w:tabs>
          <w:tab w:leader="none" w:pos="1640" w:val="left"/>
        </w:tabs>
        <w:numPr>
          <w:ilvl w:val="2"/>
          <w:numId w:val="93"/>
        </w:numPr>
        <w:rPr>
          <w:rFonts w:ascii="Arial" w:cs="Arial" w:eastAsia="Arial" w:hAnsi="Arial"/>
          <w:sz w:val="18"/>
          <w:szCs w:val="18"/>
          <w:color w:val="auto"/>
        </w:rPr>
      </w:pPr>
      <w:r>
        <w:rPr>
          <w:rFonts w:ascii="Arial" w:cs="Arial" w:eastAsia="Arial" w:hAnsi="Arial"/>
          <w:sz w:val="18"/>
          <w:szCs w:val="18"/>
          <w:color w:val="auto"/>
        </w:rPr>
        <w:t>loss of any license or registration that is necessary for the Executive to perform his or her duties for the Company;</w:t>
      </w:r>
    </w:p>
    <w:p>
      <w:pPr>
        <w:spacing w:after="0" w:line="90" w:lineRule="exact"/>
        <w:rPr>
          <w:rFonts w:ascii="Arial" w:cs="Arial" w:eastAsia="Arial" w:hAnsi="Arial"/>
          <w:sz w:val="18"/>
          <w:szCs w:val="18"/>
          <w:color w:val="auto"/>
        </w:rPr>
      </w:pPr>
    </w:p>
    <w:p>
      <w:pPr>
        <w:ind w:left="920" w:right="140" w:firstLine="421"/>
        <w:spacing w:after="0" w:line="268" w:lineRule="auto"/>
        <w:tabs>
          <w:tab w:leader="none" w:pos="1686" w:val="left"/>
        </w:tabs>
        <w:numPr>
          <w:ilvl w:val="2"/>
          <w:numId w:val="93"/>
        </w:numPr>
        <w:rPr>
          <w:rFonts w:ascii="Arial" w:cs="Arial" w:eastAsia="Arial" w:hAnsi="Arial"/>
          <w:sz w:val="18"/>
          <w:szCs w:val="18"/>
          <w:color w:val="auto"/>
        </w:rPr>
      </w:pPr>
      <w:r>
        <w:rPr>
          <w:rFonts w:ascii="Arial" w:cs="Arial" w:eastAsia="Arial" w:hAnsi="Arial"/>
          <w:sz w:val="18"/>
          <w:szCs w:val="18"/>
          <w:color w:val="auto"/>
        </w:rPr>
        <w:t>failure to cooperate with the Company in any internal investigation or administrative, regulatory or judicial proceeding, as determined in the reasonable judgment of the Company;</w:t>
      </w:r>
    </w:p>
    <w:p>
      <w:pPr>
        <w:sectPr>
          <w:pgSz w:w="11900" w:h="16838" w:orient="portrait"/>
          <w:cols w:equalWidth="0" w:num="1">
            <w:col w:w="11420"/>
          </w:cols>
          <w:pgMar w:left="240" w:top="125" w:right="239" w:bottom="1440" w:gutter="0" w:footer="0" w:header="0"/>
        </w:sectPr>
      </w:pPr>
    </w:p>
    <w:bookmarkStart w:id="118" w:name="page119"/>
    <w:bookmarkEnd w:id="118"/>
    <w:p>
      <w:pPr>
        <w:ind w:left="920" w:right="280" w:firstLine="421"/>
        <w:spacing w:after="0" w:line="259" w:lineRule="auto"/>
        <w:tabs>
          <w:tab w:leader="none" w:pos="1735" w:val="left"/>
        </w:tabs>
        <w:numPr>
          <w:ilvl w:val="0"/>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act or omission in violation or disregard of the Company’s policies, including but not limited to the Company’s harassment and discrimination policies and Standards of Conduct then in effect, in such a manner as to cause significant loss, damage or injury to the Company’s property, reputation or employees;</w:t>
      </w:r>
    </w:p>
    <w:p>
      <w:pPr>
        <w:spacing w:after="0" w:line="140"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provided, however, that no act or failure to act on the Executive’s part shall be considered “willful” unless it is done, or omitted to be done, by him or her in bad faith or without reasonable belief that his or her action or omission was in the best interests of the Company. Any act or failure to act (A) based upon authority given pursuant to a resolution duly adopted by the Board of Directors of the Company, (B) implementing in good faith the advice of counsel for the Company or</w:t>
      </w:r>
    </w:p>
    <w:p>
      <w:pPr>
        <w:spacing w:after="0" w:line="1" w:lineRule="exact"/>
        <w:rPr>
          <w:sz w:val="20"/>
          <w:szCs w:val="20"/>
          <w:color w:val="auto"/>
        </w:rPr>
      </w:pPr>
    </w:p>
    <w:p>
      <w:pPr>
        <w:ind w:right="80" w:firstLine="8"/>
        <w:spacing w:after="0" w:line="302" w:lineRule="auto"/>
        <w:tabs>
          <w:tab w:leader="none" w:pos="278"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that meets the applicable standard of conduct prescribed for indemnification or reimbursement or payment of expenses under the By-laws of the Company or the laws of the state of its incorporation or the directors’ and officers’ liability insurance of the Company, in each case as in effect at the time Cause would otherwise arise, shall be conclusively presumed to be done, or omitted to be done, in good faith and in the best interests of the Company.</w:t>
      </w:r>
    </w:p>
    <w:p>
      <w:pPr>
        <w:spacing w:after="0" w:line="109" w:lineRule="exact"/>
        <w:rPr>
          <w:rFonts w:ascii="Arial" w:cs="Arial" w:eastAsia="Arial" w:hAnsi="Arial"/>
          <w:sz w:val="16"/>
          <w:szCs w:val="16"/>
          <w:color w:val="auto"/>
        </w:rPr>
      </w:pPr>
    </w:p>
    <w:p>
      <w:pPr>
        <w:ind w:left="1160" w:hanging="239"/>
        <w:spacing w:after="0"/>
        <w:tabs>
          <w:tab w:leader="none" w:pos="1160"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A “Change in Control” shall be deemed to have occurred if, prior to the Executive’s Termination of Employment:</w:t>
      </w:r>
    </w:p>
    <w:p>
      <w:pPr>
        <w:spacing w:after="0" w:line="113" w:lineRule="exact"/>
        <w:rPr>
          <w:rFonts w:ascii="Arial" w:cs="Arial" w:eastAsia="Arial" w:hAnsi="Arial"/>
          <w:sz w:val="16"/>
          <w:szCs w:val="16"/>
          <w:color w:val="auto"/>
        </w:rPr>
      </w:pPr>
    </w:p>
    <w:p>
      <w:pPr>
        <w:ind w:left="920" w:firstLine="421"/>
        <w:spacing w:after="0" w:line="282" w:lineRule="auto"/>
        <w:tabs>
          <w:tab w:leader="none" w:pos="1549" w:val="left"/>
        </w:tabs>
        <w:numPr>
          <w:ilvl w:val="2"/>
          <w:numId w:val="95"/>
        </w:numPr>
        <w:rPr>
          <w:rFonts w:ascii="Arial" w:cs="Arial" w:eastAsia="Arial" w:hAnsi="Arial"/>
          <w:sz w:val="16"/>
          <w:szCs w:val="16"/>
          <w:color w:val="auto"/>
        </w:rPr>
      </w:pPr>
      <w:r>
        <w:rPr>
          <w:rFonts w:ascii="Arial" w:cs="Arial" w:eastAsia="Arial" w:hAnsi="Arial"/>
          <w:sz w:val="16"/>
          <w:szCs w:val="16"/>
          <w:color w:val="auto"/>
        </w:rPr>
        <w:t>any person (as that term is used in Sections 13(d) and 14(d) of the Securities Exchange Act of 1934, as amended (the “Exchange Act”) as in effect on the date of this Agreement) (1) is or becomes the beneficial owner (as that term is used in Section 13(d) of the Exchange Act, and the rules and regulations promulgated thereunder, as in effect on the date of this Agreement) of 50% or more of the total fair market value or total voting power of the Company (“Voting Securities”) or (2) acquires (or has acquired during the 12-month period ending on the date of the most recent acquisition by such person) ownership of the stock of the Company possessing 30% or more of the Voting Securities, excluding, in each case, however, the following: (A) any acquisition directly from the Company, other than an acquisition by virtue of the exercise of a conversion privilege unless the security being so converted was itself acquired directly from the Company; (B) any acquisition by the Company; (C) any acquisition by an employee benefit plan (or related trust) sponsored or maintained by the Company or any entity controlled by the Company; (D) the acquisition of additional stock or voting power by a person considered to own more than 50% of the total fair market value or Voting Securities in the case of clause (1) of this clause (i) or by a person considered to own more than 30% of the Voting Securities in the case of clause (2) of this clause (i) or</w:t>
      </w:r>
    </w:p>
    <w:p>
      <w:pPr>
        <w:spacing w:after="0" w:line="5"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(E) any acquisition pursuant to a transaction that complies with clauses (A), (B) and (C) of clause (iii) below;</w:t>
      </w:r>
    </w:p>
    <w:p>
      <w:pPr>
        <w:spacing w:after="0" w:line="83" w:lineRule="exact"/>
        <w:rPr>
          <w:rFonts w:ascii="Arial" w:cs="Arial" w:eastAsia="Arial" w:hAnsi="Arial"/>
          <w:sz w:val="16"/>
          <w:szCs w:val="16"/>
          <w:color w:val="auto"/>
        </w:rPr>
      </w:pPr>
    </w:p>
    <w:p>
      <w:pPr>
        <w:ind w:left="920" w:right="160" w:firstLine="421"/>
        <w:spacing w:after="0" w:line="305" w:lineRule="auto"/>
        <w:tabs>
          <w:tab w:leader="none" w:pos="1598" w:val="left"/>
        </w:tabs>
        <w:numPr>
          <w:ilvl w:val="2"/>
          <w:numId w:val="95"/>
        </w:numPr>
        <w:rPr>
          <w:rFonts w:ascii="Arial" w:cs="Arial" w:eastAsia="Arial" w:hAnsi="Arial"/>
          <w:sz w:val="15"/>
          <w:szCs w:val="15"/>
          <w:color w:val="auto"/>
        </w:rPr>
      </w:pPr>
      <w:r>
        <w:rPr>
          <w:rFonts w:ascii="Arial" w:cs="Arial" w:eastAsia="Arial" w:hAnsi="Arial"/>
          <w:sz w:val="15"/>
          <w:szCs w:val="15"/>
          <w:color w:val="auto"/>
        </w:rPr>
        <w:t>more than 50% of the members of the Board of Directors of the Company (the “Board”) shall, during a 12-month period, cease to be Continuing Directors (which term, as used herein, means the directors of the Company: (A) who were members of the Board on the date hereof; or</w:t>
      </w:r>
    </w:p>
    <w:p>
      <w:pPr>
        <w:ind w:left="920" w:right="80"/>
        <w:spacing w:after="0" w:line="261" w:lineRule="auto"/>
        <w:rPr>
          <w:rFonts w:ascii="Arial" w:cs="Arial" w:eastAsia="Arial" w:hAnsi="Arial"/>
          <w:sz w:val="15"/>
          <w:szCs w:val="15"/>
          <w:color w:val="auto"/>
        </w:rPr>
      </w:pPr>
      <w:r>
        <w:rPr>
          <w:rFonts w:ascii="Arial" w:cs="Arial" w:eastAsia="Arial" w:hAnsi="Arial"/>
          <w:sz w:val="18"/>
          <w:szCs w:val="18"/>
          <w:color w:val="auto"/>
        </w:rPr>
        <w:t>(B) who subsequently became directors of the Company and who were elected or designated to be candidates for election as nominees of the Board, or whose election or nomination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19" w:name="page120"/>
    <w:bookmarkEnd w:id="119"/>
    <w:p>
      <w:pPr>
        <w:ind w:left="920"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election by the Company’s stockholders was otherwise approved, by a vote of a majority of the Continuing Directors then on the Board but shall not include, in any event, any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 person other than the Board); or</w:t>
      </w:r>
    </w:p>
    <w:p>
      <w:pPr>
        <w:spacing w:after="0" w:line="62" w:lineRule="exact"/>
        <w:rPr>
          <w:sz w:val="20"/>
          <w:szCs w:val="20"/>
          <w:color w:val="auto"/>
        </w:rPr>
      </w:pPr>
    </w:p>
    <w:p>
      <w:pPr>
        <w:ind w:left="920" w:firstLine="421"/>
        <w:spacing w:after="0" w:line="287" w:lineRule="auto"/>
        <w:tabs>
          <w:tab w:leader="none" w:pos="1647"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the Company shall be merged or consolidated with, or, in any transaction or series of transactions, substantially all of the business or assets of the Company shall be sold or otherwise acquired by, another corporation or entity unless, as a result thereof: (A) the stockholders of the Company immediately prior thereto shall beneficially own, directly or indirectly, at least 60% of the combined Voting Securities of the surviving, resulting or transferee corporation or entity (including, without limitation, a corporation that as a result of such transaction owns the Company or all or substantially all of the assets of the Company , either directly or through one or more subsidiaries) (“Newco”) immediately thereafter in substantially the same proportions as their ownership immediately prior to such corporate transaction; (B) no person beneficially owns (as such terms are used in Sections 13(d) and 14(d) of the Exchange Act, and the rules and regulations promulgated thereunder (as in effect on the date hereof)), directly or indirectly, 30% or more of the combined Voting Securities of Newco immediately after such corporate transaction except to the extent that such ownership of the Company existed prior to such corporate transaction, and (C) more than 50% of the members of the Board of Directors of Newco shall be Continuing Directors.</w:t>
      </w:r>
    </w:p>
    <w:p>
      <w:pPr>
        <w:spacing w:after="0" w:line="122" w:lineRule="exact"/>
        <w:rPr>
          <w:rFonts w:ascii="Arial" w:cs="Arial" w:eastAsia="Arial" w:hAnsi="Arial"/>
          <w:sz w:val="16"/>
          <w:szCs w:val="16"/>
          <w:color w:val="auto"/>
        </w:rPr>
      </w:pPr>
    </w:p>
    <w:p>
      <w:pPr>
        <w:jc w:val="both"/>
        <w:ind w:firstLine="921"/>
        <w:spacing w:after="0" w:line="259" w:lineRule="auto"/>
        <w:tabs>
          <w:tab w:leader="none" w:pos="1152"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Change in Control Benefit</w:t>
      </w:r>
      <w:r>
        <w:rPr>
          <w:rFonts w:ascii="Arial" w:cs="Arial" w:eastAsia="Arial" w:hAnsi="Arial"/>
          <w:sz w:val="18"/>
          <w:szCs w:val="18"/>
          <w:color w:val="auto"/>
        </w:rPr>
        <w:t>. “Change in Control Benefit” shall refer to any special or enhanced benefits described in Section 3 below to which the Executive may become entitled if his or her employment terminates for one of the reasons listed in Section 2(a) within the 24-month period following a Change in Control.</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“Code” shall mean the Internal Revenue Code of 1986, as amended.</w:t>
      </w:r>
    </w:p>
    <w:p>
      <w:pPr>
        <w:spacing w:after="0" w:line="171" w:lineRule="exact"/>
        <w:rPr>
          <w:rFonts w:ascii="Arial" w:cs="Arial" w:eastAsia="Arial" w:hAnsi="Arial"/>
          <w:sz w:val="18"/>
          <w:szCs w:val="18"/>
          <w:color w:val="auto"/>
        </w:rPr>
      </w:pPr>
    </w:p>
    <w:p>
      <w:pPr>
        <w:ind w:right="40" w:firstLine="921"/>
        <w:spacing w:after="0" w:line="259" w:lineRule="auto"/>
        <w:tabs>
          <w:tab w:leader="none" w:pos="1152"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“Disability” shall mean a physical or mental illness that results in the Executive’s absence from the full-time performance of his or her duties for 180 consecutive calendar days and within 30 days after the Notice of Termination is given to the Executive by the Company, the Executive shall not have returned to full-time performance of his or her duties.</w:t>
      </w:r>
    </w:p>
    <w:p>
      <w:pPr>
        <w:spacing w:after="0" w:line="140" w:lineRule="exact"/>
        <w:rPr>
          <w:rFonts w:ascii="Arial" w:cs="Arial" w:eastAsia="Arial" w:hAnsi="Arial"/>
          <w:sz w:val="18"/>
          <w:szCs w:val="18"/>
          <w:color w:val="auto"/>
        </w:rPr>
      </w:pPr>
    </w:p>
    <w:p>
      <w:pPr>
        <w:ind w:right="140" w:firstLine="921"/>
        <w:spacing w:after="0" w:line="332" w:lineRule="auto"/>
        <w:tabs>
          <w:tab w:leader="none" w:pos="1132"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Good Reason</w:t>
      </w:r>
      <w:r>
        <w:rPr>
          <w:rFonts w:ascii="Arial" w:cs="Arial" w:eastAsia="Arial" w:hAnsi="Arial"/>
          <w:sz w:val="16"/>
          <w:szCs w:val="16"/>
          <w:color w:val="auto"/>
        </w:rPr>
        <w:t>. Termination of employment by the Executive for Good Reason shall be deemed to have occurred only if the Executive terminates his or her employment and provides a Notice of Termination to the Company prior to such date for any of the following reasons: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20" w:name="page121"/>
    <w:bookmarkEnd w:id="120"/>
    <w:p>
      <w:pPr>
        <w:ind w:left="920" w:right="660" w:firstLine="421"/>
        <w:spacing w:after="0" w:line="268" w:lineRule="auto"/>
        <w:tabs>
          <w:tab w:leader="none" w:pos="1549" w:val="left"/>
        </w:tabs>
        <w:numPr>
          <w:ilvl w:val="0"/>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material change in the Executive’s duties, responsibilities and status, or, in the event of a Change in Control, a material change in Executive’s reporting responsibilities, titles or offices as in effect at the time of a Change in Control;</w:t>
      </w:r>
    </w:p>
    <w:p>
      <w:pPr>
        <w:spacing w:after="0" w:line="50" w:lineRule="exact"/>
        <w:rPr>
          <w:rFonts w:ascii="Arial" w:cs="Arial" w:eastAsia="Arial" w:hAnsi="Arial"/>
          <w:sz w:val="18"/>
          <w:szCs w:val="18"/>
          <w:color w:val="auto"/>
        </w:rPr>
      </w:pPr>
    </w:p>
    <w:p>
      <w:pPr>
        <w:ind w:left="1600" w:hanging="259"/>
        <w:spacing w:after="0"/>
        <w:tabs>
          <w:tab w:leader="none" w:pos="16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material reduction in the Executive’s then current base salary;</w:t>
      </w:r>
    </w:p>
    <w:p>
      <w:pPr>
        <w:spacing w:after="0" w:line="90" w:lineRule="exact"/>
        <w:rPr>
          <w:rFonts w:ascii="Arial" w:cs="Arial" w:eastAsia="Arial" w:hAnsi="Arial"/>
          <w:sz w:val="18"/>
          <w:szCs w:val="18"/>
          <w:color w:val="auto"/>
        </w:rPr>
      </w:pPr>
    </w:p>
    <w:p>
      <w:pPr>
        <w:ind w:left="920" w:right="120" w:firstLine="421"/>
        <w:spacing w:after="0" w:line="259" w:lineRule="auto"/>
        <w:tabs>
          <w:tab w:leader="none" w:pos="1647" w:val="left"/>
        </w:tabs>
        <w:numPr>
          <w:ilvl w:val="0"/>
          <w:numId w:val="98"/>
        </w:numPr>
        <w:rPr>
          <w:rFonts w:ascii="Arial" w:cs="Arial" w:eastAsia="Arial" w:hAnsi="Arial"/>
          <w:sz w:val="18"/>
          <w:szCs w:val="18"/>
          <w:color w:val="auto"/>
        </w:rPr>
      </w:pPr>
      <w:r>
        <w:rPr>
          <w:rFonts w:ascii="Arial" w:cs="Arial" w:eastAsia="Arial" w:hAnsi="Arial"/>
          <w:sz w:val="18"/>
          <w:szCs w:val="18"/>
          <w:color w:val="auto"/>
        </w:rPr>
        <w:t>material reduction in the value of the benefits provided to the Executive (other than those plans or improvements that have expired in accordance with their original terms); provided that Good Reason shall not exist to the extent such benefits are similarly reduced or eliminated with respect to similarly situated senior executives of the Company;</w:t>
      </w:r>
    </w:p>
    <w:p>
      <w:pPr>
        <w:spacing w:after="0" w:line="59" w:lineRule="exact"/>
        <w:rPr>
          <w:rFonts w:ascii="Arial" w:cs="Arial" w:eastAsia="Arial" w:hAnsi="Arial"/>
          <w:sz w:val="18"/>
          <w:szCs w:val="18"/>
          <w:color w:val="auto"/>
        </w:rPr>
      </w:pPr>
    </w:p>
    <w:p>
      <w:pPr>
        <w:ind w:left="920" w:right="20" w:firstLine="421"/>
        <w:spacing w:after="0" w:line="259" w:lineRule="auto"/>
        <w:tabs>
          <w:tab w:leader="none" w:pos="1637" w:val="left"/>
        </w:tabs>
        <w:numPr>
          <w:ilvl w:val="0"/>
          <w:numId w:val="98"/>
        </w:numPr>
        <w:rPr>
          <w:rFonts w:ascii="Arial" w:cs="Arial" w:eastAsia="Arial" w:hAnsi="Arial"/>
          <w:sz w:val="18"/>
          <w:szCs w:val="18"/>
          <w:color w:val="auto"/>
        </w:rPr>
      </w:pPr>
      <w:r>
        <w:rPr>
          <w:rFonts w:ascii="Arial" w:cs="Arial" w:eastAsia="Arial" w:hAnsi="Arial"/>
          <w:sz w:val="18"/>
          <w:szCs w:val="18"/>
          <w:color w:val="auto"/>
        </w:rPr>
        <w:t>after a Change in Control, the target bonus awarded by the Company’s Compensation and Stock Option Committee to Executive under the Annual Executive Incentive Compensation Plan of the Company (“Incentive Plan”) subsequent to a Change in Control is materially less than such amount last awarded to Executive prior to a Change in Control;</w:t>
      </w:r>
    </w:p>
    <w:p>
      <w:pPr>
        <w:spacing w:after="0" w:line="59" w:lineRule="exact"/>
        <w:rPr>
          <w:rFonts w:ascii="Arial" w:cs="Arial" w:eastAsia="Arial" w:hAnsi="Arial"/>
          <w:sz w:val="18"/>
          <w:szCs w:val="18"/>
          <w:color w:val="auto"/>
        </w:rPr>
      </w:pPr>
    </w:p>
    <w:p>
      <w:pPr>
        <w:ind w:left="920" w:right="80" w:firstLine="421"/>
        <w:spacing w:after="0" w:line="298" w:lineRule="auto"/>
        <w:tabs>
          <w:tab w:leader="none" w:pos="1588" w:val="left"/>
        </w:tabs>
        <w:numPr>
          <w:ilvl w:val="0"/>
          <w:numId w:val="98"/>
        </w:numPr>
        <w:rPr>
          <w:rFonts w:ascii="Arial" w:cs="Arial" w:eastAsia="Arial" w:hAnsi="Arial"/>
          <w:sz w:val="16"/>
          <w:szCs w:val="16"/>
          <w:color w:val="auto"/>
        </w:rPr>
      </w:pPr>
      <w:r>
        <w:rPr>
          <w:rFonts w:ascii="Arial" w:cs="Arial" w:eastAsia="Arial" w:hAnsi="Arial"/>
          <w:sz w:val="16"/>
          <w:szCs w:val="16"/>
          <w:color w:val="auto"/>
        </w:rPr>
        <w:t>after a Change in Control, the sum of the Executive’s base salary and amount paid to him or her as incentive compensation under the Incentive Plan for the calendar year in which the Change in Control occurs or any subsequent year is materially less than the sum of the Executive’s base salary and the amount awarded (whether or not fully paid) to him or her as incentive compensation under the Incentive Plan for the calendar year prior to the Change in Control or any subsequent calendar year in which the sum of such amounts was materially greater;</w:t>
      </w:r>
    </w:p>
    <w:p>
      <w:pPr>
        <w:spacing w:after="0" w:line="31" w:lineRule="exact"/>
        <w:rPr>
          <w:rFonts w:ascii="Arial" w:cs="Arial" w:eastAsia="Arial" w:hAnsi="Arial"/>
          <w:sz w:val="16"/>
          <w:szCs w:val="16"/>
          <w:color w:val="auto"/>
        </w:rPr>
      </w:pPr>
    </w:p>
    <w:p>
      <w:pPr>
        <w:ind w:left="920" w:right="40" w:firstLine="421"/>
        <w:spacing w:after="0" w:line="259" w:lineRule="auto"/>
        <w:tabs>
          <w:tab w:leader="none" w:pos="1637"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relocation of the offices at which Executive is employed to a location more than 35 miles away or the Company requiring Executive to be based anywhere other than at a Company office within 35 miles of the offices at which the Executive is employed, except for required travel on Company business to an extent substantially consistent with Executive’s position;</w:t>
      </w:r>
    </w:p>
    <w:p>
      <w:pPr>
        <w:spacing w:after="0" w:line="59" w:lineRule="exact"/>
        <w:rPr>
          <w:rFonts w:ascii="Arial" w:cs="Arial" w:eastAsia="Arial" w:hAnsi="Arial"/>
          <w:sz w:val="18"/>
          <w:szCs w:val="18"/>
          <w:color w:val="auto"/>
        </w:rPr>
      </w:pPr>
    </w:p>
    <w:p>
      <w:pPr>
        <w:ind w:left="1680" w:hanging="339"/>
        <w:spacing w:after="0"/>
        <w:tabs>
          <w:tab w:leader="none" w:pos="16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failure of the Company to comply with and satisfy Section 8;</w:t>
      </w:r>
    </w:p>
    <w:p>
      <w:pPr>
        <w:spacing w:after="0" w:line="90" w:lineRule="exact"/>
        <w:rPr>
          <w:rFonts w:ascii="Arial" w:cs="Arial" w:eastAsia="Arial" w:hAnsi="Arial"/>
          <w:sz w:val="18"/>
          <w:szCs w:val="18"/>
          <w:color w:val="auto"/>
        </w:rPr>
      </w:pPr>
    </w:p>
    <w:p>
      <w:pPr>
        <w:ind w:left="920" w:firstLine="421"/>
        <w:spacing w:after="0" w:line="259" w:lineRule="auto"/>
        <w:tabs>
          <w:tab w:leader="none" w:pos="1735"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purported termination of the Executive’s employment by the Company which does not comply with Section 1(g) below. For the avoidance of doubt, such purported termination shall not be effective, but shall constitute Good Reason entitling the Executive to terminate his or her employment in accordance with this Section 1(f);</w:t>
      </w:r>
    </w:p>
    <w:p>
      <w:pPr>
        <w:spacing w:after="0" w:line="14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provided, further, that the Executive must provide written notice to the Company of the existence of Good Reason no later than 90 days after its initial existence, the Company shall have a period of 30 days following its receipt of such written notice during which it may remedy in all material respects the Good Reason condition identified in such written notice, and the Executive must terminate employment no later than two (2) years following the initial existence of the Good Reason condition identified in such written notice.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21" w:name="page122"/>
    <w:bookmarkEnd w:id="121"/>
    <w:p>
      <w:pPr>
        <w:ind w:right="140" w:firstLine="921"/>
        <w:spacing w:after="0" w:line="298" w:lineRule="auto"/>
        <w:tabs>
          <w:tab w:leader="none" w:pos="1161"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 Termination</w:t>
      </w:r>
      <w:r>
        <w:rPr>
          <w:rFonts w:ascii="Arial" w:cs="Arial" w:eastAsia="Arial" w:hAnsi="Arial"/>
          <w:sz w:val="16"/>
          <w:szCs w:val="16"/>
          <w:color w:val="auto"/>
        </w:rPr>
        <w:t>. “Notice of Termination” shall mean a written notice sent by the Executive or the Company to the other party, describing the reasons for the termination of the Executive’s employment and including specific reference to the provision(s) of this Agreement at issue. Such Notice of Termination must be provided by the party seeking to terminate the Executive’s employment within 90 days of the existence of either Cause or Good Reason, as applicable, and the party receiving the Notice of Termination shall be given 30 days to remedy such situation (to the extent applicable).</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Termination Date</w:t>
      </w:r>
      <w:r>
        <w:rPr>
          <w:rFonts w:ascii="Arial" w:cs="Arial" w:eastAsia="Arial" w:hAnsi="Arial"/>
          <w:sz w:val="18"/>
          <w:szCs w:val="18"/>
          <w:color w:val="auto"/>
        </w:rPr>
        <w:t>. “Termination Date” shall mean:</w:t>
      </w:r>
    </w:p>
    <w:p>
      <w:pPr>
        <w:spacing w:after="0" w:line="90" w:lineRule="exact"/>
        <w:rPr>
          <w:rFonts w:ascii="Arial" w:cs="Arial" w:eastAsia="Arial" w:hAnsi="Arial"/>
          <w:sz w:val="18"/>
          <w:szCs w:val="18"/>
          <w:color w:val="auto"/>
        </w:rPr>
      </w:pPr>
    </w:p>
    <w:p>
      <w:pPr>
        <w:ind w:left="920" w:right="900" w:firstLine="421"/>
        <w:spacing w:after="0" w:line="268" w:lineRule="auto"/>
        <w:tabs>
          <w:tab w:leader="none" w:pos="1549" w:val="left"/>
        </w:tabs>
        <w:numPr>
          <w:ilvl w:val="1"/>
          <w:numId w:val="99"/>
        </w:numPr>
        <w:rPr>
          <w:rFonts w:ascii="Arial" w:cs="Arial" w:eastAsia="Arial" w:hAnsi="Arial"/>
          <w:sz w:val="18"/>
          <w:szCs w:val="18"/>
          <w:color w:val="auto"/>
        </w:rPr>
      </w:pPr>
      <w:r>
        <w:rPr>
          <w:rFonts w:ascii="Arial" w:cs="Arial" w:eastAsia="Arial" w:hAnsi="Arial"/>
          <w:sz w:val="18"/>
          <w:szCs w:val="18"/>
          <w:color w:val="auto"/>
        </w:rPr>
        <w:t>in the case of Disability, 30 days after Notice of Termination is given, provided that the Executive shall not have returned to the performance of his or her duties on a full-time basis during such 30-day period;</w:t>
      </w:r>
    </w:p>
    <w:p>
      <w:pPr>
        <w:spacing w:after="0" w:line="50" w:lineRule="exact"/>
        <w:rPr>
          <w:rFonts w:ascii="Arial" w:cs="Arial" w:eastAsia="Arial" w:hAnsi="Arial"/>
          <w:sz w:val="18"/>
          <w:szCs w:val="18"/>
          <w:color w:val="auto"/>
        </w:rPr>
      </w:pPr>
    </w:p>
    <w:p>
      <w:pPr>
        <w:ind w:left="1600" w:hanging="259"/>
        <w:spacing w:after="0"/>
        <w:tabs>
          <w:tab w:leader="none" w:pos="16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in the case of Cause, the date on which Notice of Termination is given;</w:t>
      </w:r>
    </w:p>
    <w:p>
      <w:pPr>
        <w:spacing w:after="0" w:line="90" w:lineRule="exact"/>
        <w:rPr>
          <w:rFonts w:ascii="Arial" w:cs="Arial" w:eastAsia="Arial" w:hAnsi="Arial"/>
          <w:sz w:val="18"/>
          <w:szCs w:val="18"/>
          <w:color w:val="auto"/>
        </w:rPr>
      </w:pPr>
    </w:p>
    <w:p>
      <w:pPr>
        <w:ind w:left="920" w:right="420" w:firstLine="421"/>
        <w:spacing w:after="0" w:line="268" w:lineRule="auto"/>
        <w:tabs>
          <w:tab w:leader="none" w:pos="1647" w:val="left"/>
        </w:tabs>
        <w:numPr>
          <w:ilvl w:val="1"/>
          <w:numId w:val="99"/>
        </w:numPr>
        <w:rPr>
          <w:rFonts w:ascii="Arial" w:cs="Arial" w:eastAsia="Arial" w:hAnsi="Arial"/>
          <w:sz w:val="18"/>
          <w:szCs w:val="18"/>
          <w:color w:val="auto"/>
        </w:rPr>
      </w:pPr>
      <w:r>
        <w:rPr>
          <w:rFonts w:ascii="Arial" w:cs="Arial" w:eastAsia="Arial" w:hAnsi="Arial"/>
          <w:sz w:val="18"/>
          <w:szCs w:val="18"/>
          <w:color w:val="auto"/>
        </w:rPr>
        <w:t>in the case of Good Reason, 30 days after the Notice of Termination is given, provided that the Company has not either remedied the conditions giving rise to Good Reason or waived its right to do so; and</w:t>
      </w:r>
    </w:p>
    <w:p>
      <w:pPr>
        <w:spacing w:after="0" w:line="50" w:lineRule="exact"/>
        <w:rPr>
          <w:rFonts w:ascii="Arial" w:cs="Arial" w:eastAsia="Arial" w:hAnsi="Arial"/>
          <w:sz w:val="18"/>
          <w:szCs w:val="18"/>
          <w:color w:val="auto"/>
        </w:rPr>
      </w:pPr>
    </w:p>
    <w:p>
      <w:pPr>
        <w:ind w:left="920" w:firstLine="421"/>
        <w:spacing w:after="0" w:line="268" w:lineRule="auto"/>
        <w:tabs>
          <w:tab w:leader="none" w:pos="1637" w:val="left"/>
        </w:tabs>
        <w:numPr>
          <w:ilvl w:val="1"/>
          <w:numId w:val="99"/>
        </w:numPr>
        <w:rPr>
          <w:rFonts w:ascii="Arial" w:cs="Arial" w:eastAsia="Arial" w:hAnsi="Arial"/>
          <w:sz w:val="18"/>
          <w:szCs w:val="18"/>
          <w:color w:val="auto"/>
        </w:rPr>
      </w:pPr>
      <w:r>
        <w:rPr>
          <w:rFonts w:ascii="Arial" w:cs="Arial" w:eastAsia="Arial" w:hAnsi="Arial"/>
          <w:sz w:val="18"/>
          <w:szCs w:val="18"/>
          <w:color w:val="auto"/>
        </w:rPr>
        <w:t>in the event that employment is terminated for any other reason, the date on which the Executive ceases to perform his or her duties for the Company;</w:t>
      </w:r>
    </w:p>
    <w:p>
      <w:pPr>
        <w:spacing w:after="0" w:line="1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provided, however, that, if within 30 days after any Notice of Termination is given, the receiving party notifies the other party that a dispute exists concerning the reasons for such termination of employment, the Termination Date shall be the date finally determined, either by written agreement of the parties or by a final judgment, order or decree of court of competent jurisdiction (the time for appeal having expired and no appeal having been perfected), to be the date that the Executive’s employment terminated; provided further, however, that if such dispute is resolved in favor of the Company, the Termination Date shall be the date determined under clauses (i) through (iv) of this Section 1(h).</w:t>
      </w:r>
    </w:p>
    <w:p>
      <w:pPr>
        <w:spacing w:after="0" w:line="143" w:lineRule="exact"/>
        <w:rPr>
          <w:sz w:val="20"/>
          <w:szCs w:val="20"/>
          <w:color w:val="auto"/>
        </w:rPr>
      </w:pPr>
    </w:p>
    <w:p>
      <w:pPr>
        <w:ind w:left="640" w:hanging="176"/>
        <w:spacing w:after="0"/>
        <w:tabs>
          <w:tab w:leader="none" w:pos="64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Entitlement to Benefits</w:t>
      </w:r>
      <w:r>
        <w:rPr>
          <w:rFonts w:ascii="Arial" w:cs="Arial" w:eastAsia="Arial" w:hAnsi="Arial"/>
          <w:sz w:val="18"/>
          <w:szCs w:val="18"/>
          <w:color w:val="auto"/>
        </w:rPr>
        <w:t>. The Executive shall be entitled to the benefits described in Section 3 below if:</w:t>
      </w:r>
    </w:p>
    <w:p>
      <w:pPr>
        <w:spacing w:after="0" w:line="171" w:lineRule="exact"/>
        <w:rPr>
          <w:rFonts w:ascii="Arial" w:cs="Arial" w:eastAsia="Arial" w:hAnsi="Arial"/>
          <w:sz w:val="18"/>
          <w:szCs w:val="18"/>
          <w:color w:val="auto"/>
        </w:rPr>
      </w:pPr>
    </w:p>
    <w:p>
      <w:pPr>
        <w:ind w:right="60" w:firstLine="921"/>
        <w:spacing w:after="0" w:line="259" w:lineRule="auto"/>
        <w:tabs>
          <w:tab w:leader="none" w:pos="115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Executive’s employment is terminated either by the Company for reasons other than Disability or Cause or by the Executive for Good Reason; provided, however, that, in order for the Executive to be eligible for any Change in Control Benefits, such termination of employment must occur within 24 months after a Change in Control of the Company;</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Executive’s Termination Date occurs while this Agreement is in effect; and</w:t>
      </w:r>
    </w:p>
    <w:p>
      <w:pPr>
        <w:spacing w:after="0" w:line="171" w:lineRule="exact"/>
        <w:rPr>
          <w:rFonts w:ascii="Arial" w:cs="Arial" w:eastAsia="Arial" w:hAnsi="Arial"/>
          <w:sz w:val="18"/>
          <w:szCs w:val="18"/>
          <w:color w:val="auto"/>
        </w:rPr>
      </w:pPr>
    </w:p>
    <w:p>
      <w:pPr>
        <w:ind w:right="80" w:firstLine="921"/>
        <w:spacing w:after="0" w:line="268" w:lineRule="auto"/>
        <w:tabs>
          <w:tab w:leader="none" w:pos="115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 Notice of Termination is provided in a timely manner (as described in Section 1(g)) prior to the Executive’s Termination Date by the Company (in the case of termination other than for Disability or Cause) or the Executive (in the case of termination for Good Reason).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22" w:name="page123"/>
    <w:bookmarkEnd w:id="122"/>
    <w:p>
      <w:pPr>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Executive’s employment shall be deemed to have terminated for Cause if, after the Executive’s Termination Date, facts and circumstances are discovered that would have justified a termination for Cause. In such event, the Company shall immediately cease any and all payments and benefits being paid or provided to the Executive under Section 3 and the Executive shall repay to the Company within thirty (30) days all amounts previously paid to him or her pursuant to Section 3.</w:t>
      </w:r>
    </w:p>
    <w:p>
      <w:pPr>
        <w:spacing w:after="0" w:line="88" w:lineRule="exact"/>
        <w:rPr>
          <w:sz w:val="20"/>
          <w:szCs w:val="20"/>
          <w:color w:val="auto"/>
        </w:rPr>
      </w:pPr>
    </w:p>
    <w:p>
      <w:pPr>
        <w:ind w:right="340"/>
        <w:spacing w:after="0" w:line="294" w:lineRule="auto"/>
        <w:rPr>
          <w:sz w:val="20"/>
          <w:szCs w:val="20"/>
          <w:color w:val="auto"/>
        </w:rPr>
      </w:pPr>
      <w:r>
        <w:rPr>
          <w:rFonts w:ascii="Arial" w:cs="Arial" w:eastAsia="Arial" w:hAnsi="Arial"/>
          <w:sz w:val="16"/>
          <w:szCs w:val="16"/>
          <w:color w:val="auto"/>
        </w:rPr>
        <w:t>Nothing in this Agreement is intended to create or imply a promise or contract of employment for a specified term and either Executive or the Company may terminate the employment relationship at any time, with or without Cause or Good Reason, and with or without notice; provided, however, that the Executive shall not be entitled to any benefits under this Agreement in the event his or her employment is terminated by the Company for Disability or Cause, by the Executive other than for Good Reason or following the Executive’s death or the expiration of this Agreement. This Agreement shall have no effect on any obligations that the Company may have to the Executive if his or her employment terminates under circumstances not described herein.</w:t>
      </w:r>
    </w:p>
    <w:p>
      <w:pPr>
        <w:spacing w:after="0" w:line="116" w:lineRule="exact"/>
        <w:rPr>
          <w:sz w:val="20"/>
          <w:szCs w:val="20"/>
          <w:color w:val="auto"/>
        </w:rPr>
      </w:pPr>
    </w:p>
    <w:p>
      <w:pPr>
        <w:jc w:val="both"/>
        <w:ind w:right="140" w:firstLine="464"/>
        <w:spacing w:after="0" w:line="259" w:lineRule="auto"/>
        <w:tabs>
          <w:tab w:leader="none" w:pos="632"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Benefits Upon Termination of Employment</w:t>
      </w:r>
      <w:r>
        <w:rPr>
          <w:rFonts w:ascii="Arial" w:cs="Arial" w:eastAsia="Arial" w:hAnsi="Arial"/>
          <w:sz w:val="18"/>
          <w:szCs w:val="18"/>
          <w:color w:val="auto"/>
        </w:rPr>
        <w:t>. Notwithstanding the provisions of Section 2 above, in order to receive the benefits described in paragraphs (b), (c), (d) and (e) below, the Executive must timely deliver and not revoke an executed release of legal claims against the Company and its affiliates within the timelines set forth therein.</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1"/>
          <w:numId w:val="101"/>
        </w:numPr>
        <w:rPr>
          <w:rFonts w:ascii="Arial" w:cs="Arial" w:eastAsia="Arial" w:hAnsi="Arial"/>
          <w:sz w:val="16"/>
          <w:szCs w:val="16"/>
          <w:color w:val="auto"/>
        </w:rPr>
      </w:pPr>
      <w:r>
        <w:rPr>
          <w:rFonts w:ascii="Arial" w:cs="Arial" w:eastAsia="Arial" w:hAnsi="Arial"/>
          <w:sz w:val="16"/>
          <w:szCs w:val="16"/>
          <w:u w:val="single" w:color="auto"/>
          <w:color w:val="auto"/>
        </w:rPr>
        <w:t>Accrued Pay</w:t>
      </w:r>
      <w:r>
        <w:rPr>
          <w:rFonts w:ascii="Arial" w:cs="Arial" w:eastAsia="Arial" w:hAnsi="Arial"/>
          <w:sz w:val="16"/>
          <w:szCs w:val="16"/>
          <w:color w:val="auto"/>
        </w:rPr>
        <w:t>. The Company shall pay the Executive any base salary or vacation accrued but unpaid through his or her Termination Date.</w:t>
      </w:r>
    </w:p>
    <w:p>
      <w:pPr>
        <w:spacing w:after="0" w:line="188" w:lineRule="exact"/>
        <w:rPr>
          <w:rFonts w:ascii="Arial" w:cs="Arial" w:eastAsia="Arial" w:hAnsi="Arial"/>
          <w:sz w:val="16"/>
          <w:szCs w:val="16"/>
          <w:color w:val="auto"/>
        </w:rPr>
      </w:pPr>
    </w:p>
    <w:p>
      <w:pPr>
        <w:ind w:right="200" w:firstLine="921"/>
        <w:spacing w:after="0" w:line="275" w:lineRule="auto"/>
        <w:tabs>
          <w:tab w:leader="none" w:pos="1161"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Severance Pay</w:t>
      </w:r>
      <w:r>
        <w:rPr>
          <w:rFonts w:ascii="Arial" w:cs="Arial" w:eastAsia="Arial" w:hAnsi="Arial"/>
          <w:sz w:val="18"/>
          <w:szCs w:val="18"/>
          <w:color w:val="auto"/>
        </w:rPr>
        <w:t xml:space="preserve">. The Company shall pay severance benefits to the Executive equal to the product of </w:t>
      </w:r>
      <w:r>
        <w:rPr>
          <w:rFonts w:ascii="Arial" w:cs="Arial" w:eastAsia="Arial" w:hAnsi="Arial"/>
          <w:sz w:val="18"/>
          <w:szCs w:val="18"/>
          <w:b w:val="1"/>
          <w:bCs w:val="1"/>
          <w:color w:val="auto"/>
        </w:rPr>
        <w:t>[one and one-half (1.5)][two (2)]</w:t>
      </w:r>
      <w:r>
        <w:rPr>
          <w:rFonts w:ascii="Arial" w:cs="Arial" w:eastAsia="Arial" w:hAnsi="Arial"/>
          <w:sz w:val="18"/>
          <w:szCs w:val="18"/>
          <w:color w:val="auto"/>
        </w:rPr>
        <w:t xml:space="preserve"> times the sum of the following amounts, subject to any applicable limitations in Sections 3(f) and 3(g) below:</w:t>
      </w:r>
    </w:p>
    <w:p>
      <w:pPr>
        <w:spacing w:after="0" w:line="44" w:lineRule="exact"/>
        <w:rPr>
          <w:rFonts w:ascii="Arial" w:cs="Arial" w:eastAsia="Arial" w:hAnsi="Arial"/>
          <w:sz w:val="18"/>
          <w:szCs w:val="18"/>
          <w:color w:val="auto"/>
        </w:rPr>
      </w:pPr>
    </w:p>
    <w:p>
      <w:pPr>
        <w:ind w:left="1560" w:hanging="219"/>
        <w:spacing w:after="0"/>
        <w:tabs>
          <w:tab w:leader="none" w:pos="156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his or her annual base salary as in effect on the Effective Date, or, if applicable, the date of a Change in Control, plus</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2"/>
          <w:numId w:val="101"/>
        </w:numPr>
        <w:rPr>
          <w:rFonts w:ascii="Arial" w:cs="Arial" w:eastAsia="Arial" w:hAnsi="Arial"/>
          <w:sz w:val="16"/>
          <w:szCs w:val="16"/>
          <w:color w:val="auto"/>
        </w:rPr>
      </w:pPr>
      <w:r>
        <w:rPr>
          <w:rFonts w:ascii="Arial" w:cs="Arial" w:eastAsia="Arial" w:hAnsi="Arial"/>
          <w:sz w:val="16"/>
          <w:szCs w:val="16"/>
          <w:color w:val="auto"/>
        </w:rPr>
        <w:t>his or her target annual bonus under the Incentive Plan in effect in the calendar year in which the Termination Date occurs, plus</w:t>
      </w:r>
    </w:p>
    <w:p>
      <w:pPr>
        <w:spacing w:after="0" w:line="113" w:lineRule="exact"/>
        <w:rPr>
          <w:rFonts w:ascii="Arial" w:cs="Arial" w:eastAsia="Arial" w:hAnsi="Arial"/>
          <w:sz w:val="16"/>
          <w:szCs w:val="16"/>
          <w:color w:val="auto"/>
        </w:rPr>
      </w:pPr>
    </w:p>
    <w:p>
      <w:pPr>
        <w:ind w:left="920" w:right="300" w:firstLine="421"/>
        <w:spacing w:after="0" w:line="256" w:lineRule="auto"/>
        <w:tabs>
          <w:tab w:leader="none" w:pos="1647" w:val="left"/>
        </w:tabs>
        <w:numPr>
          <w:ilvl w:val="2"/>
          <w:numId w:val="101"/>
        </w:numPr>
        <w:rPr>
          <w:rFonts w:ascii="Arial" w:cs="Arial" w:eastAsia="Arial" w:hAnsi="Arial"/>
          <w:sz w:val="18"/>
          <w:szCs w:val="18"/>
          <w:color w:val="auto"/>
        </w:rPr>
      </w:pPr>
      <w:r>
        <w:rPr>
          <w:rFonts w:ascii="Arial" w:cs="Arial" w:eastAsia="Arial" w:hAnsi="Arial"/>
          <w:sz w:val="18"/>
          <w:szCs w:val="18"/>
          <w:color w:val="auto"/>
        </w:rPr>
        <w:t>the amount that would have been required to be allocated to the Executive’s account (assuming that he elected the maximum employee contribution) for the year immediately preceding the year in which the Termination Date occurs under the Company’s 401(k) retirement plan, including the Company 401(k) matching contribution, and the profit-sharing provisions of the Company’s Supplemental Plan (the “Supplemental Plan”);</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Such severance amounts described above shall be paid to the Executive in regular installments through the Company’s normal payroll process and on the Company’s normal payroll dates commencing within 90 days following his or her Termination Date; provided,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23" w:name="page124"/>
    <w:bookmarkEnd w:id="123"/>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however, that if such 90-day period begins in a first taxable year and ends in a second taxable year, such severance amounts shall commence no earlier than the first payroll date of the second taxable year.</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Notwithstanding anything to the contrary in this Section 3(b), for purposes of calculating a Change in Control Benefit, the multiplier in Section 3(b) above shall be changed to </w:t>
      </w:r>
      <w:r>
        <w:rPr>
          <w:rFonts w:ascii="Arial" w:cs="Arial" w:eastAsia="Arial" w:hAnsi="Arial"/>
          <w:sz w:val="18"/>
          <w:szCs w:val="18"/>
          <w:b w:val="1"/>
          <w:bCs w:val="1"/>
          <w:color w:val="auto"/>
        </w:rPr>
        <w:t>[two (2)][three (3)]</w:t>
      </w:r>
      <w:r>
        <w:rPr>
          <w:rFonts w:ascii="Arial" w:cs="Arial" w:eastAsia="Arial" w:hAnsi="Arial"/>
          <w:sz w:val="18"/>
          <w:szCs w:val="18"/>
          <w:color w:val="auto"/>
        </w:rPr>
        <w:t xml:space="preserve"> and the severance benefit shall be paid to the Executive in a single lump sum payment within 30 days following the Executive’s Termination Date; provided, however, that if such 30-day period begins in a first taxable year and ends in a second taxable year, such lump sum payment shall be paid to the Executive in the second taxable year.</w:t>
      </w:r>
    </w:p>
    <w:p>
      <w:pPr>
        <w:spacing w:after="0" w:line="143" w:lineRule="exact"/>
        <w:rPr>
          <w:sz w:val="20"/>
          <w:szCs w:val="20"/>
          <w:color w:val="auto"/>
        </w:rPr>
      </w:pPr>
    </w:p>
    <w:p>
      <w:pPr>
        <w:ind w:right="40" w:firstLine="921"/>
        <w:spacing w:after="0" w:line="289" w:lineRule="auto"/>
        <w:tabs>
          <w:tab w:leader="none" w:pos="1152"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Continued Benefits Coverage</w:t>
      </w:r>
      <w:r>
        <w:rPr>
          <w:rFonts w:ascii="Arial" w:cs="Arial" w:eastAsia="Arial" w:hAnsi="Arial"/>
          <w:sz w:val="16"/>
          <w:szCs w:val="16"/>
          <w:color w:val="auto"/>
        </w:rPr>
        <w:t>. The Company shall maintain for the Executive’s benefit all employee life, health, accident, and medical plan coverage(s) that Executive was receiving immediately prior to his or her Termination Date, provided that his or her continued participation is allowed under the terms of such plans. The Company shall maintain such coverage(s) following the Executive’s Termination Date for [18][24] months, or, if the Executive is entitled to a Change in Control Benefit, [two (2)][three (3)] years. With respect to any continued health coverage (medical, dental and vision), the Executive shall be required to pay the applicable active employee rate of coverage for similar coverage, and such coverage shall run concurrent with coverage required to be provided under the Consolidated Omnibus Budget Reconciliation Act of 1985 (“COBRA”). If the Company continues to provide the continued health coverage described in this Section 3(c) after the applicable period of COBRA coverage would have otherwise expired, the Executive may be taxed on the value of such coverage. No other welfare or fringe benefits shall be provided except as specifically provided in this Section 3(c).</w:t>
      </w:r>
    </w:p>
    <w:p>
      <w:pPr>
        <w:spacing w:after="0" w:line="118" w:lineRule="exact"/>
        <w:rPr>
          <w:rFonts w:ascii="Arial" w:cs="Arial" w:eastAsia="Arial" w:hAnsi="Arial"/>
          <w:sz w:val="16"/>
          <w:szCs w:val="16"/>
          <w:color w:val="auto"/>
        </w:rPr>
      </w:pPr>
    </w:p>
    <w:p>
      <w:pPr>
        <w:ind w:right="20" w:firstLine="921"/>
        <w:spacing w:after="0" w:line="268" w:lineRule="auto"/>
        <w:tabs>
          <w:tab w:leader="none" w:pos="1161"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Incentive Compensation</w:t>
      </w:r>
      <w:r>
        <w:rPr>
          <w:rFonts w:ascii="Arial" w:cs="Arial" w:eastAsia="Arial" w:hAnsi="Arial"/>
          <w:sz w:val="18"/>
          <w:szCs w:val="18"/>
          <w:color w:val="auto"/>
        </w:rPr>
        <w:t>. The following amounts shall become payable to the Executive following his or her Termination Date, as of the date that annual incentive awards are normally paid by the Company:</w:t>
      </w:r>
    </w:p>
    <w:p>
      <w:pPr>
        <w:spacing w:after="0" w:line="50" w:lineRule="exact"/>
        <w:rPr>
          <w:rFonts w:ascii="Arial" w:cs="Arial" w:eastAsia="Arial" w:hAnsi="Arial"/>
          <w:sz w:val="18"/>
          <w:szCs w:val="18"/>
          <w:color w:val="auto"/>
        </w:rPr>
      </w:pPr>
    </w:p>
    <w:p>
      <w:pPr>
        <w:ind w:left="920" w:right="540" w:firstLine="421"/>
        <w:spacing w:after="0" w:line="268" w:lineRule="auto"/>
        <w:tabs>
          <w:tab w:leader="none" w:pos="1549"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unpaid amounts awarded to the Executive as incentive compensation under the Incentive Plan for the calendar year immediately preceding the year in which the Termination Date occurs; and</w:t>
      </w:r>
    </w:p>
    <w:p>
      <w:pPr>
        <w:spacing w:after="0" w:line="50" w:lineRule="exact"/>
        <w:rPr>
          <w:rFonts w:ascii="Arial" w:cs="Arial" w:eastAsia="Arial" w:hAnsi="Arial"/>
          <w:sz w:val="18"/>
          <w:szCs w:val="18"/>
          <w:color w:val="auto"/>
        </w:rPr>
      </w:pPr>
    </w:p>
    <w:p>
      <w:pPr>
        <w:ind w:left="920" w:firstLine="421"/>
        <w:spacing w:after="0" w:line="332" w:lineRule="auto"/>
        <w:tabs>
          <w:tab w:leader="none" w:pos="1598"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an amount equal to the award the Executive would have received under the Incentive Plan based upon actual Company performance for the calendar year in which the Termination Date occurs, prorated for the portion of the calendar year during which the Executive was employed.</w:t>
      </w:r>
    </w:p>
    <w:p>
      <w:pPr>
        <w:spacing w:after="0" w:line="85" w:lineRule="exact"/>
        <w:rPr>
          <w:rFonts w:ascii="Arial" w:cs="Arial" w:eastAsia="Arial" w:hAnsi="Arial"/>
          <w:sz w:val="16"/>
          <w:szCs w:val="16"/>
          <w:color w:val="auto"/>
        </w:rPr>
      </w:pPr>
    </w:p>
    <w:p>
      <w:pPr>
        <w:ind w:right="120" w:firstLine="921"/>
        <w:spacing w:after="0" w:line="318" w:lineRule="auto"/>
        <w:tabs>
          <w:tab w:leader="none" w:pos="1152" w:val="left"/>
        </w:tabs>
        <w:numPr>
          <w:ilvl w:val="0"/>
          <w:numId w:val="102"/>
        </w:numPr>
        <w:rPr>
          <w:rFonts w:ascii="Arial" w:cs="Arial" w:eastAsia="Arial" w:hAnsi="Arial"/>
          <w:sz w:val="15"/>
          <w:szCs w:val="15"/>
          <w:color w:val="auto"/>
        </w:rPr>
      </w:pPr>
      <w:r>
        <w:rPr>
          <w:rFonts w:ascii="Arial" w:cs="Arial" w:eastAsia="Arial" w:hAnsi="Arial"/>
          <w:sz w:val="15"/>
          <w:szCs w:val="15"/>
          <w:u w:val="single" w:color="auto"/>
          <w:color w:val="auto"/>
        </w:rPr>
        <w:t>Unvested Retirement Savings Benefits</w:t>
      </w:r>
      <w:r>
        <w:rPr>
          <w:rFonts w:ascii="Arial" w:cs="Arial" w:eastAsia="Arial" w:hAnsi="Arial"/>
          <w:sz w:val="15"/>
          <w:szCs w:val="15"/>
          <w:color w:val="auto"/>
        </w:rPr>
        <w:t>. If the Executive is entitled to a Change in Control Benefit, the Company shall pay to the Executive as additional severance pay in a lump sum an amount, if any, equal to the nonvested portion of his or her account balances under the Company’s 401(k) retirement plan and the defined contribution plan of any affiliate of the Company in which there is maintained for him or her an account balance which is not fully vested. Such payment shall be paid to the Executive in a lump sum payment within 30 days following the Executive’s Termination Date; provided, however, that if such 30-day period begins in a first taxable year and ends in a second taxable year, such lump sum payment shall be paid to the Executive in the second taxable year.</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24" w:name="page125"/>
    <w:bookmarkEnd w:id="124"/>
    <w:p>
      <w:pPr>
        <w:ind w:left="-20" w:firstLine="921"/>
        <w:spacing w:after="0" w:line="268" w:lineRule="auto"/>
        <w:tabs>
          <w:tab w:leader="none" w:pos="1112"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 Withholding</w:t>
      </w:r>
      <w:r>
        <w:rPr>
          <w:rFonts w:ascii="Arial" w:cs="Arial" w:eastAsia="Arial" w:hAnsi="Arial"/>
          <w:sz w:val="18"/>
          <w:szCs w:val="18"/>
          <w:color w:val="auto"/>
        </w:rPr>
        <w:t>. The Company may withhold from any benefits payable under this Agreement any applicable federal, state, city or other taxes as required by law.</w:t>
      </w:r>
    </w:p>
    <w:p>
      <w:pPr>
        <w:spacing w:after="0" w:line="131" w:lineRule="exact"/>
        <w:rPr>
          <w:rFonts w:ascii="Arial" w:cs="Arial" w:eastAsia="Arial" w:hAnsi="Arial"/>
          <w:sz w:val="18"/>
          <w:szCs w:val="18"/>
          <w:color w:val="auto"/>
        </w:rPr>
      </w:pPr>
    </w:p>
    <w:p>
      <w:pPr>
        <w:ind w:left="-20" w:right="260" w:firstLine="921"/>
        <w:spacing w:after="0" w:line="298" w:lineRule="auto"/>
        <w:tabs>
          <w:tab w:leader="none" w:pos="1141" w:val="left"/>
        </w:tabs>
        <w:numPr>
          <w:ilvl w:val="1"/>
          <w:numId w:val="103"/>
        </w:numPr>
        <w:rPr>
          <w:rFonts w:ascii="Arial" w:cs="Arial" w:eastAsia="Arial" w:hAnsi="Arial"/>
          <w:sz w:val="16"/>
          <w:szCs w:val="16"/>
          <w:color w:val="auto"/>
        </w:rPr>
      </w:pPr>
      <w:r>
        <w:rPr>
          <w:rFonts w:ascii="Arial" w:cs="Arial" w:eastAsia="Arial" w:hAnsi="Arial"/>
          <w:sz w:val="16"/>
          <w:szCs w:val="16"/>
          <w:u w:val="single" w:color="auto"/>
          <w:color w:val="auto"/>
        </w:rPr>
        <w:t>Time of Payment for Specified Employees</w:t>
      </w:r>
      <w:r>
        <w:rPr>
          <w:rFonts w:ascii="Arial" w:cs="Arial" w:eastAsia="Arial" w:hAnsi="Arial"/>
          <w:sz w:val="16"/>
          <w:szCs w:val="16"/>
          <w:color w:val="auto"/>
        </w:rPr>
        <w:t>. Notwithstanding any provision of this Section 3 to the contrary, if the Executive is a “specified employee” of the Company (as defined in Section 409A of the Code), amounts that would otherwise have been paid to or on behalf of the Executive under the foregoing provisions of this Section 3 (but excluding amounts described in paragraph 3(c) above) during the six-month period immediately following the Termination Date shall be paid on the first regular payroll date immediately following the six-month anniversary of the Termination Date.</w:t>
      </w:r>
    </w:p>
    <w:p>
      <w:pPr>
        <w:spacing w:after="0" w:line="112" w:lineRule="exact"/>
        <w:rPr>
          <w:rFonts w:ascii="Arial" w:cs="Arial" w:eastAsia="Arial" w:hAnsi="Arial"/>
          <w:sz w:val="16"/>
          <w:szCs w:val="16"/>
          <w:color w:val="auto"/>
        </w:rPr>
      </w:pPr>
    </w:p>
    <w:p>
      <w:pPr>
        <w:ind w:left="-20" w:right="140" w:firstLine="921"/>
        <w:spacing w:after="0" w:line="306" w:lineRule="auto"/>
        <w:tabs>
          <w:tab w:leader="none" w:pos="1141" w:val="left"/>
        </w:tabs>
        <w:numPr>
          <w:ilvl w:val="1"/>
          <w:numId w:val="103"/>
        </w:numPr>
        <w:rPr>
          <w:rFonts w:ascii="Arial" w:cs="Arial" w:eastAsia="Arial" w:hAnsi="Arial"/>
          <w:sz w:val="16"/>
          <w:szCs w:val="16"/>
          <w:color w:val="auto"/>
        </w:rPr>
      </w:pPr>
      <w:r>
        <w:rPr>
          <w:rFonts w:ascii="Arial" w:cs="Arial" w:eastAsia="Arial" w:hAnsi="Arial"/>
          <w:sz w:val="16"/>
          <w:szCs w:val="16"/>
          <w:u w:val="single" w:color="auto"/>
          <w:color w:val="auto"/>
        </w:rPr>
        <w:t>No Duty to Mitigate</w:t>
      </w:r>
      <w:r>
        <w:rPr>
          <w:rFonts w:ascii="Arial" w:cs="Arial" w:eastAsia="Arial" w:hAnsi="Arial"/>
          <w:sz w:val="16"/>
          <w:szCs w:val="16"/>
          <w:color w:val="auto"/>
        </w:rPr>
        <w:t>. The Executive shall not be required to mitigate the amount of any payment provided for in this Section 3 by seeking other employment or otherwise, nor shall the amount of any payment provided for in this Section 3 be reduced by any compensation earned by the Executive as the result of employment by another employer after the Termination Date or by any other compensation.</w:t>
      </w:r>
    </w:p>
    <w:p>
      <w:pPr>
        <w:spacing w:after="0" w:line="106" w:lineRule="exact"/>
        <w:rPr>
          <w:rFonts w:ascii="Arial" w:cs="Arial" w:eastAsia="Arial" w:hAnsi="Arial"/>
          <w:sz w:val="16"/>
          <w:szCs w:val="16"/>
          <w:color w:val="auto"/>
        </w:rPr>
      </w:pPr>
    </w:p>
    <w:p>
      <w:pPr>
        <w:ind w:left="-20" w:right="60" w:firstLine="921"/>
        <w:spacing w:after="0" w:line="291" w:lineRule="auto"/>
        <w:tabs>
          <w:tab w:leader="none" w:pos="1102" w:val="left"/>
        </w:tabs>
        <w:numPr>
          <w:ilvl w:val="1"/>
          <w:numId w:val="103"/>
        </w:numPr>
        <w:rPr>
          <w:rFonts w:ascii="Arial" w:cs="Arial" w:eastAsia="Arial" w:hAnsi="Arial"/>
          <w:sz w:val="16"/>
          <w:szCs w:val="16"/>
          <w:color w:val="auto"/>
        </w:rPr>
      </w:pPr>
      <w:r>
        <w:rPr>
          <w:rFonts w:ascii="Arial" w:cs="Arial" w:eastAsia="Arial" w:hAnsi="Arial"/>
          <w:sz w:val="16"/>
          <w:szCs w:val="16"/>
          <w:u w:val="single" w:color="auto"/>
          <w:color w:val="auto"/>
        </w:rPr>
        <w:t>No Other Severance Benefits</w:t>
      </w:r>
      <w:r>
        <w:rPr>
          <w:rFonts w:ascii="Arial" w:cs="Arial" w:eastAsia="Arial" w:hAnsi="Arial"/>
          <w:sz w:val="16"/>
          <w:szCs w:val="16"/>
          <w:color w:val="auto"/>
        </w:rPr>
        <w:t>. This Agreement sets forth the entire agreement of the parties hereto in respect of the subject matter contained herein and supersedes all prior agreements, promises, covenants, arrangements, communications, representations or warranties, whether oral or written, by any officer, employee or representative of the Company, its affiliates or any of their predecessors, including but not limited to any severance pay program or other documents covering salaried or executive employees generally maintained by the Company, any of its affiliates or subsidiaries. To the extent severance payments or benefits are required under any applicable local law or otherwise, benefits payable under this Agreement shall be reduced to the extent of any such severance payments or benefits (including, but not limited to, any laws requiring payment in lieu of notice upon the Executive’s termination of employment).</w:t>
      </w:r>
    </w:p>
    <w:p>
      <w:pPr>
        <w:spacing w:after="0" w:line="120" w:lineRule="exact"/>
        <w:rPr>
          <w:rFonts w:ascii="Arial" w:cs="Arial" w:eastAsia="Arial" w:hAnsi="Arial"/>
          <w:sz w:val="16"/>
          <w:szCs w:val="16"/>
          <w:color w:val="auto"/>
        </w:rPr>
      </w:pPr>
    </w:p>
    <w:p>
      <w:pPr>
        <w:ind w:left="-20" w:right="40" w:firstLine="464"/>
        <w:spacing w:after="0" w:line="287" w:lineRule="auto"/>
        <w:tabs>
          <w:tab w:leader="none" w:pos="612"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Certain Reductions Due to Section 280G</w:t>
      </w:r>
      <w:r>
        <w:rPr>
          <w:rFonts w:ascii="Arial" w:cs="Arial" w:eastAsia="Arial" w:hAnsi="Arial"/>
          <w:sz w:val="16"/>
          <w:szCs w:val="16"/>
          <w:color w:val="auto"/>
        </w:rPr>
        <w:t>. Notwithstanding any provision of this Agreement to the contrary, in the event it shall be (or is subsequently) determined that any payment, distribution or acceleration of vesting by the Company to or for the benefit of the Executive (whether pursuant to the terms of this Agreement or otherwise (any such payment, distribution or acceleration of vesting being referred to as a “Payment”) would be subject to the excise tax imposed by Section 4999 of the Code (the “Excise Tax”), then the Change in Control Benefit payable to the Executive under this Agreement shall be reduced (or appropriately adjusted) to an amount that is one dollar less than the smallest amount that would give rise to the Excise Tax (the “Reduced Amount”) if such Reduced Amount would be greater than the net after-tax proceeds (taking into account both the Excise Tax and any interest or penalties payable with respect to the Excise Tax) of the unreduced Change in Control Benefit payable to the Executive. If the Change in Control Benefit is required to be reduced pursuant to this Section 4, there shall be no discretion in the ordering of the Payments payable under this Agreement so reduced, and such reductions shall be applied in the order which results in the best economic benefit to Executive; and to the extent such ordering of reductions is economically equivalent, such Payments shall be reduced on a pro rata basis.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60" w:top="280" w:right="259" w:bottom="1440" w:gutter="0" w:footer="0" w:header="0"/>
        </w:sectPr>
      </w:pPr>
    </w:p>
    <w:bookmarkStart w:id="125" w:name="page126"/>
    <w:bookmarkEnd w:id="125"/>
    <w:p>
      <w:pPr>
        <w:ind w:left="-60" w:firstLine="464"/>
        <w:spacing w:after="0" w:line="307" w:lineRule="auto"/>
        <w:tabs>
          <w:tab w:leader="none" w:pos="572" w:val="left"/>
        </w:tabs>
        <w:numPr>
          <w:ilvl w:val="0"/>
          <w:numId w:val="105"/>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409A</w:t>
      </w:r>
      <w:r>
        <w:rPr>
          <w:rFonts w:ascii="Arial" w:cs="Arial" w:eastAsia="Arial" w:hAnsi="Arial"/>
          <w:sz w:val="15"/>
          <w:szCs w:val="15"/>
          <w:color w:val="auto"/>
        </w:rPr>
        <w:t>. This Agreement is intended to comply with the requirements of Section 409A of the Code and shall be interpreted and construed consistently with such intent. The payments to the Executive pursuant to this Agreement are also intended to be exempt from Section 409A of the Code to the maximum extent possible, under either the separation pay exemption pursuant to Treasury regulation §1.409A-1(b)(9)(iii) or as short-term deferrals pursuant to Treasury regulation §1.409A-1(b)(4), and for this purpose each payment shall constitute a “separately identified” amount within the meaning of Treasury Regulation §1.409A-2(b)(2). Notwithstanding anything in this Agreement to the contrary, in the event that any amounts payable (or benefits provided) under this Agreement are subject to the provisions of Section 409A of the Code, to the extent determined necessary, the parties agree to amend this Agreement in the least restrictive manner necessary to avoid imposition of any additional tax or income recognition on the Executive under Section 409A of the Code, the final Treasury Regulations and other Internal Revenue Service guidance thereunder (“409A Penalties”); provided, that in no event shall the Company be responsible for any 409A Penalties that arise in connection with any amounts payable under this Agreement. In addition, to the extent necessary to comply with Section 409A of the Code, references to termination of employment (and similar phrases) in this Agreement shall be interpreted in a manner that is consistent with the term “separation from service” under Section 409A(a) (2)(A)(i) of the Code and final Treasury Regulations and other Internal Revenue Service guidance thereunder.</w:t>
      </w:r>
    </w:p>
    <w:p>
      <w:pPr>
        <w:spacing w:after="0" w:line="111" w:lineRule="exact"/>
        <w:rPr>
          <w:rFonts w:ascii="Arial" w:cs="Arial" w:eastAsia="Arial" w:hAnsi="Arial"/>
          <w:sz w:val="15"/>
          <w:szCs w:val="15"/>
          <w:color w:val="auto"/>
        </w:rPr>
      </w:pPr>
    </w:p>
    <w:p>
      <w:pPr>
        <w:ind w:left="580" w:hanging="176"/>
        <w:spacing w:after="0"/>
        <w:tabs>
          <w:tab w:leader="none" w:pos="58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0" w:right="20" w:firstLine="921"/>
        <w:spacing w:after="0" w:line="254" w:lineRule="auto"/>
        <w:tabs>
          <w:tab w:leader="none" w:pos="1092"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The Executive acknowledges that he or she will have access to highly confidential information of the Company and its affiliates, including, but not limited to: financial information, supply and service information, marketing information, personnel data, customer lists, business and financial plans and strategies, and product costs, sources and pricing. The Company and the Executive consider it imperative that all such information (“Confidential Trade Secrets”) be held in complete confidence and trust. Accordingly, the Executive agrees that, notwithstanding any other provision of this Agreement to the contrary, during and following the Executive’s Termination Date with the Company, regardless of the reasons that such employment might end, the Executive will:</w:t>
      </w:r>
    </w:p>
    <w:p>
      <w:pPr>
        <w:spacing w:after="0" w:line="63" w:lineRule="exact"/>
        <w:rPr>
          <w:rFonts w:ascii="Arial" w:cs="Arial" w:eastAsia="Arial" w:hAnsi="Arial"/>
          <w:sz w:val="18"/>
          <w:szCs w:val="18"/>
          <w:color w:val="auto"/>
        </w:rPr>
      </w:pPr>
    </w:p>
    <w:p>
      <w:pPr>
        <w:ind w:left="860" w:right="180" w:firstLine="421"/>
        <w:spacing w:after="0" w:line="268" w:lineRule="auto"/>
        <w:tabs>
          <w:tab w:leader="none" w:pos="1489" w:val="left"/>
        </w:tabs>
        <w:numPr>
          <w:ilvl w:val="2"/>
          <w:numId w:val="105"/>
        </w:numPr>
        <w:rPr>
          <w:rFonts w:ascii="Arial" w:cs="Arial" w:eastAsia="Arial" w:hAnsi="Arial"/>
          <w:sz w:val="18"/>
          <w:szCs w:val="18"/>
          <w:color w:val="auto"/>
        </w:rPr>
      </w:pPr>
      <w:r>
        <w:rPr>
          <w:rFonts w:ascii="Arial" w:cs="Arial" w:eastAsia="Arial" w:hAnsi="Arial"/>
          <w:sz w:val="18"/>
          <w:szCs w:val="18"/>
          <w:color w:val="auto"/>
        </w:rPr>
        <w:t>hold all Confidential Trade Secrets in confidence and not discuss, communicate, disclose or transmit to others, or make any unauthorized copy of or use the Confidential Trade Secrets in any capacity, position or business unrelated to the Company;</w:t>
      </w:r>
    </w:p>
    <w:p>
      <w:pPr>
        <w:spacing w:after="0" w:line="50" w:lineRule="exact"/>
        <w:rPr>
          <w:rFonts w:ascii="Arial" w:cs="Arial" w:eastAsia="Arial" w:hAnsi="Arial"/>
          <w:sz w:val="18"/>
          <w:szCs w:val="18"/>
          <w:color w:val="auto"/>
        </w:rPr>
      </w:pPr>
    </w:p>
    <w:p>
      <w:pPr>
        <w:ind w:left="1540" w:hanging="259"/>
        <w:spacing w:after="0"/>
        <w:tabs>
          <w:tab w:leader="none" w:pos="154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use the Confidential Trade Secrets only in furtherance of proper Company employment related business reasons; and</w:t>
      </w:r>
    </w:p>
    <w:p>
      <w:pPr>
        <w:spacing w:after="0" w:line="90" w:lineRule="exact"/>
        <w:rPr>
          <w:rFonts w:ascii="Arial" w:cs="Arial" w:eastAsia="Arial" w:hAnsi="Arial"/>
          <w:sz w:val="18"/>
          <w:szCs w:val="18"/>
          <w:color w:val="auto"/>
        </w:rPr>
      </w:pPr>
    </w:p>
    <w:p>
      <w:pPr>
        <w:ind w:left="860" w:firstLine="421"/>
        <w:spacing w:after="0" w:line="268" w:lineRule="auto"/>
        <w:tabs>
          <w:tab w:leader="none" w:pos="1587" w:val="left"/>
        </w:tabs>
        <w:numPr>
          <w:ilvl w:val="2"/>
          <w:numId w:val="105"/>
        </w:numPr>
        <w:rPr>
          <w:rFonts w:ascii="Arial" w:cs="Arial" w:eastAsia="Arial" w:hAnsi="Arial"/>
          <w:sz w:val="18"/>
          <w:szCs w:val="18"/>
          <w:color w:val="auto"/>
        </w:rPr>
      </w:pPr>
      <w:r>
        <w:rPr>
          <w:rFonts w:ascii="Arial" w:cs="Arial" w:eastAsia="Arial" w:hAnsi="Arial"/>
          <w:sz w:val="18"/>
          <w:szCs w:val="18"/>
          <w:color w:val="auto"/>
        </w:rPr>
        <w:t>take all reasonable action that the Company deems necessary and appropriate to prevent unauthorized use or disclosure of or to protect the Confidential Trade Secrets.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300" w:top="280" w:right="299" w:bottom="1440" w:gutter="0" w:footer="0" w:header="0"/>
        </w:sectPr>
      </w:pPr>
    </w:p>
    <w:bookmarkStart w:id="126" w:name="page127"/>
    <w:bookmarkEnd w:id="126"/>
    <w:p>
      <w:pPr>
        <w:ind w:right="2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it is understood and agreed that the Executive’s obligations under this Section 6(a) do not extend to any knowledge or information which is or may become available to the public or to competitors other than by disclosure by the Executive in breach of this Agreement nor to any information the Executive may learn or develop independent of the Confidential Trade Secrets, nor to disclosure compelled by judicial or administrative proceeding after the Executive diligently tries to avoid each disclosure and affords the Company the opportunity to obtain assurance that compelled disclosures will receive confidential treatment.</w:t>
      </w:r>
    </w:p>
    <w:p>
      <w:pPr>
        <w:spacing w:after="0" w:line="143" w:lineRule="exact"/>
        <w:rPr>
          <w:sz w:val="20"/>
          <w:szCs w:val="20"/>
          <w:color w:val="auto"/>
        </w:rPr>
      </w:pPr>
    </w:p>
    <w:p>
      <w:pPr>
        <w:ind w:right="20" w:firstLine="921"/>
        <w:spacing w:after="0" w:line="289" w:lineRule="auto"/>
        <w:tabs>
          <w:tab w:leader="none" w:pos="1161"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Loyalty; Non-Solicitation</w:t>
      </w:r>
      <w:r>
        <w:rPr>
          <w:rFonts w:ascii="Arial" w:cs="Arial" w:eastAsia="Arial" w:hAnsi="Arial"/>
          <w:sz w:val="16"/>
          <w:szCs w:val="16"/>
          <w:color w:val="auto"/>
        </w:rPr>
        <w:t>. The Executive further acknowledges that the loyalty and dedicated service of the Company’s and its affiliates’ employees is critical to the Company’s business. Accordingly, the Executive agrees that during and for a period of twelve (12) months after the Executive’s Termination Date, regardless of the reasons for the termination of employment, he or she will not, without the prior written consent of the Company, induce or attempt to induce any employee or agency representative of the Company or any of its affiliates to leave the employment or representation of the Company or of any affiliate. The Executive also agrees that during and after his or her employment, he will not take any action, or make any statements, that discredit or disparage the Company or its affiliates, or its or their officers, directors, employees or products. The Company agrees that it will not take any action or make any statements during and after Executive’s employment that discredit or disparage the Executive. The two preceding sentences shall not apply to statements made in papers filed in good faith with a court of law in connection with a lawsuit between the Executive and the Company or any of its affiliates.</w:t>
      </w:r>
    </w:p>
    <w:p>
      <w:pPr>
        <w:spacing w:after="0" w:line="118" w:lineRule="exact"/>
        <w:rPr>
          <w:rFonts w:ascii="Arial" w:cs="Arial" w:eastAsia="Arial" w:hAnsi="Arial"/>
          <w:sz w:val="16"/>
          <w:szCs w:val="16"/>
          <w:color w:val="auto"/>
        </w:rPr>
      </w:pPr>
    </w:p>
    <w:p>
      <w:pPr>
        <w:ind w:right="100" w:firstLine="921"/>
        <w:spacing w:after="0" w:line="306" w:lineRule="auto"/>
        <w:tabs>
          <w:tab w:leader="none" w:pos="1152"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The Executive acknowledges that the Company and its affiliates have invested time and money in establishing or planning to establish one or more aspects of its business throughout the United States, Australia, Canada, Asia, Mexico and Europe. Therefore, the Executive agrees that during his or her employment by the Company and for a period of 12 months after the Executive’s Termination Date, the Executive will not:</w:t>
      </w:r>
    </w:p>
    <w:p>
      <w:pPr>
        <w:spacing w:after="0" w:line="25" w:lineRule="exact"/>
        <w:rPr>
          <w:rFonts w:ascii="Arial" w:cs="Arial" w:eastAsia="Arial" w:hAnsi="Arial"/>
          <w:sz w:val="16"/>
          <w:szCs w:val="16"/>
          <w:color w:val="auto"/>
        </w:rPr>
      </w:pPr>
    </w:p>
    <w:p>
      <w:pPr>
        <w:ind w:left="920" w:firstLine="421"/>
        <w:spacing w:after="0" w:line="294" w:lineRule="auto"/>
        <w:tabs>
          <w:tab w:leader="none" w:pos="1549" w:val="left"/>
        </w:tabs>
        <w:numPr>
          <w:ilvl w:val="1"/>
          <w:numId w:val="106"/>
        </w:numPr>
        <w:rPr>
          <w:rFonts w:ascii="Arial" w:cs="Arial" w:eastAsia="Arial" w:hAnsi="Arial"/>
          <w:sz w:val="16"/>
          <w:szCs w:val="16"/>
          <w:color w:val="auto"/>
        </w:rPr>
      </w:pPr>
      <w:r>
        <w:rPr>
          <w:rFonts w:ascii="Arial" w:cs="Arial" w:eastAsia="Arial" w:hAnsi="Arial"/>
          <w:sz w:val="16"/>
          <w:szCs w:val="16"/>
          <w:color w:val="auto"/>
        </w:rPr>
        <w:t>directly or indirectly, individually engage in nor be competitively employed or retained by, or render any competing services for, or be financially interested in, any firm or corporation engaged in any business in the United States, Australia, Canada, Asia, Mexico or Europe which competes with any business in which the Company or any of its affiliates was engaged during the two-year period preceding the Executive’s Termination Date, including, but not limited to any business in which, during such two-year period, the Executive was involved in the Company’s or any affiliate’s planning to enter such business. Notwithstanding the foregoing, this restriction shall not apply to:</w:t>
      </w:r>
    </w:p>
    <w:p>
      <w:pPr>
        <w:spacing w:after="0" w:line="34" w:lineRule="exact"/>
        <w:rPr>
          <w:rFonts w:ascii="Arial" w:cs="Arial" w:eastAsia="Arial" w:hAnsi="Arial"/>
          <w:sz w:val="16"/>
          <w:szCs w:val="16"/>
          <w:color w:val="auto"/>
        </w:rPr>
      </w:pPr>
    </w:p>
    <w:p>
      <w:pPr>
        <w:ind w:left="1500" w:right="480" w:firstLine="389"/>
        <w:spacing w:after="0" w:line="268" w:lineRule="auto"/>
        <w:tabs>
          <w:tab w:leader="none" w:pos="2185" w:val="left"/>
        </w:tabs>
        <w:numPr>
          <w:ilvl w:val="2"/>
          <w:numId w:val="106"/>
        </w:numPr>
        <w:rPr>
          <w:rFonts w:ascii="Arial" w:cs="Arial" w:eastAsia="Arial" w:hAnsi="Arial"/>
          <w:sz w:val="18"/>
          <w:szCs w:val="18"/>
          <w:color w:val="auto"/>
        </w:rPr>
      </w:pPr>
      <w:r>
        <w:rPr>
          <w:rFonts w:ascii="Arial" w:cs="Arial" w:eastAsia="Arial" w:hAnsi="Arial"/>
          <w:sz w:val="18"/>
          <w:szCs w:val="18"/>
          <w:color w:val="auto"/>
        </w:rPr>
        <w:t>the purchase by the Executive of stock not to exceed 5% of the outstanding shares of capital stock or any corporation whose securities are listed on any national securities exchange; or</w:t>
      </w:r>
    </w:p>
    <w:p>
      <w:pPr>
        <w:spacing w:after="0" w:line="50" w:lineRule="exact"/>
        <w:rPr>
          <w:rFonts w:ascii="Arial" w:cs="Arial" w:eastAsia="Arial" w:hAnsi="Arial"/>
          <w:sz w:val="18"/>
          <w:szCs w:val="18"/>
          <w:color w:val="auto"/>
        </w:rPr>
      </w:pPr>
    </w:p>
    <w:p>
      <w:pPr>
        <w:ind w:left="1500" w:right="500" w:firstLine="389"/>
        <w:spacing w:after="0" w:line="268" w:lineRule="auto"/>
        <w:tabs>
          <w:tab w:leader="none" w:pos="2175" w:val="left"/>
        </w:tabs>
        <w:numPr>
          <w:ilvl w:val="2"/>
          <w:numId w:val="106"/>
        </w:numPr>
        <w:rPr>
          <w:rFonts w:ascii="Arial" w:cs="Arial" w:eastAsia="Arial" w:hAnsi="Arial"/>
          <w:sz w:val="18"/>
          <w:szCs w:val="18"/>
          <w:color w:val="auto"/>
        </w:rPr>
      </w:pPr>
      <w:r>
        <w:rPr>
          <w:rFonts w:ascii="Arial" w:cs="Arial" w:eastAsia="Arial" w:hAnsi="Arial"/>
          <w:sz w:val="18"/>
          <w:szCs w:val="18"/>
          <w:color w:val="auto"/>
        </w:rPr>
        <w:t>the employment of the Executive by a non-competitive subsidiary or non-competitive affiliated entity of a competitor of the Company upon the Company’s written consent, which consent shall not be unreasonably withheld.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127" w:name="page128"/>
    <w:bookmarkEnd w:id="127"/>
    <w:p>
      <w:pPr>
        <w:ind w:left="920" w:right="100" w:firstLine="421"/>
        <w:spacing w:after="0" w:line="259" w:lineRule="auto"/>
        <w:tabs>
          <w:tab w:leader="none" w:pos="1598" w:val="left"/>
        </w:tabs>
        <w:numPr>
          <w:ilvl w:val="0"/>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solicit business from nor directly or indirectly cause others to solicit business that competes with the Company’s line of products from any entities which have been customers of the Company during the Executive’s employment or which were targeted as potential customers during the twelve (12) months preceding the Executive’s Termination Date;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provided, however, that the provisions of this Section 6(c) shall not apply if the Executive’s Termination Date occurs after a Change in Control.</w:t>
      </w:r>
    </w:p>
    <w:p>
      <w:pPr>
        <w:spacing w:after="0" w:line="171" w:lineRule="exact"/>
        <w:rPr>
          <w:sz w:val="20"/>
          <w:szCs w:val="20"/>
          <w:color w:val="auto"/>
        </w:rPr>
      </w:pPr>
    </w:p>
    <w:p>
      <w:pPr>
        <w:ind w:left="1160" w:hanging="239"/>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Executive recognizes and agrees:</w:t>
      </w:r>
    </w:p>
    <w:p>
      <w:pPr>
        <w:spacing w:after="0" w:line="90" w:lineRule="exact"/>
        <w:rPr>
          <w:rFonts w:ascii="Arial" w:cs="Arial" w:eastAsia="Arial" w:hAnsi="Arial"/>
          <w:sz w:val="18"/>
          <w:szCs w:val="18"/>
          <w:color w:val="auto"/>
        </w:rPr>
      </w:pPr>
    </w:p>
    <w:p>
      <w:pPr>
        <w:ind w:left="920" w:right="120" w:firstLine="421"/>
        <w:spacing w:after="0" w:line="298" w:lineRule="auto"/>
        <w:tabs>
          <w:tab w:leader="none" w:pos="1549"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that the covenants and restrictions in paragraphs (a), (b) and (c) of this Section 6 are reasonable and valid and all defenses to the strict enforcement of such sections by the Company are waived by the Executive to the full extent permitted by law. In the event, however, that a court of competent jurisdiction should determine in any case that the enforcement of any provision contained in such paragraphs would not be reasonable, it is intended that enforcement of a provision which is determined by such court to be reasonable shall be given effect; and</w:t>
      </w:r>
    </w:p>
    <w:p>
      <w:pPr>
        <w:spacing w:after="0" w:line="31" w:lineRule="exact"/>
        <w:rPr>
          <w:rFonts w:ascii="Arial" w:cs="Arial" w:eastAsia="Arial" w:hAnsi="Arial"/>
          <w:sz w:val="16"/>
          <w:szCs w:val="16"/>
          <w:color w:val="auto"/>
        </w:rPr>
      </w:pPr>
    </w:p>
    <w:p>
      <w:pPr>
        <w:ind w:left="1600" w:hanging="259"/>
        <w:spacing w:after="0"/>
        <w:tabs>
          <w:tab w:leader="none" w:pos="160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that a breach of the covenants and restrictions in paragraphs (a), (b) or (c) of this Section 6 would result in irreparable harm to the</w:t>
      </w:r>
    </w:p>
    <w:p>
      <w:pPr>
        <w:spacing w:after="0" w:line="38" w:lineRule="exact"/>
        <w:rPr>
          <w:rFonts w:ascii="Arial" w:cs="Arial" w:eastAsia="Arial" w:hAnsi="Arial"/>
          <w:sz w:val="16"/>
          <w:szCs w:val="16"/>
          <w:color w:val="auto"/>
        </w:rPr>
      </w:pPr>
    </w:p>
    <w:p>
      <w:pPr>
        <w:ind w:left="920"/>
        <w:spacing w:after="0" w:line="310" w:lineRule="auto"/>
        <w:rPr>
          <w:rFonts w:ascii="Arial" w:cs="Arial" w:eastAsia="Arial" w:hAnsi="Arial"/>
          <w:sz w:val="16"/>
          <w:szCs w:val="16"/>
          <w:color w:val="auto"/>
        </w:rPr>
      </w:pPr>
      <w:r>
        <w:rPr>
          <w:rFonts w:ascii="Arial" w:cs="Arial" w:eastAsia="Arial" w:hAnsi="Arial"/>
          <w:sz w:val="15"/>
          <w:szCs w:val="15"/>
          <w:color w:val="auto"/>
        </w:rPr>
        <w:t>Company which could not be compensated by money damages alone. Accordingly, the Executive agrees that should there be a breach of any or all of these provisions or a threatened breach, the Company shall be entitled to cease paying amounts under Section 3 and to offset any amounts it owes to Executive against any damage that it has suffered as a result of the breach of any of the covenants and restrictions in paragraphs (a), (b) or (c) of this Section 6 and, in addition to its other remedies, to an order enjoining any such breach or threatened breach without bond. In addition, the Executive agrees that, in the event he or she breaches any of the covenants or restrictions of paragraphs (a), (b) or (c) of this Section 6, he will promptly repay to the Company upon demand any amounts paid to him or her pursuant to Section 3. The Executive further agrees that if the Company prevails in any action to enforce these provisions, he or she will reimburse the Company for its attorney fees and costs incurred in pursuing such action.</w:t>
      </w:r>
    </w:p>
    <w:p>
      <w:pPr>
        <w:spacing w:after="0" w:line="10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Company agrees that it will seek enforcement of paragraphs (a), (b) and (c) of this Section 6 only in a good faith, reasonable manner and will not seek to enforce such sections solely for malicious and punitive reasons.</w:t>
      </w:r>
    </w:p>
    <w:p>
      <w:pPr>
        <w:spacing w:after="0" w:line="132" w:lineRule="exact"/>
        <w:rPr>
          <w:sz w:val="20"/>
          <w:szCs w:val="20"/>
          <w:color w:val="auto"/>
        </w:rPr>
      </w:pPr>
    </w:p>
    <w:p>
      <w:pPr>
        <w:ind w:right="80" w:firstLine="464"/>
        <w:spacing w:after="0" w:line="323" w:lineRule="auto"/>
        <w:tabs>
          <w:tab w:leader="none" w:pos="632" w:val="left"/>
        </w:tabs>
        <w:numPr>
          <w:ilvl w:val="0"/>
          <w:numId w:val="109"/>
        </w:numPr>
        <w:rPr>
          <w:rFonts w:ascii="Arial" w:cs="Arial" w:eastAsia="Arial" w:hAnsi="Arial"/>
          <w:sz w:val="15"/>
          <w:szCs w:val="15"/>
          <w:color w:val="auto"/>
        </w:rPr>
      </w:pPr>
      <w:r>
        <w:rPr>
          <w:rFonts w:ascii="Arial" w:cs="Arial" w:eastAsia="Arial" w:hAnsi="Arial"/>
          <w:sz w:val="15"/>
          <w:szCs w:val="15"/>
          <w:u w:val="single" w:color="auto"/>
          <w:color w:val="auto"/>
        </w:rPr>
        <w:t>Disputes</w:t>
      </w:r>
      <w:r>
        <w:rPr>
          <w:rFonts w:ascii="Arial" w:cs="Arial" w:eastAsia="Arial" w:hAnsi="Arial"/>
          <w:sz w:val="15"/>
          <w:szCs w:val="15"/>
          <w:color w:val="auto"/>
        </w:rPr>
        <w:t>. In the event that the Executive prevails in any action to obtain or enforce any rights under this Agreement, the Company shall pay the cost of legal fees and expenses incurred by Executive in such action, which payment shall be made directly to the provider of services within the time period required by Section 409A of the Code; provided, however that the Executive shall be required to deliver and not revoke an executed release of claims in the form attached hereto as Exhibit A (as such release may be updated from time to time to reflect legal requirements). If a dispute arises concerning the Executive’s entitlement to</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28" w:name="page129"/>
    <w:bookmarkEnd w:id="128"/>
    <w:p>
      <w:pPr>
        <w:ind w:right="4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benefits under this Agreement following a Change in Control, the Company shall continue to pay Executive’s full base salary through the date finally determined to be his or her Termination Date.</w:t>
      </w:r>
    </w:p>
    <w:p>
      <w:pPr>
        <w:spacing w:after="0" w:line="132" w:lineRule="exact"/>
        <w:rPr>
          <w:sz w:val="20"/>
          <w:szCs w:val="20"/>
          <w:color w:val="auto"/>
        </w:rPr>
      </w:pPr>
    </w:p>
    <w:p>
      <w:pPr>
        <w:ind w:left="640" w:hanging="176"/>
        <w:spacing w:after="0"/>
        <w:tabs>
          <w:tab w:leader="none" w:pos="640"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480" w:firstLine="921"/>
        <w:spacing w:after="0" w:line="370" w:lineRule="auto"/>
        <w:tabs>
          <w:tab w:leader="none" w:pos="1152" w:val="left"/>
        </w:tabs>
        <w:numPr>
          <w:ilvl w:val="2"/>
          <w:numId w:val="110"/>
        </w:numPr>
        <w:rPr>
          <w:rFonts w:ascii="Arial" w:cs="Arial" w:eastAsia="Arial" w:hAnsi="Arial"/>
          <w:sz w:val="15"/>
          <w:szCs w:val="15"/>
          <w:color w:val="auto"/>
        </w:rPr>
      </w:pPr>
      <w:r>
        <w:rPr>
          <w:rFonts w:ascii="Arial" w:cs="Arial" w:eastAsia="Arial" w:hAnsi="Arial"/>
          <w:sz w:val="15"/>
          <w:szCs w:val="15"/>
          <w:color w:val="auto"/>
        </w:rPr>
        <w:t>The Company shall require any successor to all or substantially all of its business or assets (whether direct or indirect, by purchase, merger, consolidation or otherwise), and any parent company thereof, to expressly assume and agree to perform the Company’s obligations under this Agreement.</w:t>
      </w:r>
    </w:p>
    <w:p>
      <w:pPr>
        <w:spacing w:after="0" w:line="62" w:lineRule="exact"/>
        <w:rPr>
          <w:rFonts w:ascii="Arial" w:cs="Arial" w:eastAsia="Arial" w:hAnsi="Arial"/>
          <w:sz w:val="15"/>
          <w:szCs w:val="15"/>
          <w:color w:val="auto"/>
        </w:rPr>
      </w:pPr>
    </w:p>
    <w:p>
      <w:pPr>
        <w:ind w:right="60" w:firstLine="921"/>
        <w:spacing w:after="0" w:line="268" w:lineRule="auto"/>
        <w:tabs>
          <w:tab w:leader="none" w:pos="1162" w:val="left"/>
        </w:tabs>
        <w:numPr>
          <w:ilvl w:val="2"/>
          <w:numId w:val="110"/>
        </w:numPr>
        <w:rPr>
          <w:rFonts w:ascii="Arial" w:cs="Arial" w:eastAsia="Arial" w:hAnsi="Arial"/>
          <w:sz w:val="18"/>
          <w:szCs w:val="18"/>
          <w:color w:val="auto"/>
        </w:rPr>
      </w:pPr>
      <w:r>
        <w:rPr>
          <w:rFonts w:ascii="Arial" w:cs="Arial" w:eastAsia="Arial" w:hAnsi="Arial"/>
          <w:sz w:val="18"/>
          <w:szCs w:val="18"/>
          <w:color w:val="auto"/>
        </w:rPr>
        <w:t>This Agreement shall not be assignable by the Executive except by will or the laws of descent and distribution. This Agreement shall inure to the benefit of and be enforceable by the Executive and his or her personal or legal representatives and successors in interest.</w:t>
      </w:r>
    </w:p>
    <w:p>
      <w:pPr>
        <w:spacing w:after="0" w:line="131" w:lineRule="exact"/>
        <w:rPr>
          <w:rFonts w:ascii="Arial" w:cs="Arial" w:eastAsia="Arial" w:hAnsi="Arial"/>
          <w:sz w:val="18"/>
          <w:szCs w:val="18"/>
          <w:color w:val="auto"/>
        </w:rPr>
      </w:pPr>
    </w:p>
    <w:p>
      <w:pPr>
        <w:ind w:firstLine="464"/>
        <w:spacing w:after="0" w:line="303" w:lineRule="auto"/>
        <w:tabs>
          <w:tab w:leader="none" w:pos="632" w:val="left"/>
        </w:tabs>
        <w:numPr>
          <w:ilvl w:val="1"/>
          <w:numId w:val="110"/>
        </w:numPr>
        <w:rPr>
          <w:rFonts w:ascii="Arial" w:cs="Arial" w:eastAsia="Arial" w:hAnsi="Arial"/>
          <w:sz w:val="15"/>
          <w:szCs w:val="15"/>
          <w:color w:val="auto"/>
        </w:rPr>
      </w:pPr>
      <w:r>
        <w:rPr>
          <w:rFonts w:ascii="Arial" w:cs="Arial" w:eastAsia="Arial" w:hAnsi="Arial"/>
          <w:sz w:val="15"/>
          <w:szCs w:val="15"/>
          <w:u w:val="single" w:color="auto"/>
          <w:color w:val="auto"/>
        </w:rPr>
        <w:t>Term</w:t>
      </w:r>
      <w:r>
        <w:rPr>
          <w:rFonts w:ascii="Arial" w:cs="Arial" w:eastAsia="Arial" w:hAnsi="Arial"/>
          <w:sz w:val="15"/>
          <w:szCs w:val="15"/>
          <w:color w:val="auto"/>
        </w:rPr>
        <w:t>. Unless otherwise earlier terminated in writing by both parties, this Agreement shall be effective for the three (3) year period commencing on the Effective Date. At the close of such three (3) year period and on each subsequent third anniversary of the Effective Date, the Agreement shall automatically renew for an additional three (3) year period unless either party hereto shall notify the other party in writing of its intent not to renew the Agreement no less than thirty</w:t>
      </w:r>
    </w:p>
    <w:p>
      <w:pPr>
        <w:spacing w:after="0" w:line="1" w:lineRule="exact"/>
        <w:rPr>
          <w:rFonts w:ascii="Arial" w:cs="Arial" w:eastAsia="Arial" w:hAnsi="Arial"/>
          <w:sz w:val="15"/>
          <w:szCs w:val="15"/>
          <w:color w:val="auto"/>
        </w:rPr>
      </w:pPr>
    </w:p>
    <w:p>
      <w:pPr>
        <w:ind w:right="60" w:firstLine="8"/>
        <w:spacing w:after="0" w:line="290" w:lineRule="auto"/>
        <w:tabs>
          <w:tab w:leader="none" w:pos="336" w:val="left"/>
        </w:tabs>
        <w:numPr>
          <w:ilvl w:val="0"/>
          <w:numId w:val="111"/>
        </w:numPr>
        <w:rPr>
          <w:rFonts w:ascii="Arial" w:cs="Arial" w:eastAsia="Arial" w:hAnsi="Arial"/>
          <w:sz w:val="16"/>
          <w:szCs w:val="16"/>
          <w:color w:val="auto"/>
        </w:rPr>
      </w:pPr>
      <w:r>
        <w:rPr>
          <w:rFonts w:ascii="Arial" w:cs="Arial" w:eastAsia="Arial" w:hAnsi="Arial"/>
          <w:sz w:val="16"/>
          <w:szCs w:val="16"/>
          <w:color w:val="auto"/>
        </w:rPr>
        <w:t>days prior to the expiration of the pending term; provided, however, that if within six (6) months following the non-renewal of the Agreement by the Company, the Company executes a definitive agreement which would lead to a Change in Control, then notwithstanding any other term or provision of this Agreement, this Agreement shall be deemed not to have been terminated and will be effective in accordance with its terms through and including the date of such Change in Control (or the date on which such definitive agreement is terminated, if earlier); and provided further, that if a Change in Control occurs during the term of this Agreement, the Agreement shall remain in effect for no less than 24 months following such Change in Control. Notwithstanding the termination or expiration of this Agreement, the Restrictive Covenants provisions of Section 6 hereof shall remain in full force and effect as provided above.</w:t>
      </w:r>
    </w:p>
    <w:p>
      <w:pPr>
        <w:spacing w:after="0" w:line="118" w:lineRule="exact"/>
        <w:rPr>
          <w:rFonts w:ascii="Arial" w:cs="Arial" w:eastAsia="Arial" w:hAnsi="Arial"/>
          <w:sz w:val="16"/>
          <w:szCs w:val="16"/>
          <w:color w:val="auto"/>
        </w:rPr>
      </w:pPr>
    </w:p>
    <w:p>
      <w:pPr>
        <w:ind w:right="120" w:firstLine="464"/>
        <w:spacing w:after="0" w:line="268" w:lineRule="auto"/>
        <w:tabs>
          <w:tab w:leader="none" w:pos="720"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notice, demand or other communication required or permitted under this Agreement shall be effective only if it is in writing and delivered personally or sent by registered or certified mail, return receipt requested, postage prepaid, addressed as follows:</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the Company: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Fortune Brands Home &amp; Security, Inc.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520 Lake Cook Road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Deerfield, Illinois 60015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the Executive: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 the address most recently on file with the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9" w:name="page130"/>
    <w:bookmarkEnd w:id="129"/>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to such other address as either party may designate by written notice to the other and shall be deemed to have been given as of the date so personally delivered or mailed.</w:t>
      </w:r>
    </w:p>
    <w:p>
      <w:pPr>
        <w:spacing w:after="0" w:line="132" w:lineRule="exact"/>
        <w:rPr>
          <w:sz w:val="20"/>
          <w:szCs w:val="20"/>
          <w:color w:val="auto"/>
        </w:rPr>
      </w:pPr>
    </w:p>
    <w:p>
      <w:pPr>
        <w:ind w:left="720" w:hanging="256"/>
        <w:spacing w:after="0"/>
        <w:tabs>
          <w:tab w:leader="none" w:pos="72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80" w:firstLine="921"/>
        <w:spacing w:after="0" w:line="268" w:lineRule="auto"/>
        <w:tabs>
          <w:tab w:leader="none" w:pos="115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This Agreement cannot be modified or any term or condition waived in whole or in part except by a writing signed by the party against whom enforcement of the modification or waiver is sought.</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Delaware.</w:t>
      </w:r>
    </w:p>
    <w:p>
      <w:pPr>
        <w:spacing w:after="0" w:line="171" w:lineRule="exact"/>
        <w:rPr>
          <w:rFonts w:ascii="Arial" w:cs="Arial" w:eastAsia="Arial" w:hAnsi="Arial"/>
          <w:sz w:val="18"/>
          <w:szCs w:val="18"/>
          <w:color w:val="auto"/>
        </w:rPr>
      </w:pPr>
    </w:p>
    <w:p>
      <w:pPr>
        <w:ind w:right="600" w:firstLine="921"/>
        <w:spacing w:after="0" w:line="268" w:lineRule="auto"/>
        <w:tabs>
          <w:tab w:leader="none" w:pos="115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No waiver by either party at any time of any breach of this Agreement by the other party shall be deemed a waiver of such provisions or conditions at any prior or subsequent time.</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The headings in this Agreement are included for convenience and shall not affect the meaning or interpretation of this Agreement.</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The invalidity or unenforceability of one or more provisions of this Agreement shall not affect the enforceability any other provision of this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164" w:lineRule="exact"/>
        <w:rPr>
          <w:rFonts w:ascii="Arial" w:cs="Arial" w:eastAsia="Arial" w:hAnsi="Arial"/>
          <w:sz w:val="16"/>
          <w:szCs w:val="16"/>
          <w:color w:val="auto"/>
        </w:rPr>
      </w:pPr>
    </w:p>
    <w:p>
      <w:pPr>
        <w:ind w:right="60" w:firstLine="921"/>
        <w:spacing w:after="0" w:line="268" w:lineRule="auto"/>
        <w:tabs>
          <w:tab w:leader="none" w:pos="113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each of which shall be deemed an original, and such counterparts will together constitute one Agreement.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280" w:right="339" w:bottom="1440" w:gutter="0" w:footer="0" w:header="0"/>
        </w:sectPr>
      </w:pPr>
    </w:p>
    <w:bookmarkStart w:id="130" w:name="page131"/>
    <w:bookmarkEnd w:id="130"/>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caused this Agreement to be executed by a duly authorized officer and attested to and the Executive has set his or her hand as of the date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FORTUNE BRANDS HOME &amp; SECURITY,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12"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285750</wp:posOffset>
            </wp:positionV>
            <wp:extent cx="234124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280" w:right="459" w:bottom="1440" w:gutter="0" w:footer="0" w:header="0"/>
        </w:sectPr>
      </w:pPr>
    </w:p>
    <w:bookmarkStart w:id="131" w:name="page132"/>
    <w:bookmarkEnd w:id="131"/>
    <w:p>
      <w:pPr>
        <w:ind w:left="8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Waiver/Release for Executive]</w:t>
      </w:r>
    </w:p>
    <w:p>
      <w:pPr>
        <w:spacing w:after="0" w:line="194" w:lineRule="exact"/>
        <w:rPr>
          <w:sz w:val="20"/>
          <w:szCs w:val="20"/>
          <w:color w:val="auto"/>
        </w:rPr>
      </w:pPr>
    </w:p>
    <w:p>
      <w:pPr>
        <w:ind w:left="2960"/>
        <w:spacing w:after="0"/>
        <w:rPr>
          <w:sz w:val="20"/>
          <w:szCs w:val="20"/>
          <w:color w:val="auto"/>
        </w:rPr>
      </w:pPr>
      <w:r>
        <w:rPr>
          <w:rFonts w:ascii="Arial" w:cs="Arial" w:eastAsia="Arial" w:hAnsi="Arial"/>
          <w:sz w:val="18"/>
          <w:szCs w:val="18"/>
          <w:b w:val="1"/>
          <w:bCs w:val="1"/>
          <w:u w:val="single" w:color="auto"/>
          <w:color w:val="auto"/>
        </w:rPr>
        <w:t>CONFIDENTIAL WAIVER AGREEMENT AND GENERAL RELEASE</w:t>
      </w:r>
    </w:p>
    <w:p>
      <w:pPr>
        <w:spacing w:after="0" w:line="218"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Introduction and General Information</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Signing this Confidential Waiver Agreement and General Release (the “Waiver/Release”) is one condition to receiving certain separation benefits provided by Fortune Brands Home &amp; Security, Inc. (the “Company”) under the Agreement for the Payment of Benefits Following Termination of Employment dated</w:t>
      </w:r>
    </w:p>
    <w:p>
      <w:pPr>
        <w:ind w:right="360" w:firstLine="930"/>
        <w:spacing w:after="0" w:line="295" w:lineRule="auto"/>
        <w:tabs>
          <w:tab w:leader="none" w:pos="101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2011 and currently in effect between me and the Company (the “Agreement”). I will thoroughly review and understand the effect of the Waiver/Release before signing it, and have been advised to consult an attorney before signing this Waiver/Release. I may take up to twenty-one (21) calendar days to consider whether or not to sign this Waiver/Release. However, if I wish to receive benefits under the Agreement from the Company, I must sign this Waiver/Release and return it to the Senior Vice President of Human Resources within the 21-day period.</w:t>
      </w:r>
    </w:p>
    <w:p>
      <w:pPr>
        <w:spacing w:after="0" w:line="155" w:lineRule="exact"/>
        <w:rPr>
          <w:rFonts w:ascii="Arial" w:cs="Arial" w:eastAsia="Arial" w:hAnsi="Arial"/>
          <w:sz w:val="16"/>
          <w:szCs w:val="16"/>
          <w:color w:val="auto"/>
        </w:rPr>
      </w:pPr>
    </w:p>
    <w:p>
      <w:pPr>
        <w:ind w:left="460" w:hanging="452"/>
        <w:spacing w:after="0"/>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The Nature of this Waiver/Release</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I, [EXECUTIVE], voluntarily and of my own free will sign this Waiver/Release because the Company is agreeing to give me something of value in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-865505</wp:posOffset>
            </wp:positionV>
            <wp:extent cx="55753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my signing this Waiver/Release (the “Consideration”). The Consideration is described in the Agreement. I understand that in return for the Consideration to be provided to me by the Company, I am waiving and releasing any claims that I might have against the Company and certain other related persons or organizations, and will make other commitments listed below. I also understand that the Agreement and the Waiver/Release reflect the final agreement between the Company and me regarding the end of my employment.</w:t>
      </w:r>
    </w:p>
    <w:p>
      <w:pPr>
        <w:sectPr>
          <w:pgSz w:w="11900" w:h="16838" w:orient="portrait"/>
          <w:cols w:equalWidth="0" w:num="1">
            <w:col w:w="11420"/>
          </w:cols>
          <w:pgMar w:left="240" w:top="274" w:right="239" w:bottom="1440" w:gutter="0" w:footer="0" w:header="0"/>
        </w:sectPr>
      </w:pPr>
    </w:p>
    <w:bookmarkStart w:id="132" w:name="page133"/>
    <w:bookmarkEnd w:id="132"/>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Coverage of Waiver/Release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 intend that this Waiver/Release bind not only me, but also my heirs, executors, administrators, successors and assigns. I also intend that this Waiver/Release cover the Company and the Company’s present and former employees, agents, directors, officers, representatives, servants subsidiaries, divisions, affiliates, parents, owners, partners, successors and assigns (“Released Parties”).</w:t>
      </w:r>
    </w:p>
    <w:p>
      <w:pPr>
        <w:spacing w:after="0" w:line="181"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Claims Waived and Released</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By signing this Waiver/Release, and in exchange for receiving the Consideration described in the Agreement, I completely release all claims I may have against each and every one of the Released Parties, except for the Exceptions to Release described in Paragraph 5, and including any claims I ever had or now have or can have of any nature whatsoever, whether now known to me or not known, through the date of my signing of this Waiver/Release. I understand that by waiving and releasing my claims, I am giving up my right to sue any of the Released Parties based on any claim I may have on the date I sign this Waiver/Release.</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My waiver, release and discharge of claims includes, but is not limited to, any claims arising in any way from my employment with the Company or the termination of my employment, subject to the Exceptions to Release, including local, state or federal law relating 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Discrimination of the basis of sex, race, color, national origin, sexual orientation, religion, disability or veteran status;</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 Wrongful discharge (including retaliatory discharge) or any other possible restrictions on the Company’s ability to terminate its employees at will, including (i) violation of public policy, (ii) breach of any express or implied covenant of any employment contract, and (iii) breach of any covenant of good faith and fair dealing;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33" w:name="page134"/>
    <w:bookmarkEnd w:id="133"/>
    <w:p>
      <w:pPr>
        <w:ind w:right="2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Discrimination on the basis of age, including claims under the Age Discrimination in Employment Act (the “ADEA”), which is located at 29 United States Code, Sections 621 through 634 and any applicable state or local law prohibiting age discrimination; and</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 Civil actions relating to negligence, compensation, defamation, invasion of privacy, fraud, misrepresentation, breach of contract, denial of leave or other terms and conditions of employment, or infliction of emotional or mental distress.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May also include state-specific language, as applicable and required by law.]</w:t>
      </w:r>
    </w:p>
    <w:p>
      <w:pPr>
        <w:spacing w:after="0" w:line="96" w:lineRule="exact"/>
        <w:rPr>
          <w:sz w:val="20"/>
          <w:szCs w:val="20"/>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Exceptions to Release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only claims that this Waiver/Release do not include are: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Any claims related to the Consideration (such as claims that I did not actually receive payment or other benefits promised me in the Agreement);</w:t>
      </w:r>
    </w:p>
    <w:p>
      <w:pPr>
        <w:spacing w:after="0" w:line="38"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claims related to the business expense reimbursement policy of the Company;</w:t>
      </w:r>
    </w:p>
    <w:p>
      <w:pPr>
        <w:spacing w:after="0" w:line="164" w:lineRule="exact"/>
        <w:rPr>
          <w:rFonts w:ascii="Arial" w:cs="Arial" w:eastAsia="Arial" w:hAnsi="Arial"/>
          <w:sz w:val="18"/>
          <w:szCs w:val="18"/>
          <w:color w:val="auto"/>
        </w:rPr>
      </w:pPr>
    </w:p>
    <w:p>
      <w:pPr>
        <w:ind w:left="640" w:hanging="176"/>
        <w:spacing w:after="0"/>
        <w:tabs>
          <w:tab w:leader="none" w:pos="64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Any claims related to my rights under the employee benefits plans of the Company, as applicable to me on the date I received this Waiver/Release;</w:t>
      </w:r>
    </w:p>
    <w:p>
      <w:pPr>
        <w:spacing w:after="0" w:line="194" w:lineRule="exact"/>
        <w:rPr>
          <w:rFonts w:ascii="Arial" w:cs="Arial" w:eastAsia="Arial" w:hAnsi="Arial"/>
          <w:sz w:val="16"/>
          <w:szCs w:val="16"/>
          <w:color w:val="auto"/>
        </w:rPr>
      </w:pPr>
    </w:p>
    <w:p>
      <w:pPr>
        <w:ind w:left="640" w:hanging="176"/>
        <w:spacing w:after="0"/>
        <w:tabs>
          <w:tab w:leader="none" w:pos="6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claims that controlling law clearly states may not be released by settlement or that may not be released by private agreement; and</w:t>
      </w:r>
    </w:p>
    <w:p>
      <w:pPr>
        <w:spacing w:after="0" w:line="15"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claims that may arise after the date this Waiver/Release is signed.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In many states, workers’ compensation claims cannot be waived or released privately.]</w:t>
      </w:r>
    </w:p>
    <w:p>
      <w:pPr>
        <w:spacing w:after="0" w:line="96"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21-Day Consideration Period</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 have up to twenty-one (21) calendar days after receipt (the “Consideration Period”) to consider this Waiver/Release. I knowingly and voluntarily waive the remainder of the Consideration Period, if any, following the date I signed this Waiver/Release below. I have not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134" w:name="page135"/>
    <w:bookmarkEnd w:id="134"/>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been asked by the Company to shorten my time-period for consideration of whether to sign this Waiver/Release. The Company has not threatened to withdraw or alter the benefits due me prior to the expiration of the Consideration Period nor has the Company provided different terms to me if I decide to sign the Waiver/Release prior to the expiration of the Consideration Period.</w:t>
      </w:r>
    </w:p>
    <w:p>
      <w:pPr>
        <w:spacing w:after="0" w:line="181"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Revocation Period</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 understand that I have a seven-day period after signing this Waiver/Release in which to revoke or rescind my release, by informing the Company’s Senior Vice President of Human Resources in writing of my decision to revoke or rescind, and that this release will not be enforceable until the end of the seven-day period. No benefits will be paid under this Waiver/Release prior to the eighth day after I sign this Waiver/Release. I understand that following the seven-day revocation period, this Waiver/Release will be final and binding.</w:t>
      </w:r>
    </w:p>
    <w:p>
      <w:pPr>
        <w:spacing w:after="0" w:line="184"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Covenant Not to Sue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 promise that I will not file (or ask or allow anyone to file on my behalf) any charge, complaint, claim or lawsuit of any kind in connection with any claim released by this Waiver/Release. If I break this promise, I agree to pay all of the Company’s costs and expenses (including reasonable attorney’s fees) related to the defense of any claims. However, this promise not to sue does not apply to non-waiveable charges or claims such as those under the Older Workers Benefit Protection Act (OWBPA) and the ADEA. Although I am releasing claims that I may have under the OWBPA and ADEA, I understand that I may challenge the knowing and voluntary nature of this Waiver/Release before a court, the Equal Employment Opportunity Commission (EEOC), or any other federal, state or local agency charged with the enforcement of any employment laws. I also understand that nothing in this Waiver/Release prevents me from filing a charge or complaint with or from participating in an investigation or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135" w:name="page136"/>
    <w:bookmarkEnd w:id="135"/>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proceeding conducted by the EEOC or any other federal, state or local agency charged with the enforcement of any employment laws. I understand, however, that if I pursue a claim against the Company under the OWBPA and/or the ADEA to challenge the validity of this Waiver/Release and prevail on the merits of an ADEA claim, a court has the discretion to determine whether the Company is entitled to restitution, recoupment, or set-off (a “Reduction”) against a monetary award obtained by me in the court proceeding. A Reduction never can exceed the amount I recover, or the Consideration, whichever is less. I also recognize that the Company may be entitled to recover costs and attorneys fees incurred by the Company as specifically authorized under applicable law.</w:t>
      </w:r>
    </w:p>
    <w:p>
      <w:pPr>
        <w:spacing w:after="0" w:line="156"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No Claims Implied</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5"/>
          <w:szCs w:val="15"/>
          <w:color w:val="auto"/>
        </w:rPr>
        <w:t>The fact that I am waiving and releasing claims I may have against the Released Parties will not be construed as a suggestion that I have any such claims.</w:t>
      </w:r>
    </w:p>
    <w:p>
      <w:pPr>
        <w:spacing w:after="0" w:line="246" w:lineRule="exact"/>
        <w:rPr>
          <w:rFonts w:ascii="Arial" w:cs="Arial" w:eastAsia="Arial" w:hAnsi="Arial"/>
          <w:sz w:val="18"/>
          <w:szCs w:val="18"/>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No Admission of Liability</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It is agreed that this Waiver/Release and accompanying Agreement are not to be construed in any way as an admission of any liability whatsoever by any one or more of the Released Parties. I understand that any such liability has been expressly denied by the Released Parties.</w:t>
      </w:r>
    </w:p>
    <w:p>
      <w:pPr>
        <w:spacing w:after="0" w:line="126"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Confidentiality</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 agree to keep the terms and provisions of this Waiver/Release and the Agreement in strictest confidence. I will not reveal to anyone, either directly or indirectly, the Consideration involved or other terms and provisions, except the following people after I have first had them promise to keep the information confidential: my personal attorney; my tax adviser; members of my immediate family. If any of those individuals disclose the Consideration and/or other terms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136" w:name="page137"/>
    <w:bookmarkEnd w:id="136"/>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provisions, such disclosure will be considered an indirect disclosure in breach of this provision for which I will be liable. As an exception to my obligation to keep the terms and provisions confidential, I understand that I may make disclosures of the Consideration and/or other terms and provisions as are required by law or as necessary for legitimate enforcement or compliance purposes.</w:t>
      </w:r>
    </w:p>
    <w:p>
      <w:pPr>
        <w:spacing w:after="0" w:line="181" w:lineRule="exact"/>
        <w:rPr>
          <w:sz w:val="20"/>
          <w:szCs w:val="20"/>
          <w:color w:val="auto"/>
        </w:rPr>
      </w:pPr>
    </w:p>
    <w:p>
      <w:pPr>
        <w:ind w:left="460" w:right="7840" w:hanging="452"/>
        <w:spacing w:after="0" w:line="413" w:lineRule="auto"/>
        <w:tabs>
          <w:tab w:leader="none" w:pos="449" w:val="left"/>
        </w:tabs>
        <w:numPr>
          <w:ilvl w:val="0"/>
          <w:numId w:val="125"/>
        </w:numPr>
        <w:rPr>
          <w:rFonts w:ascii="Arial" w:cs="Arial" w:eastAsia="Arial" w:hAnsi="Arial"/>
          <w:sz w:val="15"/>
          <w:szCs w:val="15"/>
          <w:color w:val="auto"/>
        </w:rPr>
      </w:pPr>
      <w:r>
        <w:rPr>
          <w:rFonts w:ascii="Arial" w:cs="Arial" w:eastAsia="Arial" w:hAnsi="Arial"/>
          <w:sz w:val="15"/>
          <w:szCs w:val="15"/>
          <w:u w:val="single" w:color="auto"/>
          <w:color w:val="auto"/>
        </w:rPr>
        <w:t xml:space="preserve">Additional Agreements and Representations </w:t>
      </w:r>
      <w:r>
        <w:rPr>
          <w:rFonts w:ascii="Arial" w:cs="Arial" w:eastAsia="Arial" w:hAnsi="Arial"/>
          <w:sz w:val="15"/>
          <w:szCs w:val="15"/>
          <w:color w:val="auto"/>
        </w:rPr>
        <w:t>I further agree and represent that:</w:t>
      </w:r>
    </w:p>
    <w:p>
      <w:pPr>
        <w:ind w:right="260" w:firstLine="921"/>
        <w:spacing w:after="0" w:line="268" w:lineRule="auto"/>
        <w:tabs>
          <w:tab w:leader="none" w:pos="1079"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 have not filed any legal proceedings, complaints or charges against any of the Released Parties that have not been discontinued, withdrawn or fully and finally resolved;</w:t>
      </w:r>
    </w:p>
    <w:p>
      <w:pPr>
        <w:spacing w:after="0" w:line="131" w:lineRule="exact"/>
        <w:rPr>
          <w:rFonts w:ascii="Arial" w:cs="Arial" w:eastAsia="Arial" w:hAnsi="Arial"/>
          <w:sz w:val="18"/>
          <w:szCs w:val="18"/>
          <w:color w:val="auto"/>
        </w:rPr>
      </w:pPr>
    </w:p>
    <w:p>
      <w:pPr>
        <w:ind w:firstLine="921"/>
        <w:spacing w:after="0" w:line="268" w:lineRule="auto"/>
        <w:tabs>
          <w:tab w:leader="none" w:pos="108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To the best of my knowledge, and with the exception of any current and pending claims, I have not suffered any workplace injury that could be the basis for a workers’ compensation or other claim.</w:t>
      </w:r>
    </w:p>
    <w:p>
      <w:pPr>
        <w:spacing w:after="0" w:line="131" w:lineRule="exact"/>
        <w:rPr>
          <w:rFonts w:ascii="Arial" w:cs="Arial" w:eastAsia="Arial" w:hAnsi="Arial"/>
          <w:sz w:val="18"/>
          <w:szCs w:val="18"/>
          <w:color w:val="auto"/>
        </w:rPr>
      </w:pPr>
    </w:p>
    <w:p>
      <w:pPr>
        <w:ind w:right="80" w:firstLine="921"/>
        <w:spacing w:after="0" w:line="306" w:lineRule="auto"/>
        <w:tabs>
          <w:tab w:leader="none" w:pos="1079" w:val="left"/>
        </w:tabs>
        <w:numPr>
          <w:ilvl w:val="1"/>
          <w:numId w:val="125"/>
        </w:numPr>
        <w:rPr>
          <w:rFonts w:ascii="Arial" w:cs="Arial" w:eastAsia="Arial" w:hAnsi="Arial"/>
          <w:sz w:val="16"/>
          <w:szCs w:val="16"/>
          <w:color w:val="auto"/>
        </w:rPr>
      </w:pPr>
      <w:r>
        <w:rPr>
          <w:rFonts w:ascii="Arial" w:cs="Arial" w:eastAsia="Arial" w:hAnsi="Arial"/>
          <w:sz w:val="16"/>
          <w:szCs w:val="16"/>
          <w:color w:val="auto"/>
        </w:rPr>
        <w:t>I will not encourage, urge or suggest to any former or current employee of the Company or of any other of the Released Parties that she or he should file any claim or complaint against the Company or against any other of the Released Parties. However, nothing in this provision is intended to prevent or discourage me from truthfully testifying in any court or agency proceeding, or providing information to any government agency upon request.</w:t>
      </w:r>
    </w:p>
    <w:p>
      <w:pPr>
        <w:spacing w:after="0" w:line="106" w:lineRule="exact"/>
        <w:rPr>
          <w:rFonts w:ascii="Arial" w:cs="Arial" w:eastAsia="Arial" w:hAnsi="Arial"/>
          <w:sz w:val="16"/>
          <w:szCs w:val="16"/>
          <w:color w:val="auto"/>
        </w:rPr>
      </w:pPr>
    </w:p>
    <w:p>
      <w:pPr>
        <w:ind w:right="180" w:firstLine="921"/>
        <w:spacing w:after="0" w:line="306" w:lineRule="auto"/>
        <w:tabs>
          <w:tab w:leader="none" w:pos="1088" w:val="left"/>
        </w:tabs>
        <w:numPr>
          <w:ilvl w:val="1"/>
          <w:numId w:val="125"/>
        </w:numPr>
        <w:rPr>
          <w:rFonts w:ascii="Arial" w:cs="Arial" w:eastAsia="Arial" w:hAnsi="Arial"/>
          <w:sz w:val="16"/>
          <w:szCs w:val="16"/>
          <w:color w:val="auto"/>
        </w:rPr>
      </w:pPr>
      <w:r>
        <w:rPr>
          <w:rFonts w:ascii="Arial" w:cs="Arial" w:eastAsia="Arial" w:hAnsi="Arial"/>
          <w:sz w:val="16"/>
          <w:szCs w:val="16"/>
          <w:color w:val="auto"/>
        </w:rPr>
        <w:t>It is my responsibility together with my personal legal and tax advisers to consider the effect of this Waiver/Release and Agreement on my individual tax situation, if any. It is also my responsibility to pay any taxes that any tax authority may claim are payable. I understand that neither the Company, any other of the Released Parties, nor any of their representatives make any representation to me with respect to taxes.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37" w:name="page138"/>
    <w:bookmarkEnd w:id="137"/>
    <w:p>
      <w:pPr>
        <w:ind w:right="4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 I understand that I have agreed to certain obligations as described in this Waiver/Release and the Agreement and that these obligations are a material part of the agreement between the Company and me.</w:t>
      </w:r>
    </w:p>
    <w:p>
      <w:pPr>
        <w:spacing w:after="0" w:line="172"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Entire Agreement/Modification</w:t>
      </w:r>
    </w:p>
    <w:p>
      <w:pPr>
        <w:spacing w:after="0" w:line="90"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I understand that this Waiver/Release and the Agreement supersede any prior agreement or understanding between the Company and me and, unless expressly set forth in writing otherwise, the terms offered will constitute the sole obligations of the Company to me. Except as set forth below or in the Agreement, no other promises or representations will be binding unless in writing and signed by the Company and me. This Waiver/Release and the Agreement, however, do not affect the validity or enforceability of any obligations that I undertook or agreements I signed relating to (i) intellectual property,</w:t>
      </w:r>
    </w:p>
    <w:p>
      <w:pPr>
        <w:spacing w:after="0" w:line="3" w:lineRule="exact"/>
        <w:rPr>
          <w:sz w:val="20"/>
          <w:szCs w:val="20"/>
          <w:color w:val="auto"/>
        </w:rPr>
      </w:pPr>
    </w:p>
    <w:p>
      <w:pPr>
        <w:ind w:right="80" w:firstLine="8"/>
        <w:spacing w:after="0" w:line="292" w:lineRule="auto"/>
        <w:tabs>
          <w:tab w:leader="none" w:pos="258" w:val="left"/>
        </w:tabs>
        <w:numPr>
          <w:ilvl w:val="0"/>
          <w:numId w:val="127"/>
        </w:numPr>
        <w:rPr>
          <w:rFonts w:ascii="Arial" w:cs="Arial" w:eastAsia="Arial" w:hAnsi="Arial"/>
          <w:sz w:val="16"/>
          <w:szCs w:val="16"/>
          <w:color w:val="auto"/>
        </w:rPr>
      </w:pPr>
      <w:r>
        <w:rPr>
          <w:rFonts w:ascii="Arial" w:cs="Arial" w:eastAsia="Arial" w:hAnsi="Arial"/>
          <w:sz w:val="16"/>
          <w:szCs w:val="16"/>
          <w:color w:val="auto"/>
        </w:rPr>
        <w:t>confidentiality, or (iii) non-solicitation and/or non-competition. These obligations remain in effect and will continue to be binding. Such obligations and agreements may include without limitation (i) the duty to sign future documents (e.g., assignments, transfers, etc.) and otherwise cooperate so that intellectual property created in the course of my employment can be recorded in the name of the Company or otherwise protected and enforced, and (ii) the duty to hold in strict confidence any proprietary, confidential or trade secret information which was disclosed to me during my employment and/or (iii) the duty to refrain from soliciting Company employees and/or customers or from otherwise competing with the Company.</w:t>
      </w:r>
    </w:p>
    <w:p>
      <w:pPr>
        <w:spacing w:after="0" w:line="157"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Acknowledgments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 acknowledge that I have been advised by the Company to consult with an attorney in deciding whether to sign this Waiver/Release and Agreement prior to signing. I also acknowledge and agree that the Consideration I have received for signing this Waiver/Release is in addition to anything of value to which I was already entitled.</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280" w:right="339" w:bottom="1440" w:gutter="0" w:footer="0" w:header="0"/>
        </w:sectPr>
      </w:pPr>
    </w:p>
    <w:bookmarkStart w:id="138" w:name="page139"/>
    <w:bookmarkEnd w:id="138"/>
    <w:p>
      <w:pPr>
        <w:ind w:left="460" w:hanging="452"/>
        <w:spacing w:after="0"/>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Voluntary and Knowing Execution</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 declare and represent that I have carefully read and fully understand the terms of this Waiver/Release and Agreement. I knowingly and voluntarily, of my own free will without any pressure or duress, being fully informed and after due deliberation, accept the terms of this Waiver/Release and Agreement in full compromise and settlement of all my claims. I sign this Waiver/Release and the Agreement as my own free act on the date indicated below.</w:t>
      </w:r>
    </w:p>
    <w:p>
      <w:pPr>
        <w:spacing w:after="0" w:line="147"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headings in this Waiver/Release are for reference only, and will not in any way affect the meaning or interpretation of this Waiver/Release. I agree that this Waiver/Release may be used as evidence in a subsequent proceeding in which the Company or I allege a breach of this Waiver/Release or as a complete defense to any lawsuit. Other than this exception, I agree that if any part of this Waiver/Release is found to be void or unenforceable by a court of competent jurisdiction, that determination will not affect the remainder of this Waiver/Release; rather, the portion found to be void or unenforceable will be deemed not to be part of this Waiver/Release or the Agreement. I also understand that any waiver of any provision of this Waiver/Release or the Agreement will not constitute a waiver of any other provision. I understand and agree that this Waiver/Release and the Agreement may be assigned by the Company and in such case will be enforceable by the Company’s successors and assignees.</w:t>
      </w:r>
    </w:p>
    <w:p>
      <w:pPr>
        <w:spacing w:after="0" w:line="159"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Applicable Law</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It is agreed that this Waiver/Release will be governed by the laws of Illinois, and in all cases will be interpreted according to its plain meaning, and not strictly for or against any party.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[REMAINDER OF THIS PAGE INTENTIONALLY LEFT BLANK]</w:t>
      </w:r>
    </w:p>
    <w:p>
      <w:pPr>
        <w:sectPr>
          <w:pgSz w:w="11900" w:h="16838" w:orient="portrait"/>
          <w:cols w:equalWidth="0" w:num="1">
            <w:col w:w="9019"/>
          </w:cols>
          <w:pgMar w:left="1440" w:top="280" w:right="1440" w:bottom="1440" w:gutter="0" w:footer="0" w:header="0"/>
        </w:sectPr>
      </w:pP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9019"/>
          </w:cols>
          <w:pgMar w:left="1440" w:top="280" w:right="1440" w:bottom="1440" w:gutter="0" w:footer="0" w:header="0"/>
          <w:type w:val="continuous"/>
        </w:sectPr>
      </w:pPr>
    </w:p>
    <w:bookmarkStart w:id="140" w:name="page141"/>
    <w:bookmarkEnd w:id="140"/>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Counterparts</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This Waiver/Release and the Agreement may be executed in counterparts and a fully executed photocopy or facsimile copy may be used in place of the original at any time for any purpose.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[EXECUTIVE]</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6340" w:type="dxa"/>
            <w:vAlign w:val="bottom"/>
            <w:gridSpan w:val="5"/>
          </w:tcPr>
          <w:p>
            <w:pPr>
              <w:ind w:left="1600"/>
              <w:spacing w:after="0"/>
              <w:rPr>
                <w:sz w:val="20"/>
                <w:szCs w:val="20"/>
                <w:color w:val="auto"/>
              </w:rPr>
            </w:pPr>
            <w:r>
              <w:rPr>
                <w:rFonts w:ascii="Arial" w:cs="Arial" w:eastAsia="Arial" w:hAnsi="Arial"/>
                <w:sz w:val="18"/>
                <w:szCs w:val="18"/>
                <w:b w:val="1"/>
                <w:bCs w:val="1"/>
                <w:color w:val="auto"/>
              </w:rPr>
              <w:t>Fortune Brands Home &amp; Security, Inc.</w:t>
            </w:r>
          </w:p>
        </w:tc>
      </w:tr>
      <w:tr>
        <w:trPr>
          <w:trHeight w:val="649"/>
        </w:trPr>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340" w:type="dxa"/>
            <w:vAlign w:val="bottom"/>
            <w:gridSpan w:val="5"/>
          </w:tcPr>
          <w:p>
            <w:pPr>
              <w:ind w:left="1240"/>
              <w:spacing w:after="0"/>
              <w:rPr>
                <w:sz w:val="20"/>
                <w:szCs w:val="20"/>
                <w:color w:val="auto"/>
              </w:rPr>
            </w:pPr>
            <w:r>
              <w:rPr>
                <w:rFonts w:ascii="Arial" w:cs="Arial" w:eastAsia="Arial" w:hAnsi="Arial"/>
                <w:sz w:val="18"/>
                <w:szCs w:val="18"/>
                <w:color w:val="auto"/>
              </w:rPr>
              <w:t>By:</w:t>
            </w:r>
          </w:p>
        </w:tc>
      </w:tr>
      <w:tr>
        <w:trPr>
          <w:trHeight w:val="222"/>
        </w:trPr>
        <w:tc>
          <w:tcPr>
            <w:tcW w:w="1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w:t>
            </w:r>
          </w:p>
        </w:tc>
        <w:tc>
          <w:tcPr>
            <w:tcW w:w="9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2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tcPr>
          <w:p>
            <w:pPr>
              <w:spacing w:after="0"/>
              <w:rPr>
                <w:sz w:val="19"/>
                <w:szCs w:val="19"/>
                <w:color w:val="auto"/>
              </w:rPr>
            </w:pPr>
          </w:p>
        </w:tc>
      </w:tr>
      <w:tr>
        <w:trPr>
          <w:trHeight w:val="394"/>
        </w:trPr>
        <w:tc>
          <w:tcPr>
            <w:tcW w:w="1180" w:type="dxa"/>
            <w:vAlign w:val="bottom"/>
            <w:gridSpan w:val="2"/>
          </w:tcPr>
          <w:p>
            <w:pPr>
              <w:spacing w:after="0"/>
              <w:rPr>
                <w:sz w:val="20"/>
                <w:szCs w:val="20"/>
                <w:color w:val="auto"/>
              </w:rPr>
            </w:pPr>
            <w:r>
              <w:rPr>
                <w:rFonts w:ascii="Arial" w:cs="Arial" w:eastAsia="Arial" w:hAnsi="Arial"/>
                <w:sz w:val="18"/>
                <w:szCs w:val="18"/>
                <w:color w:val="auto"/>
              </w:rPr>
              <w:t>Signed this</w:t>
            </w:r>
          </w:p>
        </w:tc>
        <w:tc>
          <w:tcPr>
            <w:tcW w:w="3900" w:type="dxa"/>
            <w:vAlign w:val="bottom"/>
            <w:gridSpan w:val="4"/>
          </w:tcPr>
          <w:p>
            <w:pPr>
              <w:ind w:left="60"/>
              <w:spacing w:after="0"/>
              <w:rPr>
                <w:sz w:val="20"/>
                <w:szCs w:val="20"/>
                <w:color w:val="auto"/>
              </w:rPr>
            </w:pPr>
            <w:r>
              <w:rPr>
                <w:rFonts w:ascii="Arial" w:cs="Arial" w:eastAsia="Arial" w:hAnsi="Arial"/>
                <w:sz w:val="18"/>
                <w:szCs w:val="18"/>
                <w:color w:val="auto"/>
              </w:rPr>
              <w:t>day of</w:t>
            </w:r>
          </w:p>
        </w:tc>
        <w:tc>
          <w:tcPr>
            <w:tcW w:w="6340" w:type="dxa"/>
            <w:vAlign w:val="bottom"/>
            <w:gridSpan w:val="5"/>
          </w:tcPr>
          <w:p>
            <w:pPr>
              <w:ind w:left="1600"/>
              <w:spacing w:after="0"/>
              <w:rPr>
                <w:sz w:val="20"/>
                <w:szCs w:val="20"/>
                <w:color w:val="auto"/>
              </w:rPr>
            </w:pPr>
            <w:r>
              <w:rPr>
                <w:rFonts w:ascii="Arial" w:cs="Arial" w:eastAsia="Arial" w:hAnsi="Arial"/>
                <w:sz w:val="18"/>
                <w:szCs w:val="18"/>
                <w:color w:val="auto"/>
              </w:rPr>
              <w:t>Signed this day of</w:t>
            </w:r>
          </w:p>
        </w:tc>
      </w:tr>
      <w:tr>
        <w:trPr>
          <w:trHeight w:val="412"/>
        </w:trPr>
        <w:tc>
          <w:tcPr>
            <w:tcW w:w="8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8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83"/>
        </w:trPr>
        <w:tc>
          <w:tcPr>
            <w:tcW w:w="8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660" w:type="dxa"/>
            <w:vAlign w:val="bottom"/>
          </w:tcPr>
          <w:p>
            <w:pPr>
              <w:spacing w:after="0"/>
              <w:rPr>
                <w:sz w:val="24"/>
                <w:szCs w:val="24"/>
                <w:color w:val="auto"/>
              </w:rPr>
            </w:pPr>
          </w:p>
        </w:tc>
        <w:tc>
          <w:tcPr>
            <w:tcW w:w="1600" w:type="dxa"/>
            <w:vAlign w:val="bottom"/>
          </w:tcPr>
          <w:p>
            <w:pPr>
              <w:jc w:val="right"/>
              <w:ind w:right="792"/>
              <w:spacing w:after="0"/>
              <w:rPr>
                <w:sz w:val="20"/>
                <w:szCs w:val="20"/>
                <w:color w:val="auto"/>
              </w:rPr>
            </w:pPr>
            <w:r>
              <w:rPr>
                <w:rFonts w:ascii="Arial" w:cs="Arial" w:eastAsia="Arial" w:hAnsi="Arial"/>
                <w:sz w:val="18"/>
                <w:szCs w:val="18"/>
                <w:color w:val="auto"/>
              </w:rPr>
              <w:t>10</w:t>
            </w:r>
          </w:p>
        </w:tc>
        <w:tc>
          <w:tcPr>
            <w:tcW w:w="21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3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10.14</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FOR THE PAYMENT OF BENEFITS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FOLLOWING TERMINATION OF EMPLOYMENT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5360" w:type="dxa"/>
            <w:vAlign w:val="bottom"/>
            <w:gridSpan w:val="2"/>
          </w:tcPr>
          <w:p>
            <w:pPr>
              <w:ind w:left="40"/>
              <w:spacing w:after="0"/>
              <w:rPr>
                <w:sz w:val="20"/>
                <w:szCs w:val="20"/>
                <w:color w:val="auto"/>
              </w:rPr>
            </w:pPr>
            <w:r>
              <w:rPr>
                <w:rFonts w:ascii="Arial" w:cs="Arial" w:eastAsia="Arial" w:hAnsi="Arial"/>
                <w:sz w:val="18"/>
                <w:szCs w:val="18"/>
                <w:color w:val="auto"/>
                <w:w w:val="90"/>
              </w:rPr>
              <w:t>AGREEMENT dated as of October 4, 2011 (the “Effective Date”) between</w:t>
            </w:r>
          </w:p>
        </w:tc>
        <w:tc>
          <w:tcPr>
            <w:tcW w:w="880" w:type="dxa"/>
            <w:vAlign w:val="bottom"/>
            <w:tcBorders>
              <w:bottom w:val="single" w:sz="8" w:color="auto"/>
            </w:tcBorders>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8"/>
                <w:szCs w:val="18"/>
                <w:color w:val="auto"/>
                <w:w w:val="89"/>
              </w:rPr>
              <w:t>, a Delaware corporation (the “Company”), and</w:t>
            </w:r>
          </w:p>
        </w:tc>
      </w:tr>
      <w:tr>
        <w:trPr>
          <w:trHeight w:val="196"/>
        </w:trPr>
        <w:tc>
          <w:tcPr>
            <w:tcW w:w="7120" w:type="dxa"/>
            <w:vAlign w:val="bottom"/>
            <w:gridSpan w:val="4"/>
          </w:tcPr>
          <w:p>
            <w:pPr>
              <w:ind w:left="880"/>
              <w:spacing w:after="0" w:line="196" w:lineRule="exact"/>
              <w:rPr>
                <w:sz w:val="20"/>
                <w:szCs w:val="20"/>
                <w:color w:val="auto"/>
              </w:rPr>
            </w:pPr>
            <w:r>
              <w:rPr>
                <w:rFonts w:ascii="Arial" w:cs="Arial" w:eastAsia="Arial" w:hAnsi="Arial"/>
                <w:sz w:val="18"/>
                <w:szCs w:val="18"/>
                <w:color w:val="auto"/>
              </w:rPr>
              <w:t>(the “Executive”),</w:t>
            </w:r>
          </w:p>
        </w:tc>
        <w:tc>
          <w:tcPr>
            <w:tcW w:w="3340" w:type="dxa"/>
            <w:vAlign w:val="bottom"/>
          </w:tcPr>
          <w:p>
            <w:pPr>
              <w:spacing w:after="0"/>
              <w:rPr>
                <w:sz w:val="17"/>
                <w:szCs w:val="17"/>
                <w:color w:val="auto"/>
              </w:rPr>
            </w:pPr>
          </w:p>
        </w:tc>
      </w:tr>
      <w:tr>
        <w:trPr>
          <w:trHeight w:val="196"/>
        </w:trPr>
        <w:tc>
          <w:tcPr>
            <w:tcW w:w="880" w:type="dxa"/>
            <w:vAlign w:val="bottom"/>
            <w:tcBorders>
              <w:top w:val="single" w:sz="8" w:color="auto"/>
            </w:tcBorders>
          </w:tcPr>
          <w:p>
            <w:pPr>
              <w:spacing w:after="0"/>
              <w:rPr>
                <w:sz w:val="17"/>
                <w:szCs w:val="17"/>
                <w:color w:val="auto"/>
              </w:rPr>
            </w:pPr>
          </w:p>
        </w:tc>
        <w:tc>
          <w:tcPr>
            <w:tcW w:w="4260" w:type="dxa"/>
            <w:vAlign w:val="bottom"/>
          </w:tcPr>
          <w:p>
            <w:pPr>
              <w:spacing w:after="0"/>
              <w:rPr>
                <w:sz w:val="17"/>
                <w:szCs w:val="17"/>
                <w:color w:val="auto"/>
              </w:rPr>
            </w:pPr>
          </w:p>
        </w:tc>
        <w:tc>
          <w:tcPr>
            <w:tcW w:w="1980" w:type="dxa"/>
            <w:vAlign w:val="bottom"/>
            <w:gridSpan w:val="2"/>
          </w:tcPr>
          <w:p>
            <w:pPr>
              <w:spacing w:after="0" w:line="196" w:lineRule="exact"/>
              <w:rPr>
                <w:sz w:val="20"/>
                <w:szCs w:val="20"/>
                <w:color w:val="auto"/>
              </w:rPr>
            </w:pPr>
            <w:r>
              <w:rPr>
                <w:rFonts w:ascii="Arial" w:cs="Arial" w:eastAsia="Arial" w:hAnsi="Arial"/>
                <w:sz w:val="18"/>
                <w:szCs w:val="18"/>
                <w:color w:val="auto"/>
              </w:rPr>
              <w:t>WITNESSETH:</w:t>
            </w:r>
          </w:p>
        </w:tc>
        <w:tc>
          <w:tcPr>
            <w:tcW w:w="3340" w:type="dxa"/>
            <w:vAlign w:val="bottom"/>
          </w:tcPr>
          <w:p>
            <w:pPr>
              <w:spacing w:after="0"/>
              <w:rPr>
                <w:sz w:val="17"/>
                <w:szCs w:val="17"/>
                <w:color w:val="auto"/>
              </w:rPr>
            </w:pPr>
          </w:p>
        </w:tc>
      </w:tr>
      <w:tr>
        <w:trPr>
          <w:trHeight w:val="397"/>
        </w:trPr>
        <w:tc>
          <w:tcPr>
            <w:tcW w:w="5140" w:type="dxa"/>
            <w:vAlign w:val="bottom"/>
            <w:gridSpan w:val="2"/>
          </w:tcPr>
          <w:p>
            <w:pPr>
              <w:ind w:left="460"/>
              <w:spacing w:after="0"/>
              <w:rPr>
                <w:sz w:val="20"/>
                <w:szCs w:val="20"/>
                <w:color w:val="auto"/>
              </w:rPr>
            </w:pPr>
            <w:r>
              <w:rPr>
                <w:rFonts w:ascii="Arial" w:cs="Arial" w:eastAsia="Arial" w:hAnsi="Arial"/>
                <w:sz w:val="18"/>
                <w:szCs w:val="18"/>
                <w:color w:val="auto"/>
                <w:w w:val="95"/>
              </w:rPr>
              <w:t>WHEREAS, the Executive is employed by the Company; and</w:t>
            </w:r>
          </w:p>
        </w:tc>
        <w:tc>
          <w:tcPr>
            <w:tcW w:w="110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3340" w:type="dxa"/>
            <w:vAlign w:val="bottom"/>
          </w:tcPr>
          <w:p>
            <w:pPr>
              <w:spacing w:after="0"/>
              <w:rPr>
                <w:sz w:val="24"/>
                <w:szCs w:val="24"/>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is a wholly-owned subsidiary of Fortune Brands Home &amp; Security, Inc., a Delaware corporation (“FBHS”); and</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WHEREAS, the Company and the Executive desire to enter into this Agreement to set forth the benefits to be provided to the Executive in the event that his or her employment terminates under the circumstances described 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foregoing, the parties agree as follows:</w:t>
      </w:r>
    </w:p>
    <w:p>
      <w:pPr>
        <w:spacing w:after="0" w:line="171" w:lineRule="exact"/>
        <w:rPr>
          <w:sz w:val="20"/>
          <w:szCs w:val="20"/>
          <w:color w:val="auto"/>
        </w:rPr>
      </w:pPr>
    </w:p>
    <w:p>
      <w:pPr>
        <w:ind w:left="640" w:hanging="176"/>
        <w:spacing w:after="0"/>
        <w:tabs>
          <w:tab w:leader="none" w:pos="64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terms shall have the meanings set forth below:</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“Cause” shall mean:</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2"/>
          <w:numId w:val="132"/>
        </w:numPr>
        <w:rPr>
          <w:rFonts w:ascii="Arial" w:cs="Arial" w:eastAsia="Arial" w:hAnsi="Arial"/>
          <w:sz w:val="16"/>
          <w:szCs w:val="16"/>
          <w:color w:val="auto"/>
        </w:rPr>
      </w:pPr>
      <w:r>
        <w:rPr>
          <w:rFonts w:ascii="Arial" w:cs="Arial" w:eastAsia="Arial" w:hAnsi="Arial"/>
          <w:sz w:val="16"/>
          <w:szCs w:val="16"/>
          <w:color w:val="auto"/>
        </w:rPr>
        <w:t>the Executive’s willful and continuous failure to substantially perform his or her material duties (other than a failure due to a Disability);</w:t>
      </w:r>
    </w:p>
    <w:p>
      <w:pPr>
        <w:spacing w:after="0" w:line="113" w:lineRule="exact"/>
        <w:rPr>
          <w:rFonts w:ascii="Arial" w:cs="Arial" w:eastAsia="Arial" w:hAnsi="Arial"/>
          <w:sz w:val="16"/>
          <w:szCs w:val="16"/>
          <w:color w:val="auto"/>
        </w:rPr>
      </w:pPr>
    </w:p>
    <w:p>
      <w:pPr>
        <w:ind w:left="920" w:right="480" w:firstLine="421"/>
        <w:spacing w:after="0" w:line="268" w:lineRule="auto"/>
        <w:tabs>
          <w:tab w:leader="none" w:pos="1598" w:val="left"/>
        </w:tabs>
        <w:numPr>
          <w:ilvl w:val="2"/>
          <w:numId w:val="132"/>
        </w:numPr>
        <w:rPr>
          <w:rFonts w:ascii="Arial" w:cs="Arial" w:eastAsia="Arial" w:hAnsi="Arial"/>
          <w:sz w:val="18"/>
          <w:szCs w:val="18"/>
          <w:color w:val="auto"/>
        </w:rPr>
      </w:pPr>
      <w:r>
        <w:rPr>
          <w:rFonts w:ascii="Arial" w:cs="Arial" w:eastAsia="Arial" w:hAnsi="Arial"/>
          <w:sz w:val="18"/>
          <w:szCs w:val="18"/>
          <w:color w:val="auto"/>
        </w:rPr>
        <w:t>the commission of any activities constituting a violation or breach under any federal, state or local law or regulation applicable to the activities of the Company, as determined in the reasonable judgment of the Company;</w:t>
      </w:r>
    </w:p>
    <w:p>
      <w:pPr>
        <w:spacing w:after="0" w:line="50" w:lineRule="exact"/>
        <w:rPr>
          <w:rFonts w:ascii="Arial" w:cs="Arial" w:eastAsia="Arial" w:hAnsi="Arial"/>
          <w:sz w:val="18"/>
          <w:szCs w:val="18"/>
          <w:color w:val="auto"/>
        </w:rPr>
      </w:pPr>
    </w:p>
    <w:p>
      <w:pPr>
        <w:ind w:left="920" w:right="160" w:firstLine="421"/>
        <w:spacing w:after="0" w:line="268" w:lineRule="auto"/>
        <w:tabs>
          <w:tab w:leader="none" w:pos="1647" w:val="left"/>
        </w:tabs>
        <w:numPr>
          <w:ilvl w:val="2"/>
          <w:numId w:val="132"/>
        </w:numPr>
        <w:rPr>
          <w:rFonts w:ascii="Arial" w:cs="Arial" w:eastAsia="Arial" w:hAnsi="Arial"/>
          <w:sz w:val="18"/>
          <w:szCs w:val="18"/>
          <w:color w:val="auto"/>
        </w:rPr>
      </w:pPr>
      <w:r>
        <w:rPr>
          <w:rFonts w:ascii="Arial" w:cs="Arial" w:eastAsia="Arial" w:hAnsi="Arial"/>
          <w:sz w:val="18"/>
          <w:szCs w:val="18"/>
          <w:color w:val="auto"/>
        </w:rPr>
        <w:t>fraud, breach of fiduciary duty, dishonesty, misappropriation or other actions that cause significant damage to the property or business of the Company;</w:t>
      </w:r>
    </w:p>
    <w:p>
      <w:pPr>
        <w:spacing w:after="0" w:line="50" w:lineRule="exact"/>
        <w:rPr>
          <w:rFonts w:ascii="Arial" w:cs="Arial" w:eastAsia="Arial" w:hAnsi="Arial"/>
          <w:sz w:val="18"/>
          <w:szCs w:val="18"/>
          <w:color w:val="auto"/>
        </w:rPr>
      </w:pPr>
    </w:p>
    <w:p>
      <w:pPr>
        <w:ind w:left="920" w:right="220" w:firstLine="421"/>
        <w:spacing w:after="0" w:line="268" w:lineRule="auto"/>
        <w:tabs>
          <w:tab w:leader="none" w:pos="1637" w:val="left"/>
        </w:tabs>
        <w:numPr>
          <w:ilvl w:val="2"/>
          <w:numId w:val="132"/>
        </w:numPr>
        <w:rPr>
          <w:rFonts w:ascii="Arial" w:cs="Arial" w:eastAsia="Arial" w:hAnsi="Arial"/>
          <w:sz w:val="18"/>
          <w:szCs w:val="18"/>
          <w:color w:val="auto"/>
        </w:rPr>
      </w:pPr>
      <w:r>
        <w:rPr>
          <w:rFonts w:ascii="Arial" w:cs="Arial" w:eastAsia="Arial" w:hAnsi="Arial"/>
          <w:sz w:val="18"/>
          <w:szCs w:val="18"/>
          <w:color w:val="auto"/>
        </w:rPr>
        <w:t>repeated absences from work such that the Executive is unable to perform his or her employment or other duties in all material respects, other than due to Disability;</w:t>
      </w:r>
    </w:p>
    <w:p>
      <w:pPr>
        <w:spacing w:after="0" w:line="50" w:lineRule="exact"/>
        <w:rPr>
          <w:rFonts w:ascii="Arial" w:cs="Arial" w:eastAsia="Arial" w:hAnsi="Arial"/>
          <w:sz w:val="18"/>
          <w:szCs w:val="18"/>
          <w:color w:val="auto"/>
        </w:rPr>
      </w:pPr>
    </w:p>
    <w:p>
      <w:pPr>
        <w:ind w:left="920" w:right="20" w:firstLine="421"/>
        <w:spacing w:after="0" w:line="332" w:lineRule="auto"/>
        <w:tabs>
          <w:tab w:leader="none" w:pos="1588" w:val="left"/>
        </w:tabs>
        <w:numPr>
          <w:ilvl w:val="2"/>
          <w:numId w:val="132"/>
        </w:numPr>
        <w:rPr>
          <w:rFonts w:ascii="Arial" w:cs="Arial" w:eastAsia="Arial" w:hAnsi="Arial"/>
          <w:sz w:val="16"/>
          <w:szCs w:val="16"/>
          <w:color w:val="auto"/>
        </w:rPr>
      </w:pPr>
      <w:r>
        <w:rPr>
          <w:rFonts w:ascii="Arial" w:cs="Arial" w:eastAsia="Arial" w:hAnsi="Arial"/>
          <w:sz w:val="16"/>
          <w:szCs w:val="16"/>
          <w:color w:val="auto"/>
        </w:rPr>
        <w:t>admission or conviction of, or plea of nolo contendere, to any felony that, in the reasonable judgment of the Company, adversely affects the Company’s reputation or the Executive’s ability to carry out the obligations of his or her employment or services;</w:t>
      </w:r>
    </w:p>
    <w:p>
      <w:pPr>
        <w:spacing w:after="0" w:line="4" w:lineRule="exact"/>
        <w:rPr>
          <w:rFonts w:ascii="Arial" w:cs="Arial" w:eastAsia="Arial" w:hAnsi="Arial"/>
          <w:sz w:val="16"/>
          <w:szCs w:val="16"/>
          <w:color w:val="auto"/>
        </w:rPr>
      </w:pPr>
    </w:p>
    <w:p>
      <w:pPr>
        <w:ind w:left="1640" w:hanging="299"/>
        <w:spacing w:after="0"/>
        <w:tabs>
          <w:tab w:leader="none" w:pos="1640" w:val="left"/>
        </w:tabs>
        <w:numPr>
          <w:ilvl w:val="2"/>
          <w:numId w:val="132"/>
        </w:numPr>
        <w:rPr>
          <w:rFonts w:ascii="Arial" w:cs="Arial" w:eastAsia="Arial" w:hAnsi="Arial"/>
          <w:sz w:val="18"/>
          <w:szCs w:val="18"/>
          <w:color w:val="auto"/>
        </w:rPr>
      </w:pPr>
      <w:r>
        <w:rPr>
          <w:rFonts w:ascii="Arial" w:cs="Arial" w:eastAsia="Arial" w:hAnsi="Arial"/>
          <w:sz w:val="18"/>
          <w:szCs w:val="18"/>
          <w:color w:val="auto"/>
        </w:rPr>
        <w:t>loss of any license or registration that is necessary for the Executive to perform his or her duties for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42" w:name="page143"/>
    <w:bookmarkEnd w:id="142"/>
    <w:p>
      <w:pPr>
        <w:ind w:left="920" w:right="120" w:firstLine="421"/>
        <w:spacing w:after="0" w:line="268" w:lineRule="auto"/>
        <w:tabs>
          <w:tab w:leader="none" w:pos="1686" w:val="left"/>
        </w:tabs>
        <w:numPr>
          <w:ilvl w:val="0"/>
          <w:numId w:val="1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failure to cooperate with the Company in any internal investigation or administrative, regulatory or judicial proceeding, as determined in the reasonable judgment of the Company;</w:t>
      </w:r>
    </w:p>
    <w:p>
      <w:pPr>
        <w:spacing w:after="0" w:line="50" w:lineRule="exact"/>
        <w:rPr>
          <w:rFonts w:ascii="Arial" w:cs="Arial" w:eastAsia="Arial" w:hAnsi="Arial"/>
          <w:sz w:val="18"/>
          <w:szCs w:val="18"/>
          <w:color w:val="auto"/>
        </w:rPr>
      </w:pPr>
    </w:p>
    <w:p>
      <w:pPr>
        <w:ind w:left="920" w:right="280" w:firstLine="421"/>
        <w:spacing w:after="0" w:line="259" w:lineRule="auto"/>
        <w:tabs>
          <w:tab w:leader="none" w:pos="173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act or omission in violation or disregard of the Company’s policies, including but not limited to the Company’s harassment and discrimination policies and Standards of Conduct then in effect, in such a manner as to cause significant loss, damage or injury to the Company’s property, reputation or employees;</w:t>
      </w:r>
    </w:p>
    <w:p>
      <w:pPr>
        <w:spacing w:after="0" w:line="140"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provided, however, that no act or failure to act on the Executive’s part shall be considered “willful” unless it is done, or omitted to be done, by him or her in bad faith or without reasonable belief that his or her action or omission was in the best interests of the Company. Any act or failure to act (A) based upon authority given pursuant to a resolution duly adopted by the Board of Directors of the Company, (B) implementing in good faith the advice of counsel for the Company or</w:t>
      </w:r>
    </w:p>
    <w:p>
      <w:pPr>
        <w:spacing w:after="0" w:line="1" w:lineRule="exact"/>
        <w:rPr>
          <w:sz w:val="20"/>
          <w:szCs w:val="20"/>
          <w:color w:val="auto"/>
        </w:rPr>
      </w:pPr>
    </w:p>
    <w:p>
      <w:pPr>
        <w:ind w:right="80" w:firstLine="8"/>
        <w:spacing w:after="0" w:line="302" w:lineRule="auto"/>
        <w:tabs>
          <w:tab w:leader="none" w:pos="278"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that meets the applicable standard of conduct prescribed for indemnification or reimbursement or payment of expenses under the By-laws of the Company or the laws of the state of its incorporation or the directors’ and officers’ liability insurance of the Company, in each case as in effect at the time Cause would otherwise arise, shall be conclusively presumed to be done, or omitted to be done, in good faith and in the best interests of the Company.</w:t>
      </w:r>
    </w:p>
    <w:p>
      <w:pPr>
        <w:spacing w:after="0" w:line="109" w:lineRule="exact"/>
        <w:rPr>
          <w:rFonts w:ascii="Arial" w:cs="Arial" w:eastAsia="Arial" w:hAnsi="Arial"/>
          <w:sz w:val="16"/>
          <w:szCs w:val="16"/>
          <w:color w:val="auto"/>
        </w:rPr>
      </w:pPr>
    </w:p>
    <w:p>
      <w:pPr>
        <w:ind w:left="1160" w:hanging="239"/>
        <w:spacing w:after="0"/>
        <w:tabs>
          <w:tab w:leader="none" w:pos="1160" w:val="left"/>
        </w:tabs>
        <w:numPr>
          <w:ilvl w:val="2"/>
          <w:numId w:val="134"/>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A “Change in Control” shall be deemed to have occurred if, prior to the Executive’s Termination of Employment:</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with respect to the Company:</w:t>
      </w:r>
    </w:p>
    <w:p>
      <w:pPr>
        <w:spacing w:after="0" w:line="90" w:lineRule="exact"/>
        <w:rPr>
          <w:rFonts w:ascii="Arial" w:cs="Arial" w:eastAsia="Arial" w:hAnsi="Arial"/>
          <w:sz w:val="18"/>
          <w:szCs w:val="18"/>
          <w:color w:val="auto"/>
        </w:rPr>
      </w:pPr>
    </w:p>
    <w:p>
      <w:pPr>
        <w:ind w:left="1920" w:hanging="440"/>
        <w:spacing w:after="0" w:line="289" w:lineRule="auto"/>
        <w:tabs>
          <w:tab w:leader="none" w:pos="1920" w:val="left"/>
        </w:tabs>
        <w:numPr>
          <w:ilvl w:val="3"/>
          <w:numId w:val="134"/>
        </w:numPr>
        <w:rPr>
          <w:rFonts w:ascii="Arial" w:cs="Arial" w:eastAsia="Arial" w:hAnsi="Arial"/>
          <w:sz w:val="16"/>
          <w:szCs w:val="16"/>
          <w:color w:val="auto"/>
        </w:rPr>
      </w:pPr>
      <w:r>
        <w:rPr>
          <w:rFonts w:ascii="Arial" w:cs="Arial" w:eastAsia="Arial" w:hAnsi="Arial"/>
          <w:sz w:val="16"/>
          <w:szCs w:val="16"/>
          <w:color w:val="auto"/>
        </w:rPr>
        <w:t>any person (as that term is used in Sections 13(d) and 14(d) of the Securities Exchange Act of 1934, as amended (the “Exchange Act”) as in effect on the date of this Agreement) (i) is or becomes the beneficial owner (as that term is used in Section 13(d) of the Exchange Act, and the rules and regulations promulgated thereunder, as in effect on the date of this Agreement) of 50% or more of the total fair market value or total voting power (“Voting Securities”) of the Company or (ii) acquires (or has acquired during the 12-month period ending on the date of the most recent acquisition by such person) ownership of the stock of the Company possessing 30% or more of the Voting Securities, excluding, in each case, however, the following: (x) FBHS, (y) any acquisition by an employee benefit plan (or related trust) sponsored or maintained by FBHS or any entity controlled by FBHS (including the Company); and (z) any acquisition by an entity controlled by FBHS; or</w:t>
      </w:r>
    </w:p>
    <w:p>
      <w:pPr>
        <w:spacing w:after="0" w:line="37" w:lineRule="exact"/>
        <w:rPr>
          <w:rFonts w:ascii="Arial" w:cs="Arial" w:eastAsia="Arial" w:hAnsi="Arial"/>
          <w:sz w:val="16"/>
          <w:szCs w:val="16"/>
          <w:color w:val="auto"/>
        </w:rPr>
      </w:pPr>
    </w:p>
    <w:p>
      <w:pPr>
        <w:ind w:left="1920" w:right="160" w:hanging="440"/>
        <w:spacing w:after="0" w:line="332" w:lineRule="auto"/>
        <w:tabs>
          <w:tab w:leader="none" w:pos="1920" w:val="left"/>
        </w:tabs>
        <w:numPr>
          <w:ilvl w:val="3"/>
          <w:numId w:val="134"/>
        </w:numPr>
        <w:rPr>
          <w:rFonts w:ascii="Arial" w:cs="Arial" w:eastAsia="Arial" w:hAnsi="Arial"/>
          <w:sz w:val="16"/>
          <w:szCs w:val="16"/>
          <w:color w:val="auto"/>
        </w:rPr>
      </w:pPr>
      <w:r>
        <w:rPr>
          <w:rFonts w:ascii="Arial" w:cs="Arial" w:eastAsia="Arial" w:hAnsi="Arial"/>
          <w:sz w:val="16"/>
          <w:szCs w:val="16"/>
          <w:color w:val="auto"/>
        </w:rPr>
        <w:t>the Company shall be merged or consolidated with, or, in any transaction or series of transactions, substantially all of the business or assets of the Company shall be sold or otherwise acquired by, another corporation or entity unless, as a result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43" w:name="page144"/>
    <w:bookmarkEnd w:id="143"/>
    <w:p>
      <w:pPr>
        <w:ind w:left="1027"/>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thereof, (i) the stockholders of FBHS or FBHS shall beneficially own, directly or indirectly, at least 60% of the combined Voting Securities of the surviving, resulting or transferee corporation or entity (including, without limitation, a corporation that as a result of such transaction owns the Company or FBHS or all or substantially all of the assets of the Company or FBHS, either directly or through one or more subsidiaries) (“Newco”) immediately thereafter in substantially the same proportions as their ownership immediately prior to such corporate transaction or (ii) no person beneficially owns (as such terms are used in Sections 13(d) and 14(d) of the Exchange Act, and the rules and regulations promulgated thereunder (as in effect on the date hereof)), directly or indirectly, 30% of more of the combined Voting Securities of Newco immediately after such corporate transaction except to the extent that such ownership of the Company or FBHS existed prior to such corporate transaction.</w:t>
      </w:r>
    </w:p>
    <w:p>
      <w:pPr>
        <w:spacing w:after="0" w:line="37" w:lineRule="exact"/>
        <w:rPr>
          <w:sz w:val="20"/>
          <w:szCs w:val="20"/>
          <w:color w:val="auto"/>
        </w:rPr>
      </w:pPr>
    </w:p>
    <w:p>
      <w:pPr>
        <w:ind w:left="567" w:hanging="567"/>
        <w:spacing w:after="0"/>
        <w:tabs>
          <w:tab w:leader="none" w:pos="56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with respect to FBHS:</w:t>
      </w:r>
    </w:p>
    <w:p>
      <w:pPr>
        <w:spacing w:after="0" w:line="90" w:lineRule="exact"/>
        <w:rPr>
          <w:rFonts w:ascii="Arial" w:cs="Arial" w:eastAsia="Arial" w:hAnsi="Arial"/>
          <w:sz w:val="18"/>
          <w:szCs w:val="18"/>
          <w:color w:val="auto"/>
        </w:rPr>
      </w:pPr>
    </w:p>
    <w:p>
      <w:pPr>
        <w:ind w:left="1007" w:hanging="440"/>
        <w:spacing w:after="0" w:line="286" w:lineRule="auto"/>
        <w:tabs>
          <w:tab w:leader="none" w:pos="1007" w:val="left"/>
        </w:tabs>
        <w:numPr>
          <w:ilvl w:val="1"/>
          <w:numId w:val="135"/>
        </w:numPr>
        <w:rPr>
          <w:rFonts w:ascii="Arial" w:cs="Arial" w:eastAsia="Arial" w:hAnsi="Arial"/>
          <w:sz w:val="16"/>
          <w:szCs w:val="16"/>
          <w:color w:val="auto"/>
        </w:rPr>
      </w:pPr>
      <w:r>
        <w:rPr>
          <w:rFonts w:ascii="Arial" w:cs="Arial" w:eastAsia="Arial" w:hAnsi="Arial"/>
          <w:sz w:val="16"/>
          <w:szCs w:val="16"/>
          <w:color w:val="auto"/>
        </w:rPr>
        <w:t>any person (as that term is used in Sections 13(d) and 14(d) of the Exchange Act as in effect on the date of this Agreement) (i) is or becomes the beneficial owner (as that term is used in Section 13(d) of the Exchange Act, and the rules and regulations promulgated thereunder, as in effect on the date of this Agreement) of 50% or more of the total fair market value or total voting power of the Voting Securities of FBHS or (ii) acquires (or has acquired during the 12-month period ending on the date of the most recent acquisition by such person) ownership of the stock of FBHS possessing 30% or more of the Voting Securities, excluding, in each case, however, the following: (x) any acquisition directly from FBHS, other than an acquisition by virtue of the exercise of a conversion privilege unless the security being so converted was itself acquired directly from FBHS; (y) any acquisition by FBHS; (z) any acquisition by an employee benefit plan (or related trust) sponsored or maintained by FBHS or any entity controlled by FBHS; (xx) the acquisition of additional stock or voting power by a person considered to own more than 50% of the total fair market value or Voting Securities in the case of clause (i) of this clause (A) or by a person considered to own more than 30% of the Voting Securities in the case of clause (ii) of this clause (A); or (yy) any acquisition pursuant to a transaction that complies with clauses (i), (ii) and (iii) of clause (C) below;</w:t>
      </w:r>
    </w:p>
    <w:p>
      <w:pPr>
        <w:spacing w:after="0" w:line="46" w:lineRule="exact"/>
        <w:rPr>
          <w:rFonts w:ascii="Arial" w:cs="Arial" w:eastAsia="Arial" w:hAnsi="Arial"/>
          <w:sz w:val="16"/>
          <w:szCs w:val="16"/>
          <w:color w:val="auto"/>
        </w:rPr>
      </w:pPr>
    </w:p>
    <w:p>
      <w:pPr>
        <w:ind w:left="1007" w:right="160" w:hanging="440"/>
        <w:spacing w:after="0" w:line="332" w:lineRule="auto"/>
        <w:tabs>
          <w:tab w:leader="none" w:pos="1007" w:val="left"/>
        </w:tabs>
        <w:numPr>
          <w:ilvl w:val="1"/>
          <w:numId w:val="135"/>
        </w:numPr>
        <w:rPr>
          <w:rFonts w:ascii="Arial" w:cs="Arial" w:eastAsia="Arial" w:hAnsi="Arial"/>
          <w:sz w:val="16"/>
          <w:szCs w:val="16"/>
          <w:color w:val="auto"/>
        </w:rPr>
      </w:pPr>
      <w:r>
        <w:rPr>
          <w:rFonts w:ascii="Arial" w:cs="Arial" w:eastAsia="Arial" w:hAnsi="Arial"/>
          <w:sz w:val="16"/>
          <w:szCs w:val="16"/>
          <w:color w:val="auto"/>
        </w:rPr>
        <w:t>more than 50% of the members of the Board of Directors of FBHS (the “FBHS Board”) shall, during a 12-month period, cease to be Continuing Directors (which term, as used herein, means the directors of FBHS: (i) who were members of the FBHS Board on</w:t>
      </w:r>
    </w:p>
    <w:p>
      <w:pPr>
        <w:spacing w:after="0" w:line="72"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67"/>
          </w:cols>
          <w:pgMar w:left="1153" w:top="280" w:right="279" w:bottom="1440" w:gutter="0" w:footer="0" w:header="0"/>
        </w:sectPr>
      </w:pPr>
    </w:p>
    <w:bookmarkStart w:id="144" w:name="page145"/>
    <w:bookmarkEnd w:id="144"/>
    <w:p>
      <w:pPr>
        <w:ind w:left="19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date hereof; or (ii) who subsequently became directors of FBHS and who were elected or designated to be candidates for election as nominees of the FBHS Board, or whose election or nomination for election by FBHS’s stockholders was otherwise approved, by a vote of a majority of the Continuing Directors then on the FBHS Board but shall not include, in any event, any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 person other than the FBHS Board); or</w:t>
      </w:r>
    </w:p>
    <w:p>
      <w:pPr>
        <w:spacing w:after="0" w:line="39" w:lineRule="exact"/>
        <w:rPr>
          <w:sz w:val="20"/>
          <w:szCs w:val="20"/>
          <w:color w:val="auto"/>
        </w:rPr>
      </w:pPr>
    </w:p>
    <w:p>
      <w:pPr>
        <w:ind w:left="1920" w:hanging="440"/>
        <w:spacing w:after="0" w:line="287" w:lineRule="auto"/>
        <w:tabs>
          <w:tab w:leader="none" w:pos="192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FBHS shall be merged or consolidated with, or, in any transaction or series of transactions, substantially all of the business or assets of FBHS shall be sold or otherwise acquired by, another corporation or entity unless, as a result thereof: (i) the stockholders of FBHS immediately prior thereto shall beneficially own, directly or indirectly, at least 60% of the combined Voting Securities of the surviving, resulting or transferee corporation or entity (including, without limitation, a corporation that as a result of such transaction owns FBHS or all or substantially all of the assets of FBHS, either directly or through one or more subsidiaries) (“FBHS Newco”) immediately thereafter in substantially the same proportions as their ownership immediately prior to such corporate transaction; (ii) no person beneficially owns (as such terms are used in Sections 13(d) and 14(d) of the Exchange Act, and the rules and regulations promulgated thereunder (as in effect on the date hereof)), directly or indirectly, 30% or more of the combined Voting Securities of FBHS Newco immediately after such corporate transaction except to the extent that such ownership of FBHS existed prior to such corporate transaction, and (iii) more than 50% of the members of the Board of Directors of FBHS Newco shall be Continuing Directors.</w:t>
      </w:r>
    </w:p>
    <w:p>
      <w:pPr>
        <w:spacing w:after="0" w:line="41" w:lineRule="exact"/>
        <w:rPr>
          <w:rFonts w:ascii="Arial" w:cs="Arial" w:eastAsia="Arial" w:hAnsi="Arial"/>
          <w:sz w:val="16"/>
          <w:szCs w:val="16"/>
          <w:color w:val="auto"/>
        </w:rPr>
      </w:pPr>
    </w:p>
    <w:p>
      <w:pPr>
        <w:jc w:val="both"/>
        <w:ind w:firstLine="921"/>
        <w:spacing w:after="0" w:line="259" w:lineRule="auto"/>
        <w:tabs>
          <w:tab w:leader="none" w:pos="1152"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Change in Control Benefit</w:t>
      </w:r>
      <w:r>
        <w:rPr>
          <w:rFonts w:ascii="Arial" w:cs="Arial" w:eastAsia="Arial" w:hAnsi="Arial"/>
          <w:sz w:val="18"/>
          <w:szCs w:val="18"/>
          <w:color w:val="auto"/>
        </w:rPr>
        <w:t>. “Change in Control Benefit” shall refer to any special or enhanced benefits described in Section 3 below to which the Executive may become entitled if his or her employment terminates for one of the reasons listed in Section 2(a) within the 24-month period following a Change in Control.</w:t>
      </w:r>
    </w:p>
    <w:p>
      <w:pPr>
        <w:spacing w:after="0" w:line="59" w:lineRule="exact"/>
        <w:rPr>
          <w:rFonts w:ascii="Arial" w:cs="Arial" w:eastAsia="Arial" w:hAnsi="Arial"/>
          <w:sz w:val="18"/>
          <w:szCs w:val="18"/>
          <w:color w:val="auto"/>
        </w:rPr>
      </w:pPr>
    </w:p>
    <w:p>
      <w:pPr>
        <w:ind w:left="1160" w:hanging="239"/>
        <w:spacing w:after="0"/>
        <w:tabs>
          <w:tab w:leader="none" w:pos="116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“Code” shall mean the Internal Revenue Code of 1986, as amended.</w:t>
      </w:r>
    </w:p>
    <w:p>
      <w:pPr>
        <w:spacing w:after="0" w:line="90" w:lineRule="exact"/>
        <w:rPr>
          <w:rFonts w:ascii="Arial" w:cs="Arial" w:eastAsia="Arial" w:hAnsi="Arial"/>
          <w:sz w:val="18"/>
          <w:szCs w:val="18"/>
          <w:color w:val="auto"/>
        </w:rPr>
      </w:pPr>
    </w:p>
    <w:p>
      <w:pPr>
        <w:ind w:right="40" w:firstLine="921"/>
        <w:spacing w:after="0" w:line="259" w:lineRule="auto"/>
        <w:tabs>
          <w:tab w:leader="none" w:pos="1152"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“Disability” shall mean a physical or mental illness that results in the Executive’s absence from the full-time performance of his or her duties for 180 consecutive calendar days and within 30 days after the Notice of Termination is given to the Executive by the Company, the Executive shall not have returned to full-time performance of his or her duties.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45" w:name="page146"/>
    <w:bookmarkEnd w:id="145"/>
    <w:p>
      <w:pPr>
        <w:ind w:left="-60" w:right="80" w:firstLine="921"/>
        <w:spacing w:after="0" w:line="332" w:lineRule="auto"/>
        <w:tabs>
          <w:tab w:leader="none" w:pos="1072"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Good Reason.</w:t>
      </w:r>
      <w:r>
        <w:rPr>
          <w:rFonts w:ascii="Arial" w:cs="Arial" w:eastAsia="Arial" w:hAnsi="Arial"/>
          <w:sz w:val="16"/>
          <w:szCs w:val="16"/>
          <w:color w:val="auto"/>
        </w:rPr>
        <w:t xml:space="preserve"> Termination of employment by the Executive for Good Reason shall be deemed to have occurred only if the Executive terminates his or her employment and provides a Notice of Termination to the Company prior to such date for any of the following reasons:</w:t>
      </w:r>
    </w:p>
    <w:p>
      <w:pPr>
        <w:spacing w:after="0" w:line="4" w:lineRule="exact"/>
        <w:rPr>
          <w:rFonts w:ascii="Arial" w:cs="Arial" w:eastAsia="Arial" w:hAnsi="Arial"/>
          <w:sz w:val="16"/>
          <w:szCs w:val="16"/>
          <w:color w:val="auto"/>
        </w:rPr>
      </w:pPr>
    </w:p>
    <w:p>
      <w:pPr>
        <w:ind w:left="860" w:right="620" w:firstLine="421"/>
        <w:spacing w:after="0" w:line="268" w:lineRule="auto"/>
        <w:tabs>
          <w:tab w:leader="none" w:pos="1489"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 material change in the Executive’s duties, responsibilities and status, or, in the event of a Change in Control, a material change in Executive’s reporting responsibilities, titles or offices as in effect at the time of a Change in Control;</w:t>
      </w:r>
    </w:p>
    <w:p>
      <w:pPr>
        <w:spacing w:after="0" w:line="50" w:lineRule="exact"/>
        <w:rPr>
          <w:rFonts w:ascii="Arial" w:cs="Arial" w:eastAsia="Arial" w:hAnsi="Arial"/>
          <w:sz w:val="18"/>
          <w:szCs w:val="18"/>
          <w:color w:val="auto"/>
        </w:rPr>
      </w:pPr>
    </w:p>
    <w:p>
      <w:pPr>
        <w:ind w:left="1540" w:hanging="259"/>
        <w:spacing w:after="0"/>
        <w:tabs>
          <w:tab w:leader="none" w:pos="154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 material reduction in the Executive’s then current base salary;</w:t>
      </w:r>
    </w:p>
    <w:p>
      <w:pPr>
        <w:spacing w:after="0" w:line="90" w:lineRule="exact"/>
        <w:rPr>
          <w:rFonts w:ascii="Arial" w:cs="Arial" w:eastAsia="Arial" w:hAnsi="Arial"/>
          <w:sz w:val="18"/>
          <w:szCs w:val="18"/>
          <w:color w:val="auto"/>
        </w:rPr>
      </w:pPr>
    </w:p>
    <w:p>
      <w:pPr>
        <w:ind w:left="860" w:right="80" w:firstLine="421"/>
        <w:spacing w:after="0" w:line="259" w:lineRule="auto"/>
        <w:tabs>
          <w:tab w:leader="none" w:pos="1587" w:val="left"/>
        </w:tabs>
        <w:numPr>
          <w:ilvl w:val="1"/>
          <w:numId w:val="138"/>
        </w:numPr>
        <w:rPr>
          <w:rFonts w:ascii="Arial" w:cs="Arial" w:eastAsia="Arial" w:hAnsi="Arial"/>
          <w:sz w:val="18"/>
          <w:szCs w:val="18"/>
          <w:color w:val="auto"/>
        </w:rPr>
      </w:pPr>
      <w:r>
        <w:rPr>
          <w:rFonts w:ascii="Arial" w:cs="Arial" w:eastAsia="Arial" w:hAnsi="Arial"/>
          <w:sz w:val="18"/>
          <w:szCs w:val="18"/>
          <w:color w:val="auto"/>
        </w:rPr>
        <w:t>material reduction in the value of the benefits provided to the Executive (other than those plans or improvements that have expired in accordance with their original terms); provided that Good Reason shall not exist to the extent such benefits are similarly reduced or eliminated with respect to similarly situated senior executives of the Company or FBHS, as applicable;</w:t>
      </w:r>
    </w:p>
    <w:p>
      <w:pPr>
        <w:spacing w:after="0" w:line="59" w:lineRule="exact"/>
        <w:rPr>
          <w:rFonts w:ascii="Arial" w:cs="Arial" w:eastAsia="Arial" w:hAnsi="Arial"/>
          <w:sz w:val="18"/>
          <w:szCs w:val="18"/>
          <w:color w:val="auto"/>
        </w:rPr>
      </w:pPr>
    </w:p>
    <w:p>
      <w:pPr>
        <w:ind w:left="860" w:right="120" w:firstLine="421"/>
        <w:spacing w:after="0" w:line="259" w:lineRule="auto"/>
        <w:tabs>
          <w:tab w:leader="none" w:pos="1577"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after a Change in Control, the target bonus awarded by FBHS’s Compensation Committee to Executive under FBHS’s Annual Executive Incentive Compensation Plan (“Incentive Plan”) subsequent to a Change in Control is materially less than such amount last awarded to Executive prior to a Change in Control;</w:t>
      </w:r>
    </w:p>
    <w:p>
      <w:pPr>
        <w:spacing w:after="0" w:line="59" w:lineRule="exact"/>
        <w:rPr>
          <w:rFonts w:ascii="Arial" w:cs="Arial" w:eastAsia="Arial" w:hAnsi="Arial"/>
          <w:sz w:val="18"/>
          <w:szCs w:val="18"/>
          <w:color w:val="auto"/>
        </w:rPr>
      </w:pPr>
    </w:p>
    <w:p>
      <w:pPr>
        <w:ind w:left="860" w:right="40" w:firstLine="421"/>
        <w:spacing w:after="0" w:line="298" w:lineRule="auto"/>
        <w:tabs>
          <w:tab w:leader="none" w:pos="1528" w:val="left"/>
        </w:tabs>
        <w:numPr>
          <w:ilvl w:val="1"/>
          <w:numId w:val="138"/>
        </w:numPr>
        <w:rPr>
          <w:rFonts w:ascii="Arial" w:cs="Arial" w:eastAsia="Arial" w:hAnsi="Arial"/>
          <w:sz w:val="16"/>
          <w:szCs w:val="16"/>
          <w:color w:val="auto"/>
        </w:rPr>
      </w:pPr>
      <w:r>
        <w:rPr>
          <w:rFonts w:ascii="Arial" w:cs="Arial" w:eastAsia="Arial" w:hAnsi="Arial"/>
          <w:sz w:val="16"/>
          <w:szCs w:val="16"/>
          <w:color w:val="auto"/>
        </w:rPr>
        <w:t>after a Change in Control, the sum of the Executive’s base salary and amount paid to him or her as incentive compensation under the Incentive Plan for the calendar year in which the Change in Control occurs or any subsequent year is materially less than the sum of the Executive’s base salary and the amount awarded (whether or not fully paid) to him or her as incentive compensation under the Incentive Plan for the calendar year prior to the Change in Control or any subsequent calendar year in which the sum of such amounts was materially greater;</w:t>
      </w:r>
    </w:p>
    <w:p>
      <w:pPr>
        <w:spacing w:after="0" w:line="31" w:lineRule="exact"/>
        <w:rPr>
          <w:rFonts w:ascii="Arial" w:cs="Arial" w:eastAsia="Arial" w:hAnsi="Arial"/>
          <w:sz w:val="16"/>
          <w:szCs w:val="16"/>
          <w:color w:val="auto"/>
        </w:rPr>
      </w:pPr>
    </w:p>
    <w:p>
      <w:pPr>
        <w:ind w:left="860" w:firstLine="421"/>
        <w:spacing w:after="0" w:line="259" w:lineRule="auto"/>
        <w:tabs>
          <w:tab w:leader="none" w:pos="1577"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relocation of the offices at which Executive is employed to a location more than 35 miles away or the Company requiring Executive to be based anywhere other than at a Company office within 35 miles of the offices at which the Executive is employed, except for required travel on Company business to an extent substantially consistent with Executive’s position;</w:t>
      </w:r>
    </w:p>
    <w:p>
      <w:pPr>
        <w:spacing w:after="0" w:line="59" w:lineRule="exact"/>
        <w:rPr>
          <w:rFonts w:ascii="Arial" w:cs="Arial" w:eastAsia="Arial" w:hAnsi="Arial"/>
          <w:sz w:val="18"/>
          <w:szCs w:val="18"/>
          <w:color w:val="auto"/>
        </w:rPr>
      </w:pPr>
    </w:p>
    <w:p>
      <w:pPr>
        <w:ind w:left="1620" w:hanging="339"/>
        <w:spacing w:after="0"/>
        <w:tabs>
          <w:tab w:leader="none" w:pos="16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any failure of the Company or FBHS to comply with and satisfy Section 8;</w:t>
      </w:r>
    </w:p>
    <w:p>
      <w:pPr>
        <w:spacing w:after="0" w:line="90" w:lineRule="exact"/>
        <w:rPr>
          <w:rFonts w:ascii="Arial" w:cs="Arial" w:eastAsia="Arial" w:hAnsi="Arial"/>
          <w:sz w:val="18"/>
          <w:szCs w:val="18"/>
          <w:color w:val="auto"/>
        </w:rPr>
      </w:pPr>
    </w:p>
    <w:p>
      <w:pPr>
        <w:ind w:left="860" w:right="140" w:firstLine="421"/>
        <w:spacing w:after="0" w:line="259" w:lineRule="auto"/>
        <w:tabs>
          <w:tab w:leader="none" w:pos="1675"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any purported termination of the Executive’s employment which does not comply with Section 1(g) below. For the avoidance of doubt, such purported termination shall not be effective, but shall constitute Good Reason entitling the Executive to terminate his or her employment in accordance with this Section 1(f);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300" w:top="280" w:right="299" w:bottom="1440" w:gutter="0" w:footer="0" w:header="0"/>
        </w:sectPr>
      </w:pPr>
    </w:p>
    <w:bookmarkStart w:id="146" w:name="page147"/>
    <w:bookmarkEnd w:id="146"/>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 further, that the Executive must provide written notice to the Company of the existence of Good Reason no later than 90 days after its initial existence, the Company shall have a period of 30 days following its receipt of such written notice during which it may remedy in all material respects the Good Reason condition identified in such written notice, and the Executive must terminate employment no later than two (2) years following the initial existence of the Good Reason condition identified in such written notice.</w:t>
      </w:r>
    </w:p>
    <w:p>
      <w:pPr>
        <w:spacing w:after="0" w:line="143" w:lineRule="exact"/>
        <w:rPr>
          <w:sz w:val="20"/>
          <w:szCs w:val="20"/>
          <w:color w:val="auto"/>
        </w:rPr>
      </w:pPr>
    </w:p>
    <w:p>
      <w:pPr>
        <w:ind w:right="140" w:firstLine="921"/>
        <w:spacing w:after="0" w:line="298" w:lineRule="auto"/>
        <w:tabs>
          <w:tab w:leader="none" w:pos="1161"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“Notice of Termination” shall mean a written notice sent by the Executive or the Company to the other party, describing the reasons for the termination of the Executive’s employment and including specific reference to the provision(s) of this Agreement at issue. Such Notice of Termination must be provided by the party seeking to terminate the Executive’s employment within 90 days of the existence of either Cause or Good Reason, as applicable, and the party receiving the Notice of Termination shall be given 30 days to remedy such situation (to the extent applicable).</w:t>
      </w:r>
    </w:p>
    <w:p>
      <w:pPr>
        <w:spacing w:after="0" w:line="31" w:lineRule="exact"/>
        <w:rPr>
          <w:rFonts w:ascii="Arial" w:cs="Arial" w:eastAsia="Arial" w:hAnsi="Arial"/>
          <w:sz w:val="16"/>
          <w:szCs w:val="16"/>
          <w:color w:val="auto"/>
        </w:rPr>
      </w:pPr>
    </w:p>
    <w:p>
      <w:pPr>
        <w:ind w:left="1160" w:hanging="239"/>
        <w:spacing w:after="0"/>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Termination Date</w:t>
      </w:r>
      <w:r>
        <w:rPr>
          <w:rFonts w:ascii="Arial" w:cs="Arial" w:eastAsia="Arial" w:hAnsi="Arial"/>
          <w:sz w:val="18"/>
          <w:szCs w:val="18"/>
          <w:color w:val="auto"/>
        </w:rPr>
        <w:t>. “Termination Date” shall mean:</w:t>
      </w:r>
    </w:p>
    <w:p>
      <w:pPr>
        <w:spacing w:after="0" w:line="90" w:lineRule="exact"/>
        <w:rPr>
          <w:rFonts w:ascii="Arial" w:cs="Arial" w:eastAsia="Arial" w:hAnsi="Arial"/>
          <w:sz w:val="18"/>
          <w:szCs w:val="18"/>
          <w:color w:val="auto"/>
        </w:rPr>
      </w:pPr>
    </w:p>
    <w:p>
      <w:pPr>
        <w:ind w:left="920" w:right="900" w:firstLine="421"/>
        <w:spacing w:after="0" w:line="268" w:lineRule="auto"/>
        <w:tabs>
          <w:tab w:leader="none" w:pos="1549"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in the case of Disability, 30 days after Notice of Termination is given, provided that the Executive shall not have returned to the performance of his or her duties on a full-time basis during such 30-day period;</w:t>
      </w:r>
    </w:p>
    <w:p>
      <w:pPr>
        <w:spacing w:after="0" w:line="50" w:lineRule="exact"/>
        <w:rPr>
          <w:rFonts w:ascii="Arial" w:cs="Arial" w:eastAsia="Arial" w:hAnsi="Arial"/>
          <w:sz w:val="18"/>
          <w:szCs w:val="18"/>
          <w:color w:val="auto"/>
        </w:rPr>
      </w:pPr>
    </w:p>
    <w:p>
      <w:pPr>
        <w:ind w:left="1600" w:hanging="259"/>
        <w:spacing w:after="0"/>
        <w:tabs>
          <w:tab w:leader="none" w:pos="16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in the case of Cause, the date on which Notice of Termination is given;</w:t>
      </w:r>
    </w:p>
    <w:p>
      <w:pPr>
        <w:spacing w:after="0" w:line="90" w:lineRule="exact"/>
        <w:rPr>
          <w:rFonts w:ascii="Arial" w:cs="Arial" w:eastAsia="Arial" w:hAnsi="Arial"/>
          <w:sz w:val="18"/>
          <w:szCs w:val="18"/>
          <w:color w:val="auto"/>
        </w:rPr>
      </w:pPr>
    </w:p>
    <w:p>
      <w:pPr>
        <w:ind w:left="920" w:right="420" w:firstLine="421"/>
        <w:spacing w:after="0" w:line="268" w:lineRule="auto"/>
        <w:tabs>
          <w:tab w:leader="none" w:pos="164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in the case of Good Reason, 30 days after the Notice of Termination is given, provided that the Company has not either remedied the conditions giving rise to Good Reason or waived its right to do so; and</w:t>
      </w:r>
    </w:p>
    <w:p>
      <w:pPr>
        <w:spacing w:after="0" w:line="50" w:lineRule="exact"/>
        <w:rPr>
          <w:rFonts w:ascii="Arial" w:cs="Arial" w:eastAsia="Arial" w:hAnsi="Arial"/>
          <w:sz w:val="18"/>
          <w:szCs w:val="18"/>
          <w:color w:val="auto"/>
        </w:rPr>
      </w:pPr>
    </w:p>
    <w:p>
      <w:pPr>
        <w:ind w:left="920" w:firstLine="421"/>
        <w:spacing w:after="0" w:line="268" w:lineRule="auto"/>
        <w:tabs>
          <w:tab w:leader="none" w:pos="163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in the event that employment is terminated for any other reason, the date on which the Executive ceases to perform his or her duties for the Company;</w:t>
      </w:r>
    </w:p>
    <w:p>
      <w:pPr>
        <w:spacing w:after="0" w:line="1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provided, however, that, if within 30 days after any Notice of Termination is given, the receiving party notifies the other party that a dispute exists concerning the reasons for such termination of employment, the Termination Date shall be the date finally determined, either by written agreement of the parties or by a final judgment, order or decree of court of competent jurisdiction (the time for appeal having expired and no appeal having been perfected), to be the date that the Executive’s employment terminated; provided further, however, that if such dispute is resolved in favor of the Company, the Termination Date shall be the date determined under clauses (i) through (iv) of this Section 1(h).</w:t>
      </w:r>
    </w:p>
    <w:p>
      <w:pPr>
        <w:spacing w:after="0" w:line="143" w:lineRule="exact"/>
        <w:rPr>
          <w:sz w:val="20"/>
          <w:szCs w:val="20"/>
          <w:color w:val="auto"/>
        </w:rPr>
      </w:pPr>
    </w:p>
    <w:p>
      <w:pPr>
        <w:ind w:left="640" w:hanging="176"/>
        <w:spacing w:after="0"/>
        <w:tabs>
          <w:tab w:leader="none" w:pos="64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Entitlement to Benefits</w:t>
      </w:r>
      <w:r>
        <w:rPr>
          <w:rFonts w:ascii="Arial" w:cs="Arial" w:eastAsia="Arial" w:hAnsi="Arial"/>
          <w:sz w:val="18"/>
          <w:szCs w:val="18"/>
          <w:color w:val="auto"/>
        </w:rPr>
        <w:t>. The Executive shall be entitled to the benefits described in Section 3 below if:</w:t>
      </w:r>
    </w:p>
    <w:p>
      <w:pPr>
        <w:spacing w:after="0" w:line="171" w:lineRule="exact"/>
        <w:rPr>
          <w:rFonts w:ascii="Arial" w:cs="Arial" w:eastAsia="Arial" w:hAnsi="Arial"/>
          <w:sz w:val="18"/>
          <w:szCs w:val="18"/>
          <w:color w:val="auto"/>
        </w:rPr>
      </w:pPr>
    </w:p>
    <w:p>
      <w:pPr>
        <w:ind w:right="60" w:firstLine="921"/>
        <w:spacing w:after="0" w:line="259" w:lineRule="auto"/>
        <w:tabs>
          <w:tab w:leader="none" w:pos="1152"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Executive’s employment is terminated either by the Company for reasons other than Disability or Cause or by the Executive for Good Reason; provided, however, that, in order for the Executive to be eligible for any Change in Control Benefits, such termination of employment must occur within 24 months after a Change in Control of either the Company or FBHS;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47" w:name="page148"/>
    <w:bookmarkEnd w:id="147"/>
    <w:p>
      <w:pPr>
        <w:ind w:left="1160" w:hanging="239"/>
        <w:spacing w:after="0"/>
        <w:tabs>
          <w:tab w:leader="none" w:pos="11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Executive’s Termination Date occurs while this Agreement is in effect; and</w:t>
      </w:r>
    </w:p>
    <w:p>
      <w:pPr>
        <w:spacing w:after="0" w:line="171" w:lineRule="exact"/>
        <w:rPr>
          <w:rFonts w:ascii="Arial" w:cs="Arial" w:eastAsia="Arial" w:hAnsi="Arial"/>
          <w:sz w:val="18"/>
          <w:szCs w:val="18"/>
          <w:color w:val="auto"/>
        </w:rPr>
      </w:pPr>
    </w:p>
    <w:p>
      <w:pPr>
        <w:ind w:right="120" w:firstLine="921"/>
        <w:spacing w:after="0" w:line="268" w:lineRule="auto"/>
        <w:tabs>
          <w:tab w:leader="none" w:pos="115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Notice of Termination is provided in a timely manner (as described in Section 1(g)) prior to the Executive’s Termination Date by the Company (in the case of termination other than for Disability or Cause) or the Executive (in the case of termination for Good Reason).</w:t>
      </w:r>
    </w:p>
    <w:p>
      <w:pPr>
        <w:spacing w:after="0" w:line="13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Executive’s employment shall be deemed to have terminated for Cause if, after the Executive’s Termination Date, facts and circumstances are discovered that would have justified a termination for Cause. In such event, the Company shall immediately cease any and all payments and benefits being paid or provided to the Executive under Section 3 and the Executive shall repay to the Company within thirty (30) days all amounts previously paid to him or her pursuant to Section 3.</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Nothing in this Agreement is intended to create or imply a promise or contract of employment for a specified term and either Executive or the Company may terminate the employment relationship at any time, with or without Cause or Good Reason, and with or without notice; provided, however, that the Executive shall not be entitled to any benefits under this Agreement in the event his or her employment is terminated by the Company for Disability or Cause, by the Executive other than for Good Reason or following the Executive’s death or the expiration of this Agreement. This Agreement shall have no effect on any obligations that the Company may have to the Executive if his or her employment terminates under circumstances not described herein.</w:t>
      </w:r>
    </w:p>
    <w:p>
      <w:pPr>
        <w:spacing w:after="0" w:line="116" w:lineRule="exact"/>
        <w:rPr>
          <w:sz w:val="20"/>
          <w:szCs w:val="20"/>
          <w:color w:val="auto"/>
        </w:rPr>
      </w:pPr>
    </w:p>
    <w:p>
      <w:pPr>
        <w:ind w:right="80" w:firstLine="921"/>
        <w:spacing w:after="0" w:line="259" w:lineRule="auto"/>
        <w:tabs>
          <w:tab w:leader="none" w:pos="1088"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Benefits Upon Termination of Employment</w:t>
      </w:r>
      <w:r>
        <w:rPr>
          <w:rFonts w:ascii="Arial" w:cs="Arial" w:eastAsia="Arial" w:hAnsi="Arial"/>
          <w:sz w:val="18"/>
          <w:szCs w:val="18"/>
          <w:color w:val="auto"/>
        </w:rPr>
        <w:t>. Notwithstanding the provisions of Section 2 above, in order to receive the benefits described in paragraphs (b), (c), (d) and (e) below, the Executive must timely deliver and not revoke an executed release of legal claims against FBHS, the Company and their affiliates within the timelines set forth therein.</w:t>
      </w:r>
    </w:p>
    <w:p>
      <w:pPr>
        <w:spacing w:after="0" w:line="140" w:lineRule="exact"/>
        <w:rPr>
          <w:sz w:val="20"/>
          <w:szCs w:val="20"/>
          <w:color w:val="auto"/>
        </w:rPr>
      </w:pPr>
    </w:p>
    <w:p>
      <w:pPr>
        <w:ind w:left="1160" w:hanging="239"/>
        <w:spacing w:after="0"/>
        <w:tabs>
          <w:tab w:leader="none" w:pos="1160"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Accrued Pay</w:t>
      </w:r>
      <w:r>
        <w:rPr>
          <w:rFonts w:ascii="Arial" w:cs="Arial" w:eastAsia="Arial" w:hAnsi="Arial"/>
          <w:sz w:val="16"/>
          <w:szCs w:val="16"/>
          <w:color w:val="auto"/>
        </w:rPr>
        <w:t>. The Company shall pay the Executive any base salary or vacation accrued but unpaid through his or her Termination Date.</w:t>
      </w:r>
    </w:p>
    <w:p>
      <w:pPr>
        <w:spacing w:after="0" w:line="194" w:lineRule="exact"/>
        <w:rPr>
          <w:rFonts w:ascii="Arial" w:cs="Arial" w:eastAsia="Arial" w:hAnsi="Arial"/>
          <w:sz w:val="16"/>
          <w:szCs w:val="16"/>
          <w:color w:val="auto"/>
        </w:rPr>
      </w:pPr>
    </w:p>
    <w:p>
      <w:pPr>
        <w:ind w:right="240" w:firstLine="921"/>
        <w:spacing w:after="0" w:line="268" w:lineRule="auto"/>
        <w:tabs>
          <w:tab w:leader="none" w:pos="1161"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Severance Pay</w:t>
      </w:r>
      <w:r>
        <w:rPr>
          <w:rFonts w:ascii="Arial" w:cs="Arial" w:eastAsia="Arial" w:hAnsi="Arial"/>
          <w:sz w:val="18"/>
          <w:szCs w:val="18"/>
          <w:color w:val="auto"/>
        </w:rPr>
        <w:t>. The Company shall pay severance benefits to the Executive equal to the product of one and one-half (1.5) times the sum of the following amounts, subject to any applicable limitations in Sections 3(f) and 3(g) below:</w:t>
      </w:r>
    </w:p>
    <w:p>
      <w:pPr>
        <w:spacing w:after="0" w:line="50" w:lineRule="exact"/>
        <w:rPr>
          <w:rFonts w:ascii="Arial" w:cs="Arial" w:eastAsia="Arial" w:hAnsi="Arial"/>
          <w:sz w:val="18"/>
          <w:szCs w:val="18"/>
          <w:color w:val="auto"/>
        </w:rPr>
      </w:pPr>
    </w:p>
    <w:p>
      <w:pPr>
        <w:ind w:left="1560" w:hanging="219"/>
        <w:spacing w:after="0"/>
        <w:tabs>
          <w:tab w:leader="none" w:pos="15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his or her annual base salary as in effect on the Effective Date, or, if applicable, the date of a Change in Control, plus</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his or her target annual bonus under the Incentive Plan in effect in the calendar year in which the Termination Date occurs, plus</w:t>
      </w:r>
    </w:p>
    <w:p>
      <w:pPr>
        <w:spacing w:after="0" w:line="113" w:lineRule="exact"/>
        <w:rPr>
          <w:rFonts w:ascii="Arial" w:cs="Arial" w:eastAsia="Arial" w:hAnsi="Arial"/>
          <w:sz w:val="16"/>
          <w:szCs w:val="16"/>
          <w:color w:val="auto"/>
        </w:rPr>
      </w:pPr>
    </w:p>
    <w:p>
      <w:pPr>
        <w:ind w:left="920" w:right="300" w:firstLine="421"/>
        <w:spacing w:after="0" w:line="259" w:lineRule="auto"/>
        <w:tabs>
          <w:tab w:leader="none" w:pos="1647"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amount that would have been required to be allocated to the Executive’s account (assuming that he elected the maximum employee contribution) for the year immediately preceding the year in which the Termination Date occurs under the 401(k) retirement plan in which the Executive is participating on his Termination Date, including the matching contribution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48" w:name="page149"/>
    <w:bookmarkEnd w:id="148"/>
    <w:p>
      <w:pPr>
        <w:ind w:left="700"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profit-sharing contribution of the supplemental non-qualified defined contribution plan in which the Executive is participating on his Termination Date (the “Supplemental Plan”);</w:t>
      </w:r>
    </w:p>
    <w:p>
      <w:pPr>
        <w:spacing w:after="0" w:line="132"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Such severance amounts described above shall be paid to the Executive in regular installments through the Company’s normal payroll process and on the Company’s normal payroll dates commencing within 90 days following his or her Termination Date; provided, however, that if such 90-day period begins in a first taxable year and ends in a second taxable year, such severance amounts shall commence no earlier than the first payroll date of the second taxable year.</w:t>
      </w:r>
    </w:p>
    <w:p>
      <w:pPr>
        <w:spacing w:after="0" w:line="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Notwithstanding anything to the contrary in this Section 3(b), for purposes of calculating a Change in Control Benefit, the multiplier in Section 3(b) above shall be changed to 2 and, provided the Change in Control constitutes a “change in control event,” within the meaning of regulations promulgated under Section 409A of the Code, the severance benefit shall be paid to the Executive in a single lump sum payment within 30 days following the Executive’s Termination Date; provided, however, that if such 30-day period begins in a first taxable year and ends in a second taxable year, such lump sum payment shall be paid to the Executive in the second taxable year.</w:t>
      </w:r>
    </w:p>
    <w:p>
      <w:pPr>
        <w:spacing w:after="0" w:line="143" w:lineRule="exact"/>
        <w:rPr>
          <w:sz w:val="20"/>
          <w:szCs w:val="20"/>
          <w:color w:val="auto"/>
        </w:rPr>
      </w:pPr>
    </w:p>
    <w:p>
      <w:pPr>
        <w:ind w:firstLine="921"/>
        <w:spacing w:after="0" w:line="310" w:lineRule="auto"/>
        <w:tabs>
          <w:tab w:leader="none" w:pos="1152" w:val="left"/>
        </w:tabs>
        <w:numPr>
          <w:ilvl w:val="0"/>
          <w:numId w:val="144"/>
        </w:numPr>
        <w:rPr>
          <w:rFonts w:ascii="Arial" w:cs="Arial" w:eastAsia="Arial" w:hAnsi="Arial"/>
          <w:sz w:val="15"/>
          <w:szCs w:val="15"/>
          <w:color w:val="auto"/>
        </w:rPr>
      </w:pPr>
      <w:r>
        <w:rPr>
          <w:rFonts w:ascii="Arial" w:cs="Arial" w:eastAsia="Arial" w:hAnsi="Arial"/>
          <w:sz w:val="15"/>
          <w:szCs w:val="15"/>
          <w:u w:val="single" w:color="auto"/>
          <w:color w:val="auto"/>
        </w:rPr>
        <w:t>Continued Benefits Coverage</w:t>
      </w:r>
      <w:r>
        <w:rPr>
          <w:rFonts w:ascii="Arial" w:cs="Arial" w:eastAsia="Arial" w:hAnsi="Arial"/>
          <w:sz w:val="15"/>
          <w:szCs w:val="15"/>
          <w:color w:val="auto"/>
        </w:rPr>
        <w:t>. The Company (or, if applicable, FBHS) shall maintain for the Executive’s benefit all employee life, health, and accident plan coverage(s) that Executive was receiving immediately prior to his or her Termination Date, provided that his or her continued participation is allowed under the terms of such plans. The Company (or, if applicable, FBHS) shall maintain such coverage(s) following the Executive’s Termination Date for 18 months, or, if the Executive is entitled to a Change in Control Benefit, two (2) years. With respect to any continued health coverage (medical, dental and vision), the Executive shall be required to pay the applicable active employee rate of coverage for similar coverage, and such coverage shall run concurrent with coverage required to be provided under the Consolidated Omnibus Budget Reconciliation Act of 1985 (“COBRA”). If the Company (or, if applicable, FBHS) continues to provide the continued health coverage described in this Section 3(c) after the applicable period of COBRA coverage would have otherwise expired, the Executive may be taxed on the value of such coverage. No other welfare or fringe benefits shall be provided except as specifically provided in this Section 3(c).</w:t>
      </w:r>
    </w:p>
    <w:p>
      <w:pPr>
        <w:spacing w:after="0" w:line="108" w:lineRule="exact"/>
        <w:rPr>
          <w:rFonts w:ascii="Arial" w:cs="Arial" w:eastAsia="Arial" w:hAnsi="Arial"/>
          <w:sz w:val="15"/>
          <w:szCs w:val="15"/>
          <w:color w:val="auto"/>
        </w:rPr>
      </w:pPr>
    </w:p>
    <w:p>
      <w:pPr>
        <w:ind w:right="20" w:firstLine="921"/>
        <w:spacing w:after="0" w:line="268" w:lineRule="auto"/>
        <w:tabs>
          <w:tab w:leader="none" w:pos="1161"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Incentive Compensation</w:t>
      </w:r>
      <w:r>
        <w:rPr>
          <w:rFonts w:ascii="Arial" w:cs="Arial" w:eastAsia="Arial" w:hAnsi="Arial"/>
          <w:sz w:val="18"/>
          <w:szCs w:val="18"/>
          <w:color w:val="auto"/>
        </w:rPr>
        <w:t>. The following amounts shall become payable to the Executive following his or her Termination Date, as of the date that annual incentive awards are normally paid by the Company:</w:t>
      </w:r>
    </w:p>
    <w:p>
      <w:pPr>
        <w:spacing w:after="0" w:line="50" w:lineRule="exact"/>
        <w:rPr>
          <w:rFonts w:ascii="Arial" w:cs="Arial" w:eastAsia="Arial" w:hAnsi="Arial"/>
          <w:sz w:val="18"/>
          <w:szCs w:val="18"/>
          <w:color w:val="auto"/>
        </w:rPr>
      </w:pPr>
    </w:p>
    <w:p>
      <w:pPr>
        <w:ind w:left="920" w:right="540" w:firstLine="421"/>
        <w:spacing w:after="0" w:line="268" w:lineRule="auto"/>
        <w:tabs>
          <w:tab w:leader="none" w:pos="1549"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any unpaid amounts awarded to the Executive as incentive compensation under the Incentive Plan for the calendar year immediately preceding the year in which the Termination Date occurs; and</w:t>
      </w:r>
    </w:p>
    <w:p>
      <w:pPr>
        <w:spacing w:after="0" w:line="50" w:lineRule="exact"/>
        <w:rPr>
          <w:rFonts w:ascii="Arial" w:cs="Arial" w:eastAsia="Arial" w:hAnsi="Arial"/>
          <w:sz w:val="18"/>
          <w:szCs w:val="18"/>
          <w:color w:val="auto"/>
        </w:rPr>
      </w:pPr>
    </w:p>
    <w:p>
      <w:pPr>
        <w:ind w:left="920" w:right="440" w:firstLine="421"/>
        <w:spacing w:after="0" w:line="259" w:lineRule="auto"/>
        <w:tabs>
          <w:tab w:leader="none" w:pos="1598"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an amount equal to the award the Executive would have received under the Incentive Plan based upon the actual performance of the Company and FBHS for the calendar year in which the Termination Date occurs, prorated for the portion of the calendar year during which the Executive was employed.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49" w:name="page150"/>
    <w:bookmarkEnd w:id="149"/>
    <w:p>
      <w:pPr>
        <w:ind w:left="-20" w:right="20" w:firstLine="921"/>
        <w:spacing w:after="0" w:line="254" w:lineRule="auto"/>
        <w:tabs>
          <w:tab w:leader="none" w:pos="1132"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Unvested Retirement Savings Benefits</w:t>
      </w:r>
      <w:r>
        <w:rPr>
          <w:rFonts w:ascii="Arial" w:cs="Arial" w:eastAsia="Arial" w:hAnsi="Arial"/>
          <w:sz w:val="18"/>
          <w:szCs w:val="18"/>
          <w:color w:val="auto"/>
        </w:rPr>
        <w:t>. If the Executive is entitled to a Change in Control Benefit, the Company shall pay to the Executive as additional severance pay in a lump sum an amount, if any, equal to the nonvested portion of his or her account balances under the 401(k) retirement plan in which the Executive is participating on his Termination Date and the defined contribution plan of any affiliate of the Company in which there is maintained for him or her an account balance which is not fully vested. Such payment shall be paid to the Executive in a lump sum payment within 30 days following the Executive’s Termination Date; provided, however, that if such 30-day period begins in a first taxable year and ends in a second taxable year, such lump sum payment shall be paid to the Executive in the second taxable year.</w:t>
      </w:r>
    </w:p>
    <w:p>
      <w:pPr>
        <w:spacing w:after="0" w:line="144" w:lineRule="exact"/>
        <w:rPr>
          <w:rFonts w:ascii="Arial" w:cs="Arial" w:eastAsia="Arial" w:hAnsi="Arial"/>
          <w:sz w:val="18"/>
          <w:szCs w:val="18"/>
          <w:color w:val="auto"/>
        </w:rPr>
      </w:pPr>
    </w:p>
    <w:p>
      <w:pPr>
        <w:ind w:left="-20" w:firstLine="921"/>
        <w:spacing w:after="0" w:line="268" w:lineRule="auto"/>
        <w:tabs>
          <w:tab w:leader="none" w:pos="1112"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The Company may withhold from any benefits payable under this Agreement any applicable federal, state, city or other taxes as required by law.</w:t>
      </w:r>
    </w:p>
    <w:p>
      <w:pPr>
        <w:spacing w:after="0" w:line="131" w:lineRule="exact"/>
        <w:rPr>
          <w:rFonts w:ascii="Arial" w:cs="Arial" w:eastAsia="Arial" w:hAnsi="Arial"/>
          <w:sz w:val="18"/>
          <w:szCs w:val="18"/>
          <w:color w:val="auto"/>
        </w:rPr>
      </w:pPr>
    </w:p>
    <w:p>
      <w:pPr>
        <w:ind w:left="-20" w:firstLine="921"/>
        <w:spacing w:after="0" w:line="298" w:lineRule="auto"/>
        <w:tabs>
          <w:tab w:leader="none" w:pos="1141" w:val="left"/>
        </w:tabs>
        <w:numPr>
          <w:ilvl w:val="1"/>
          <w:numId w:val="145"/>
        </w:numPr>
        <w:rPr>
          <w:rFonts w:ascii="Arial" w:cs="Arial" w:eastAsia="Arial" w:hAnsi="Arial"/>
          <w:sz w:val="16"/>
          <w:szCs w:val="16"/>
          <w:color w:val="auto"/>
        </w:rPr>
      </w:pPr>
      <w:r>
        <w:rPr>
          <w:rFonts w:ascii="Arial" w:cs="Arial" w:eastAsia="Arial" w:hAnsi="Arial"/>
          <w:sz w:val="16"/>
          <w:szCs w:val="16"/>
          <w:u w:val="single" w:color="auto"/>
          <w:color w:val="auto"/>
        </w:rPr>
        <w:t>Time of Payment for Specified Employees</w:t>
      </w:r>
      <w:r>
        <w:rPr>
          <w:rFonts w:ascii="Arial" w:cs="Arial" w:eastAsia="Arial" w:hAnsi="Arial"/>
          <w:sz w:val="16"/>
          <w:szCs w:val="16"/>
          <w:color w:val="auto"/>
        </w:rPr>
        <w:t>. Notwithstanding any provision of this Section 3 to the contrary, if the Executive is a “specified employee” of the the Company (as defined in Section 409A of the Code), amounts that would otherwise have been paid to or on behalf of the Executive under the foregoing provisions of this Section 3 (but excluding amounts described in paragraph 3(c) above) during the six-month period immediately following the Termination Date shall be paid on the first regular payroll date immediately following the six-month anniversary of the Termination Date.</w:t>
      </w:r>
    </w:p>
    <w:p>
      <w:pPr>
        <w:spacing w:after="0" w:line="112" w:lineRule="exact"/>
        <w:rPr>
          <w:rFonts w:ascii="Arial" w:cs="Arial" w:eastAsia="Arial" w:hAnsi="Arial"/>
          <w:sz w:val="16"/>
          <w:szCs w:val="16"/>
          <w:color w:val="auto"/>
        </w:rPr>
      </w:pPr>
    </w:p>
    <w:p>
      <w:pPr>
        <w:ind w:left="-20" w:right="140" w:firstLine="921"/>
        <w:spacing w:after="0" w:line="306" w:lineRule="auto"/>
        <w:tabs>
          <w:tab w:leader="none" w:pos="1141" w:val="left"/>
        </w:tabs>
        <w:numPr>
          <w:ilvl w:val="1"/>
          <w:numId w:val="145"/>
        </w:numPr>
        <w:rPr>
          <w:rFonts w:ascii="Arial" w:cs="Arial" w:eastAsia="Arial" w:hAnsi="Arial"/>
          <w:sz w:val="16"/>
          <w:szCs w:val="16"/>
          <w:color w:val="auto"/>
        </w:rPr>
      </w:pPr>
      <w:r>
        <w:rPr>
          <w:rFonts w:ascii="Arial" w:cs="Arial" w:eastAsia="Arial" w:hAnsi="Arial"/>
          <w:sz w:val="16"/>
          <w:szCs w:val="16"/>
          <w:u w:val="single" w:color="auto"/>
          <w:color w:val="auto"/>
        </w:rPr>
        <w:t>No Duty to Mitigate</w:t>
      </w:r>
      <w:r>
        <w:rPr>
          <w:rFonts w:ascii="Arial" w:cs="Arial" w:eastAsia="Arial" w:hAnsi="Arial"/>
          <w:sz w:val="16"/>
          <w:szCs w:val="16"/>
          <w:color w:val="auto"/>
        </w:rPr>
        <w:t>. The Executive shall not be required to mitigate the amount of any payment provided for in this Section 3 by seeking other employment or otherwise, nor shall the amount of any payment provided for in this Section 3 be reduced by any compensation earned by the Executive as the result of employment by another employer after the Termination Date or by any other compensation.</w:t>
      </w:r>
    </w:p>
    <w:p>
      <w:pPr>
        <w:spacing w:after="0" w:line="106" w:lineRule="exact"/>
        <w:rPr>
          <w:rFonts w:ascii="Arial" w:cs="Arial" w:eastAsia="Arial" w:hAnsi="Arial"/>
          <w:sz w:val="16"/>
          <w:szCs w:val="16"/>
          <w:color w:val="auto"/>
        </w:rPr>
      </w:pPr>
    </w:p>
    <w:p>
      <w:pPr>
        <w:ind w:left="-20" w:right="40" w:firstLine="921"/>
        <w:spacing w:after="0" w:line="253" w:lineRule="auto"/>
        <w:tabs>
          <w:tab w:leader="none" w:pos="1102"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No Other Severance Benefits</w:t>
      </w:r>
      <w:r>
        <w:rPr>
          <w:rFonts w:ascii="Arial" w:cs="Arial" w:eastAsia="Arial" w:hAnsi="Arial"/>
          <w:sz w:val="18"/>
          <w:szCs w:val="18"/>
          <w:color w:val="auto"/>
        </w:rPr>
        <w:t>. This Agreement sets forth the entire agreement of the parties hereto in respect of the subject matter contained herein and supersedes all prior agreements, promises, covenants, arrangements, communications, representations or warranties, whether oral or written, by any officer, employee or representative of the Company, FBHS, their affiliates or any of their predecessors, including but not limited to any severance pay program or other documents covering salaried or executive employees generally maintained by the Company, FBHS or any of their affiliates or subsidiaries. To the extent severance payments or benefits are required under any applicable local law or otherwise, benefits payable under this Agreement shall be reduced to the extent of any such severance payments or benefits (including, but not limited to, any laws requiring payment in lieu of notice upon the Executive’s termination of employment).</w:t>
      </w:r>
    </w:p>
    <w:p>
      <w:pPr>
        <w:spacing w:after="0" w:line="147" w:lineRule="exact"/>
        <w:rPr>
          <w:rFonts w:ascii="Arial" w:cs="Arial" w:eastAsia="Arial" w:hAnsi="Arial"/>
          <w:sz w:val="18"/>
          <w:szCs w:val="18"/>
          <w:color w:val="auto"/>
        </w:rPr>
      </w:pPr>
    </w:p>
    <w:p>
      <w:pPr>
        <w:ind w:left="-20" w:right="60" w:firstLine="464"/>
        <w:spacing w:after="0" w:line="255" w:lineRule="auto"/>
        <w:tabs>
          <w:tab w:leader="none" w:pos="612"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Certain Reductions Due to Section 280G</w:t>
      </w:r>
      <w:r>
        <w:rPr>
          <w:rFonts w:ascii="Arial" w:cs="Arial" w:eastAsia="Arial" w:hAnsi="Arial"/>
          <w:sz w:val="18"/>
          <w:szCs w:val="18"/>
          <w:color w:val="auto"/>
        </w:rPr>
        <w:t>. Notwithstanding any provision of this Agreement to the contrary, in the event it shall be (or is subsequently) determined that any payment, distribution or acceleration of vesting by FBHS or the Company to or for the benefit of the Executive (whether pursuant to the terms of this Agreement or otherwise (any such payment, distribution or acceleration of vesting being referred to as a “Payment”) would be subject to the excise tax imposed by Section 4999 of the Code (the “Excise Tax”), then the Change in Control Benefit payable to the Executive under this Agreement shall be reduced (or appropriately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280" w:right="259" w:bottom="1440" w:gutter="0" w:footer="0" w:header="0"/>
        </w:sectPr>
      </w:pPr>
    </w:p>
    <w:bookmarkStart w:id="150" w:name="page151"/>
    <w:bookmarkEnd w:id="150"/>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adjusted) to an amount that is one dollar less than the smallest amount that would give rise to the Excise Tax (the “Reduced Amount”) if such Reduced Amount would be greater than the net after-tax proceeds (taking into account both the Excise Tax and any interest or penalties payable with respect to the Excise Tax) of the unreduced Change in Control Benefit payable to the Executive. If the Change in Control Benefit is required to be reduced pursuant to this Section 4, there shall be no discretion in the ordering of the Payments payable under this Agreement so reduced, and such reductions shall be applied in the order which results in the best economic benefit to Executive; and to the extent such ordering of reductions is economically equivalent, such Payments shall be reduced on a pro rata basis.</w:t>
      </w:r>
    </w:p>
    <w:p>
      <w:pPr>
        <w:spacing w:after="0" w:line="144" w:lineRule="exact"/>
        <w:rPr>
          <w:sz w:val="20"/>
          <w:szCs w:val="20"/>
          <w:color w:val="auto"/>
        </w:rPr>
      </w:pPr>
    </w:p>
    <w:p>
      <w:pPr>
        <w:ind w:firstLine="464"/>
        <w:spacing w:after="0" w:line="307" w:lineRule="auto"/>
        <w:tabs>
          <w:tab w:leader="none" w:pos="632" w:val="left"/>
        </w:tabs>
        <w:numPr>
          <w:ilvl w:val="0"/>
          <w:numId w:val="147"/>
        </w:numPr>
        <w:rPr>
          <w:rFonts w:ascii="Arial" w:cs="Arial" w:eastAsia="Arial" w:hAnsi="Arial"/>
          <w:sz w:val="15"/>
          <w:szCs w:val="15"/>
          <w:color w:val="auto"/>
        </w:rPr>
      </w:pPr>
      <w:r>
        <w:rPr>
          <w:rFonts w:ascii="Arial" w:cs="Arial" w:eastAsia="Arial" w:hAnsi="Arial"/>
          <w:sz w:val="15"/>
          <w:szCs w:val="15"/>
          <w:u w:val="single" w:color="auto"/>
          <w:color w:val="auto"/>
        </w:rPr>
        <w:t>Section 409A</w:t>
      </w:r>
      <w:r>
        <w:rPr>
          <w:rFonts w:ascii="Arial" w:cs="Arial" w:eastAsia="Arial" w:hAnsi="Arial"/>
          <w:sz w:val="15"/>
          <w:szCs w:val="15"/>
          <w:color w:val="auto"/>
        </w:rPr>
        <w:t>. This Agreement is intended to comply with the requirements of Section 409A of the Code and shall be interpreted and construed consistently with such intent. The payments to the Executive pursuant to this Agreement are also intended to be exempt from Section 409A of the Code to the maximum extent possible, under either the separation pay exemption pursuant to Treasury regulation §1.409A-1(b)(9)(iii) or as short-term deferrals pursuant to Treasury regulation §1.409A-1(b)(4), and for this purpose each payment shall constitute a “separately identified” amount within the meaning of Treasury Regulation §1.409A-2(b)(2). Notwithstanding anything in this Agreement to the contrary, in the event that any amounts payable (or benefits provided) under this Agreement are subject to the provisions of Section 409A of the Code, to the extent determined necessary, the parties agree to amend this Agreement in the least restrictive manner necessary to avoid imposition of any additional tax or income recognition on the Executive under Section 409A of the Code, the final Treasury Regulations and other Internal Revenue Service guidance thereunder (“409A Penalties”); provided, that in no event shall the Company be responsible for any 409A Penalties that arise in connection with any amounts payable under this Agreement. In addition, to the extent necessary to comply with Section 409A of the Code, references to termination of employment (and similar phrases) in this Agreement shall be interpreted in a manner that is consistent with the term “separation from service” under Section 409A(a) (2)(A)(i) of the Code and final Treasury Regulations and other Internal Revenue Service guidance thereunder.</w:t>
      </w:r>
    </w:p>
    <w:p>
      <w:pPr>
        <w:spacing w:after="0" w:line="111" w:lineRule="exact"/>
        <w:rPr>
          <w:rFonts w:ascii="Arial" w:cs="Arial" w:eastAsia="Arial" w:hAnsi="Arial"/>
          <w:sz w:val="15"/>
          <w:szCs w:val="15"/>
          <w:color w:val="auto"/>
        </w:rPr>
      </w:pPr>
    </w:p>
    <w:p>
      <w:pPr>
        <w:ind w:left="640" w:hanging="176"/>
        <w:spacing w:after="0"/>
        <w:tabs>
          <w:tab w:leader="none" w:pos="64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921"/>
        <w:spacing w:after="0" w:line="254" w:lineRule="auto"/>
        <w:tabs>
          <w:tab w:leader="none" w:pos="1152"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The Executive acknowledges that he or she will have access to highly confidential information of the Company, FBHS and their affiliates, including, but not limited to: financial information, supply and service information, marketing information, personnel data, customer lists, business and financial plans and strategies, and product costs, sources and pricing. The Company and the Executive consider it imperative that all such information (“Confidential Trade Secrets”) be held in complete confidence and trust. Accordingly, the Executive agrees that, notwithstanding any other provision of this Agreement to the contrary, during and following the Executive’s Termination Date with the Company, regardless of the reasons that such employment might end, the Executive will:</w:t>
      </w:r>
    </w:p>
    <w:p>
      <w:pPr>
        <w:spacing w:after="0" w:line="63" w:lineRule="exact"/>
        <w:rPr>
          <w:rFonts w:ascii="Arial" w:cs="Arial" w:eastAsia="Arial" w:hAnsi="Arial"/>
          <w:sz w:val="18"/>
          <w:szCs w:val="18"/>
          <w:color w:val="auto"/>
        </w:rPr>
      </w:pPr>
    </w:p>
    <w:p>
      <w:pPr>
        <w:ind w:left="920" w:right="180" w:firstLine="421"/>
        <w:spacing w:after="0" w:line="268" w:lineRule="auto"/>
        <w:tabs>
          <w:tab w:leader="none" w:pos="1549" w:val="left"/>
        </w:tabs>
        <w:numPr>
          <w:ilvl w:val="2"/>
          <w:numId w:val="147"/>
        </w:numPr>
        <w:rPr>
          <w:rFonts w:ascii="Arial" w:cs="Arial" w:eastAsia="Arial" w:hAnsi="Arial"/>
          <w:sz w:val="18"/>
          <w:szCs w:val="18"/>
          <w:color w:val="auto"/>
        </w:rPr>
      </w:pPr>
      <w:r>
        <w:rPr>
          <w:rFonts w:ascii="Arial" w:cs="Arial" w:eastAsia="Arial" w:hAnsi="Arial"/>
          <w:sz w:val="18"/>
          <w:szCs w:val="18"/>
          <w:color w:val="auto"/>
        </w:rPr>
        <w:t>hold all Confidential Trade Secrets in confidence and not discuss, communicate, disclose or transmit to others, or make any unauthorized copy of or use the Confidential Trade Secrets in any capacity, position or business unrelated to the Company;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151" w:name="page152"/>
    <w:bookmarkEnd w:id="151"/>
    <w:p>
      <w:pPr>
        <w:ind w:left="1600" w:hanging="259"/>
        <w:spacing w:after="0"/>
        <w:tabs>
          <w:tab w:leader="none" w:pos="16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 the Confidential Trade Secrets only in furtherance of proper Company employment related business reasons; and</w:t>
      </w:r>
    </w:p>
    <w:p>
      <w:pPr>
        <w:spacing w:after="0" w:line="90" w:lineRule="exact"/>
        <w:rPr>
          <w:rFonts w:ascii="Arial" w:cs="Arial" w:eastAsia="Arial" w:hAnsi="Arial"/>
          <w:sz w:val="18"/>
          <w:szCs w:val="18"/>
          <w:color w:val="auto"/>
        </w:rPr>
      </w:pPr>
    </w:p>
    <w:p>
      <w:pPr>
        <w:ind w:left="920" w:right="40" w:firstLine="421"/>
        <w:spacing w:after="0" w:line="268" w:lineRule="auto"/>
        <w:tabs>
          <w:tab w:leader="none" w:pos="164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take all reasonable action that the Company deems necessary and appropriate to prevent unauthorized use or disclosure of or to protect the Confidential Trade Secrets.</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Notwithstanding the foregoing, it is understood and agreed that the Executive’s obligations under this Section 6(a) do not extend to any knowledge or information which is or may become available to the public or to competitors other than by disclosure by the Executive in breach of this Agreement nor to any information the Executive may learn or develop independent of the Confidential Trade Secrets, nor to disclosure compelled by judicial or administrative proceeding after the Executive diligently tries to avoid each disclosure and affords the Company the opportunity to obtain assurance that compelled disclosures will receive confidential treatment.</w:t>
      </w:r>
    </w:p>
    <w:p>
      <w:pPr>
        <w:spacing w:after="0" w:line="143" w:lineRule="exact"/>
        <w:rPr>
          <w:sz w:val="20"/>
          <w:szCs w:val="20"/>
          <w:color w:val="auto"/>
        </w:rPr>
      </w:pPr>
    </w:p>
    <w:p>
      <w:pPr>
        <w:ind w:right="100" w:firstLine="921"/>
        <w:spacing w:after="0" w:line="288" w:lineRule="auto"/>
        <w:tabs>
          <w:tab w:leader="none" w:pos="1161"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Loyalty; Non-Solicitation</w:t>
      </w:r>
      <w:r>
        <w:rPr>
          <w:rFonts w:ascii="Arial" w:cs="Arial" w:eastAsia="Arial" w:hAnsi="Arial"/>
          <w:sz w:val="16"/>
          <w:szCs w:val="16"/>
          <w:color w:val="auto"/>
        </w:rPr>
        <w:t>. The Executive further acknowledges that the loyalty and dedicated service of the Company’s, FBHS’s and their affiliates’ employees is critical to the Company’s business. Accordingly, the Executive agrees that during and for a period of twelve (12) months after the Executive’s Termination Date, regardless of the reasons for the termination of employment, he or she will not, without the prior written consent of the Company, induce or attempt to induce any employee or agency representative of the Company, FBHS or any of their affiliates to leave the employment or representation of FBHS, the Company or of any affiliate. The Executive also agrees that during and after his or her employment, he will not take any action, or make any statements, that discredit or disparage the Company, FBHS or their affiliates, or its or their officers, directors, employees or products. The Company and FBHS agree that they will not take any action or make any statements during and after Executive’s employment that discredit or disparage the Executive. The two preceding sentences shall not apply to statements made in papers filed in good faith with a court of law in connection with a lawsuit between the Executive and the Company or any of its affiliates.</w:t>
      </w:r>
    </w:p>
    <w:p>
      <w:pPr>
        <w:spacing w:after="0" w:line="119" w:lineRule="exact"/>
        <w:rPr>
          <w:rFonts w:ascii="Arial" w:cs="Arial" w:eastAsia="Arial" w:hAnsi="Arial"/>
          <w:sz w:val="16"/>
          <w:szCs w:val="16"/>
          <w:color w:val="auto"/>
        </w:rPr>
      </w:pPr>
    </w:p>
    <w:p>
      <w:pPr>
        <w:ind w:right="180" w:firstLine="921"/>
        <w:spacing w:after="0" w:line="335" w:lineRule="auto"/>
        <w:tabs>
          <w:tab w:leader="none" w:pos="1152" w:val="left"/>
        </w:tabs>
        <w:numPr>
          <w:ilvl w:val="0"/>
          <w:numId w:val="149"/>
        </w:numPr>
        <w:rPr>
          <w:rFonts w:ascii="Arial" w:cs="Arial" w:eastAsia="Arial" w:hAnsi="Arial"/>
          <w:sz w:val="15"/>
          <w:szCs w:val="15"/>
          <w:color w:val="auto"/>
        </w:rPr>
      </w:pPr>
      <w:r>
        <w:rPr>
          <w:rFonts w:ascii="Arial" w:cs="Arial" w:eastAsia="Arial" w:hAnsi="Arial"/>
          <w:sz w:val="15"/>
          <w:szCs w:val="15"/>
          <w:u w:val="single" w:color="auto"/>
          <w:color w:val="auto"/>
        </w:rPr>
        <w:t>Non-Competition</w:t>
      </w:r>
      <w:r>
        <w:rPr>
          <w:rFonts w:ascii="Arial" w:cs="Arial" w:eastAsia="Arial" w:hAnsi="Arial"/>
          <w:sz w:val="15"/>
          <w:szCs w:val="15"/>
          <w:color w:val="auto"/>
        </w:rPr>
        <w:t>. The Executive acknowledges that the Company, FBHS and theiraffiliates have invested time and money in establishing or planning to establish one or more aspects of their business throughout the United States, Australia, Canada, Asia, Mexico and Europe. Therefore, the Executive agrees that during his or her employment by the Company and for a period of 12 months after the Executive’s Termination Date, the Executive will not:</w:t>
      </w:r>
    </w:p>
    <w:p>
      <w:pPr>
        <w:spacing w:after="0" w:line="7" w:lineRule="exact"/>
        <w:rPr>
          <w:rFonts w:ascii="Arial" w:cs="Arial" w:eastAsia="Arial" w:hAnsi="Arial"/>
          <w:sz w:val="15"/>
          <w:szCs w:val="15"/>
          <w:color w:val="auto"/>
        </w:rPr>
      </w:pPr>
    </w:p>
    <w:p>
      <w:pPr>
        <w:ind w:left="920" w:right="200" w:firstLine="421"/>
        <w:spacing w:after="0" w:line="294" w:lineRule="auto"/>
        <w:tabs>
          <w:tab w:leader="none" w:pos="1549" w:val="left"/>
        </w:tabs>
        <w:numPr>
          <w:ilvl w:val="1"/>
          <w:numId w:val="149"/>
        </w:numPr>
        <w:rPr>
          <w:rFonts w:ascii="Arial" w:cs="Arial" w:eastAsia="Arial" w:hAnsi="Arial"/>
          <w:sz w:val="16"/>
          <w:szCs w:val="16"/>
          <w:color w:val="auto"/>
        </w:rPr>
      </w:pPr>
      <w:r>
        <w:rPr>
          <w:rFonts w:ascii="Arial" w:cs="Arial" w:eastAsia="Arial" w:hAnsi="Arial"/>
          <w:sz w:val="16"/>
          <w:szCs w:val="16"/>
          <w:color w:val="auto"/>
        </w:rPr>
        <w:t>directly or indirectly, individually engage in nor be competitively employed or retained by, or render any competing services for, or be financially interested in, any firm or corporation engaged in any business in the United States, Australia, Canada, Asia, Mexico or Europe which competes with any business in which the Company, FBHS or any of their affiliates were engaged during the two-year period preceding the Executive’s Termination Date, including, but not limited to any business in which, during such two-year period, the Executive was involved in the Company’s, FBHS’s or any of their affiliates’ planning to enter such business. Notwithstanding the foregoing, this restriction shall not apply to: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9" w:right="259" w:bottom="1440" w:gutter="0" w:footer="0" w:header="0"/>
        </w:sectPr>
      </w:pPr>
    </w:p>
    <w:bookmarkStart w:id="152" w:name="page153"/>
    <w:bookmarkEnd w:id="152"/>
    <w:p>
      <w:pPr>
        <w:ind w:left="1500" w:right="480" w:firstLine="389"/>
        <w:spacing w:after="0" w:line="268" w:lineRule="auto"/>
        <w:tabs>
          <w:tab w:leader="none" w:pos="2185" w:val="left"/>
        </w:tabs>
        <w:numPr>
          <w:ilvl w:val="1"/>
          <w:numId w:val="1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purchase by the Executive of stock not to exceed 5% of the outstanding shares of capital stock or any corporation whose securities are listed on any national securities exchange; or</w:t>
      </w:r>
    </w:p>
    <w:p>
      <w:pPr>
        <w:spacing w:after="0" w:line="50" w:lineRule="exact"/>
        <w:rPr>
          <w:rFonts w:ascii="Arial" w:cs="Arial" w:eastAsia="Arial" w:hAnsi="Arial"/>
          <w:sz w:val="18"/>
          <w:szCs w:val="18"/>
          <w:color w:val="auto"/>
        </w:rPr>
      </w:pPr>
    </w:p>
    <w:p>
      <w:pPr>
        <w:ind w:left="1500" w:right="500" w:firstLine="389"/>
        <w:spacing w:after="0" w:line="332" w:lineRule="auto"/>
        <w:tabs>
          <w:tab w:leader="none" w:pos="2175" w:val="left"/>
        </w:tabs>
        <w:numPr>
          <w:ilvl w:val="1"/>
          <w:numId w:val="150"/>
        </w:numPr>
        <w:rPr>
          <w:rFonts w:ascii="Arial" w:cs="Arial" w:eastAsia="Arial" w:hAnsi="Arial"/>
          <w:sz w:val="16"/>
          <w:szCs w:val="16"/>
          <w:color w:val="auto"/>
        </w:rPr>
      </w:pPr>
      <w:r>
        <w:rPr>
          <w:rFonts w:ascii="Arial" w:cs="Arial" w:eastAsia="Arial" w:hAnsi="Arial"/>
          <w:sz w:val="16"/>
          <w:szCs w:val="16"/>
          <w:color w:val="auto"/>
        </w:rPr>
        <w:t>the employment of the Executive by a non-competitive subsidiary or non-competitive affiliated entity of a competitor of the Company or FBHS upon the Company’s written consent, which consent shall not be unreasonably withheld.</w:t>
      </w:r>
    </w:p>
    <w:p>
      <w:pPr>
        <w:spacing w:after="0" w:line="4" w:lineRule="exact"/>
        <w:rPr>
          <w:rFonts w:ascii="Arial" w:cs="Arial" w:eastAsia="Arial" w:hAnsi="Arial"/>
          <w:sz w:val="16"/>
          <w:szCs w:val="16"/>
          <w:color w:val="auto"/>
        </w:rPr>
      </w:pPr>
    </w:p>
    <w:p>
      <w:pPr>
        <w:ind w:left="920" w:right="400" w:firstLine="421"/>
        <w:spacing w:after="0" w:line="259" w:lineRule="auto"/>
        <w:tabs>
          <w:tab w:leader="none" w:pos="159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solicit business from nor directly or indirectly cause others to solicit business that competes with the Company’s or FBHS’s line of products from any entities which have been customers of the Company during the Executive’s employment or which were targeted as potential customers during the twelve (12) months preceding the Executive’s Termination Date;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provided, however, that the provisions of this Section 6(c) shall not apply if the Executive’s Termination Date occurs after a Change in Control.</w:t>
      </w:r>
    </w:p>
    <w:p>
      <w:pPr>
        <w:spacing w:after="0" w:line="171" w:lineRule="exact"/>
        <w:rPr>
          <w:sz w:val="20"/>
          <w:szCs w:val="20"/>
          <w:color w:val="auto"/>
        </w:rPr>
      </w:pPr>
    </w:p>
    <w:p>
      <w:pPr>
        <w:ind w:left="1160" w:hanging="239"/>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Executive recognizes and agrees:</w:t>
      </w:r>
    </w:p>
    <w:p>
      <w:pPr>
        <w:spacing w:after="0" w:line="90" w:lineRule="exact"/>
        <w:rPr>
          <w:rFonts w:ascii="Arial" w:cs="Arial" w:eastAsia="Arial" w:hAnsi="Arial"/>
          <w:sz w:val="18"/>
          <w:szCs w:val="18"/>
          <w:color w:val="auto"/>
        </w:rPr>
      </w:pPr>
    </w:p>
    <w:p>
      <w:pPr>
        <w:ind w:left="920" w:firstLine="421"/>
        <w:spacing w:after="0" w:line="298" w:lineRule="auto"/>
        <w:tabs>
          <w:tab w:leader="none" w:pos="1549" w:val="left"/>
        </w:tabs>
        <w:numPr>
          <w:ilvl w:val="1"/>
          <w:numId w:val="152"/>
        </w:numPr>
        <w:rPr>
          <w:rFonts w:ascii="Arial" w:cs="Arial" w:eastAsia="Arial" w:hAnsi="Arial"/>
          <w:sz w:val="16"/>
          <w:szCs w:val="16"/>
          <w:color w:val="auto"/>
        </w:rPr>
      </w:pPr>
      <w:r>
        <w:rPr>
          <w:rFonts w:ascii="Arial" w:cs="Arial" w:eastAsia="Arial" w:hAnsi="Arial"/>
          <w:sz w:val="16"/>
          <w:szCs w:val="16"/>
          <w:color w:val="auto"/>
        </w:rPr>
        <w:t>that the covenants and restrictions in paragraphs (a), (b) and (c) of this Section 6 are reasonable and valid and all defenses to the strict enforcement of such sections by the Company and FBHS are waived by the Executive to the full extent permitted by law. In the event, however, that a court of competent jurisdiction should determine in any case that the enforcement of any provision contained in such paragraphs would not be reasonable, it is intended that enforcement of a provision which is determined by such court to be reasonable shall be given effect; and</w:t>
      </w:r>
    </w:p>
    <w:p>
      <w:pPr>
        <w:spacing w:after="0" w:line="31" w:lineRule="exact"/>
        <w:rPr>
          <w:rFonts w:ascii="Arial" w:cs="Arial" w:eastAsia="Arial" w:hAnsi="Arial"/>
          <w:sz w:val="16"/>
          <w:szCs w:val="16"/>
          <w:color w:val="auto"/>
        </w:rPr>
      </w:pPr>
    </w:p>
    <w:p>
      <w:pPr>
        <w:ind w:left="920" w:right="60" w:firstLine="421"/>
        <w:spacing w:after="0" w:line="288" w:lineRule="auto"/>
        <w:tabs>
          <w:tab w:leader="none" w:pos="1598" w:val="left"/>
        </w:tabs>
        <w:numPr>
          <w:ilvl w:val="1"/>
          <w:numId w:val="152"/>
        </w:numPr>
        <w:rPr>
          <w:rFonts w:ascii="Arial" w:cs="Arial" w:eastAsia="Arial" w:hAnsi="Arial"/>
          <w:sz w:val="16"/>
          <w:szCs w:val="16"/>
          <w:color w:val="auto"/>
        </w:rPr>
      </w:pPr>
      <w:r>
        <w:rPr>
          <w:rFonts w:ascii="Arial" w:cs="Arial" w:eastAsia="Arial" w:hAnsi="Arial"/>
          <w:sz w:val="16"/>
          <w:szCs w:val="16"/>
          <w:color w:val="auto"/>
        </w:rPr>
        <w:t>that a breach of the covenants and restrictions in paragraphs (a), (b) or (c) of this Section 6 would result in irreparable harm to the Company and FBHS which could not be compensated by money damages alone. Accordingly, the Executive agrees that should there be a breach of any or all of these provisions or a threatened breach, the Company shall be entitled to cease paying amounts under Section 3 and to offset any amounts it owes to Executive against any damage that it has suffered as a result of the breach of any of the covenants and restrictions in paragraphs (a), (b) or (c) of this Section 6 and, in addition to its other remedies, to an order enjoining any such breach or threatened breach without bond. In addition, the Executive agrees that, in the event he or she breaches any of the covenants or restrictions of paragraphs (a), (b) or (c) of this Section 6, he will promptly repay to the Company upon demand any amounts paid to him or her pursuant to Section 3. The Executive further agrees that if the Company or FBHS prevails in any action to enforce these provisions, he or she will reimburse the Company or FBHS for its attorney fees and costs incurred in pursuing such action.</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153" w:name="page154"/>
    <w:bookmarkEnd w:id="153"/>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and FBHS agree that they will seek enforcement of paragraphs (a), (b) and (c) of this Section 6 only in a good faith, reasonable manner and will not seek to enforce such sections solely for malicious and punitive reasons.</w:t>
      </w:r>
    </w:p>
    <w:p>
      <w:pPr>
        <w:spacing w:after="0" w:line="132" w:lineRule="exact"/>
        <w:rPr>
          <w:sz w:val="20"/>
          <w:szCs w:val="20"/>
          <w:color w:val="auto"/>
        </w:rPr>
      </w:pPr>
    </w:p>
    <w:p>
      <w:pPr>
        <w:ind w:right="80" w:firstLine="464"/>
        <w:spacing w:after="0" w:line="254" w:lineRule="auto"/>
        <w:tabs>
          <w:tab w:leader="none" w:pos="632"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In the event that the Executive prevails in any action to obtain or enforce any rights under this Agreement, the Company shall pay the cost of legal fees and expenses incurred by Executive in such action, which payment shall be made directly to the provider of services within the time period required by Section 409A of the Code; provided, however that the Executive shall be required to deliver and not revoke an executed release of claims in the form attached hereto as Exhibit A (as such release may be updated from time to time to reflect legal requirements). If a dispute arises concerning the Executive’s entitlement to benefits under this Agreement following a Change in Control, the Company shall continue to pay Executive’s full base salary through the date finally determined to be his or her Termination Date.</w:t>
      </w:r>
    </w:p>
    <w:p>
      <w:pPr>
        <w:spacing w:after="0" w:line="144" w:lineRule="exact"/>
        <w:rPr>
          <w:rFonts w:ascii="Arial" w:cs="Arial" w:eastAsia="Arial" w:hAnsi="Arial"/>
          <w:sz w:val="18"/>
          <w:szCs w:val="18"/>
          <w:color w:val="auto"/>
        </w:rPr>
      </w:pPr>
    </w:p>
    <w:p>
      <w:pPr>
        <w:ind w:left="640" w:hanging="176"/>
        <w:spacing w:after="0"/>
        <w:tabs>
          <w:tab w:leader="none" w:pos="640"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480" w:firstLine="921"/>
        <w:spacing w:after="0" w:line="370" w:lineRule="auto"/>
        <w:tabs>
          <w:tab w:leader="none" w:pos="1152" w:val="left"/>
        </w:tabs>
        <w:numPr>
          <w:ilvl w:val="2"/>
          <w:numId w:val="153"/>
        </w:numPr>
        <w:rPr>
          <w:rFonts w:ascii="Arial" w:cs="Arial" w:eastAsia="Arial" w:hAnsi="Arial"/>
          <w:sz w:val="15"/>
          <w:szCs w:val="15"/>
          <w:color w:val="auto"/>
        </w:rPr>
      </w:pPr>
      <w:r>
        <w:rPr>
          <w:rFonts w:ascii="Arial" w:cs="Arial" w:eastAsia="Arial" w:hAnsi="Arial"/>
          <w:sz w:val="15"/>
          <w:szCs w:val="15"/>
          <w:color w:val="auto"/>
        </w:rPr>
        <w:t>The Company shall require any successor to all or substantially all of its business or assets (whether direct or indirect, by purchase, merger, consolidation or otherwise), and any parent company thereof, to expressly assume and agree to perform the Company’s obligations under this Agreement.</w:t>
      </w:r>
    </w:p>
    <w:p>
      <w:pPr>
        <w:spacing w:after="0" w:line="62" w:lineRule="exact"/>
        <w:rPr>
          <w:rFonts w:ascii="Arial" w:cs="Arial" w:eastAsia="Arial" w:hAnsi="Arial"/>
          <w:sz w:val="15"/>
          <w:szCs w:val="15"/>
          <w:color w:val="auto"/>
        </w:rPr>
      </w:pPr>
    </w:p>
    <w:p>
      <w:pPr>
        <w:ind w:right="60" w:firstLine="921"/>
        <w:spacing w:after="0" w:line="268" w:lineRule="auto"/>
        <w:tabs>
          <w:tab w:leader="none" w:pos="1162" w:val="left"/>
        </w:tabs>
        <w:numPr>
          <w:ilvl w:val="2"/>
          <w:numId w:val="153"/>
        </w:numPr>
        <w:rPr>
          <w:rFonts w:ascii="Arial" w:cs="Arial" w:eastAsia="Arial" w:hAnsi="Arial"/>
          <w:sz w:val="18"/>
          <w:szCs w:val="18"/>
          <w:color w:val="auto"/>
        </w:rPr>
      </w:pPr>
      <w:r>
        <w:rPr>
          <w:rFonts w:ascii="Arial" w:cs="Arial" w:eastAsia="Arial" w:hAnsi="Arial"/>
          <w:sz w:val="18"/>
          <w:szCs w:val="18"/>
          <w:color w:val="auto"/>
        </w:rPr>
        <w:t>This Agreement shall not be assignable by the Executive except by will or the laws of descent and distribution. This Agreement shall inure to the benefit of and be enforceable by the Executive and his or her personal or legal representatives and successors in interest.</w:t>
      </w:r>
    </w:p>
    <w:p>
      <w:pPr>
        <w:spacing w:after="0" w:line="131" w:lineRule="exact"/>
        <w:rPr>
          <w:rFonts w:ascii="Arial" w:cs="Arial" w:eastAsia="Arial" w:hAnsi="Arial"/>
          <w:sz w:val="18"/>
          <w:szCs w:val="18"/>
          <w:color w:val="auto"/>
        </w:rPr>
      </w:pPr>
    </w:p>
    <w:p>
      <w:pPr>
        <w:ind w:firstLine="464"/>
        <w:spacing w:after="0" w:line="303" w:lineRule="auto"/>
        <w:tabs>
          <w:tab w:leader="none" w:pos="632" w:val="left"/>
        </w:tabs>
        <w:numPr>
          <w:ilvl w:val="1"/>
          <w:numId w:val="153"/>
        </w:numPr>
        <w:rPr>
          <w:rFonts w:ascii="Arial" w:cs="Arial" w:eastAsia="Arial" w:hAnsi="Arial"/>
          <w:sz w:val="15"/>
          <w:szCs w:val="15"/>
          <w:color w:val="auto"/>
        </w:rPr>
      </w:pPr>
      <w:r>
        <w:rPr>
          <w:rFonts w:ascii="Arial" w:cs="Arial" w:eastAsia="Arial" w:hAnsi="Arial"/>
          <w:sz w:val="15"/>
          <w:szCs w:val="15"/>
          <w:u w:val="single" w:color="auto"/>
          <w:color w:val="auto"/>
        </w:rPr>
        <w:t>Term</w:t>
      </w:r>
      <w:r>
        <w:rPr>
          <w:rFonts w:ascii="Arial" w:cs="Arial" w:eastAsia="Arial" w:hAnsi="Arial"/>
          <w:sz w:val="15"/>
          <w:szCs w:val="15"/>
          <w:color w:val="auto"/>
        </w:rPr>
        <w:t>. Unless otherwise earlier terminated in writing by both parties, this Agreement shall be effective for the three (3) year period commencing on the Effective Date. At the close of such three (3) year period and on each subsequent third anniversary of the Effective Date, the Agreement shall automatically renew for an additional three (3) year period unless either party hereto shall notify the other party in writing of its intent not to renew the Agreement no less than thirty</w:t>
      </w:r>
    </w:p>
    <w:p>
      <w:pPr>
        <w:spacing w:after="0" w:line="1" w:lineRule="exact"/>
        <w:rPr>
          <w:rFonts w:ascii="Arial" w:cs="Arial" w:eastAsia="Arial" w:hAnsi="Arial"/>
          <w:sz w:val="15"/>
          <w:szCs w:val="15"/>
          <w:color w:val="auto"/>
        </w:rPr>
      </w:pPr>
    </w:p>
    <w:p>
      <w:pPr>
        <w:ind w:right="60" w:firstLine="8"/>
        <w:spacing w:after="0" w:line="290" w:lineRule="auto"/>
        <w:tabs>
          <w:tab w:leader="none" w:pos="336" w:val="left"/>
        </w:tabs>
        <w:numPr>
          <w:ilvl w:val="0"/>
          <w:numId w:val="154"/>
        </w:numPr>
        <w:rPr>
          <w:rFonts w:ascii="Arial" w:cs="Arial" w:eastAsia="Arial" w:hAnsi="Arial"/>
          <w:sz w:val="16"/>
          <w:szCs w:val="16"/>
          <w:color w:val="auto"/>
        </w:rPr>
      </w:pPr>
      <w:r>
        <w:rPr>
          <w:rFonts w:ascii="Arial" w:cs="Arial" w:eastAsia="Arial" w:hAnsi="Arial"/>
          <w:sz w:val="16"/>
          <w:szCs w:val="16"/>
          <w:color w:val="auto"/>
        </w:rPr>
        <w:t>days prior to the expiration of the pending term; provided, however, that if within six (6) months following the non-renewal of the Agreement by the Company, the Company executes a definitive agreement which would lead to a Change in Control, then notwithstanding any other term or provision of this Agreement, this Agreement shall be deemed not to have been terminated and will be effective in accordance with its terms through and including the date of such Change in Control (or the date on which such definitive agreement is terminated, if earlier); and provided further, that if a Change in Control occurs during the term of this Agreement, the Agreement shall remain in effect for no less than 24 months following such Change in Control. Notwithstanding the termination or expiration of this Agreement, the Restrictive Covenants provisions of Section 6 hereof shall remain in full force and effect as provided above.</w:t>
      </w:r>
    </w:p>
    <w:p>
      <w:pPr>
        <w:spacing w:after="0" w:line="118" w:lineRule="exact"/>
        <w:rPr>
          <w:rFonts w:ascii="Arial" w:cs="Arial" w:eastAsia="Arial" w:hAnsi="Arial"/>
          <w:sz w:val="16"/>
          <w:szCs w:val="16"/>
          <w:color w:val="auto"/>
        </w:rPr>
      </w:pPr>
    </w:p>
    <w:p>
      <w:pPr>
        <w:ind w:right="120" w:firstLine="464"/>
        <w:spacing w:after="0" w:line="268" w:lineRule="auto"/>
        <w:tabs>
          <w:tab w:leader="none" w:pos="720"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notice, demand or other communication required or permitted under this Agreement shall be effective only if it is in writing and delivered personally or sent by registered or certified mail, return receipt requested, postage prepaid, addressed as follows: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54" w:name="page155"/>
    <w:bookmarkEnd w:id="15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to the Company: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[Company]</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[Address] Attention: General Counsel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the Executive:</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 the address most recently on file with the Company</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or to such other address as either party may designate by written notice to the other and shall be deemed to have been given as of the date so personally delivered or mailed.</w:t>
      </w:r>
    </w:p>
    <w:p>
      <w:pPr>
        <w:spacing w:after="0" w:line="132" w:lineRule="exact"/>
        <w:rPr>
          <w:sz w:val="20"/>
          <w:szCs w:val="20"/>
          <w:color w:val="auto"/>
        </w:rPr>
      </w:pPr>
    </w:p>
    <w:p>
      <w:pPr>
        <w:ind w:left="720" w:hanging="256"/>
        <w:spacing w:after="0"/>
        <w:tabs>
          <w:tab w:leader="none" w:pos="72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80" w:firstLine="921"/>
        <w:spacing w:after="0" w:line="268" w:lineRule="auto"/>
        <w:tabs>
          <w:tab w:leader="none" w:pos="1152"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This Agreement cannot be modified or any term or condition waived in whole or in part except by a writing signed by the party against whom enforcement of the modification or waiver is sought.</w:t>
      </w:r>
    </w:p>
    <w:p>
      <w:pPr>
        <w:spacing w:after="0" w:line="50" w:lineRule="exact"/>
        <w:rPr>
          <w:rFonts w:ascii="Arial" w:cs="Arial" w:eastAsia="Arial" w:hAnsi="Arial"/>
          <w:sz w:val="18"/>
          <w:szCs w:val="18"/>
          <w:color w:val="auto"/>
        </w:rPr>
      </w:pPr>
    </w:p>
    <w:p>
      <w:pPr>
        <w:ind w:left="1160" w:hanging="239"/>
        <w:spacing w:after="0"/>
        <w:tabs>
          <w:tab w:leader="none" w:pos="11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Delaware.</w:t>
      </w:r>
    </w:p>
    <w:p>
      <w:pPr>
        <w:spacing w:after="0" w:line="90" w:lineRule="exact"/>
        <w:rPr>
          <w:rFonts w:ascii="Arial" w:cs="Arial" w:eastAsia="Arial" w:hAnsi="Arial"/>
          <w:sz w:val="18"/>
          <w:szCs w:val="18"/>
          <w:color w:val="auto"/>
        </w:rPr>
      </w:pPr>
    </w:p>
    <w:p>
      <w:pPr>
        <w:ind w:right="600" w:firstLine="921"/>
        <w:spacing w:after="0" w:line="268" w:lineRule="auto"/>
        <w:tabs>
          <w:tab w:leader="none" w:pos="1152" w:val="left"/>
        </w:tabs>
        <w:numPr>
          <w:ilvl w:val="1"/>
          <w:numId w:val="155"/>
        </w:numPr>
        <w:rPr>
          <w:rFonts w:ascii="Arial" w:cs="Arial" w:eastAsia="Arial" w:hAnsi="Arial"/>
          <w:sz w:val="18"/>
          <w:szCs w:val="18"/>
          <w:color w:val="auto"/>
        </w:rPr>
      </w:pPr>
      <w:r>
        <w:rPr>
          <w:rFonts w:ascii="Arial" w:cs="Arial" w:eastAsia="Arial" w:hAnsi="Arial"/>
          <w:sz w:val="18"/>
          <w:szCs w:val="18"/>
          <w:color w:val="auto"/>
        </w:rPr>
        <w:t>No waiver by either party at any time of any breach of this Agreement by the other party shall be deemed a waiver of such provisions or conditions at any prior or subsequent time.</w:t>
      </w:r>
    </w:p>
    <w:p>
      <w:pPr>
        <w:spacing w:after="0" w:line="50" w:lineRule="exact"/>
        <w:rPr>
          <w:rFonts w:ascii="Arial" w:cs="Arial" w:eastAsia="Arial" w:hAnsi="Arial"/>
          <w:sz w:val="18"/>
          <w:szCs w:val="18"/>
          <w:color w:val="auto"/>
        </w:rPr>
      </w:pPr>
    </w:p>
    <w:p>
      <w:pPr>
        <w:ind w:left="1160" w:hanging="239"/>
        <w:spacing w:after="0"/>
        <w:tabs>
          <w:tab w:leader="none" w:pos="116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The headings in this Agreement are included for convenience and shall not affect the meaning or interpretation of this Agreement.</w:t>
      </w:r>
    </w:p>
    <w:p>
      <w:pPr>
        <w:spacing w:after="0" w:line="113" w:lineRule="exact"/>
        <w:rPr>
          <w:rFonts w:ascii="Arial" w:cs="Arial" w:eastAsia="Arial" w:hAnsi="Arial"/>
          <w:sz w:val="16"/>
          <w:szCs w:val="16"/>
          <w:color w:val="auto"/>
        </w:rPr>
      </w:pPr>
    </w:p>
    <w:p>
      <w:pPr>
        <w:ind w:left="1160" w:hanging="239"/>
        <w:spacing w:after="0"/>
        <w:tabs>
          <w:tab w:leader="none" w:pos="116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The invalidity or unenforceability of one or more provisions of this Agreement shall not affect the enforceability any other provision of this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83" w:lineRule="exact"/>
        <w:rPr>
          <w:rFonts w:ascii="Arial" w:cs="Arial" w:eastAsia="Arial" w:hAnsi="Arial"/>
          <w:sz w:val="16"/>
          <w:szCs w:val="16"/>
          <w:color w:val="auto"/>
        </w:rPr>
      </w:pPr>
    </w:p>
    <w:p>
      <w:pPr>
        <w:ind w:right="60" w:firstLine="921"/>
        <w:spacing w:after="0" w:line="268" w:lineRule="auto"/>
        <w:tabs>
          <w:tab w:leader="none" w:pos="1132"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each of which shall be deemed an original, and such counterparts will together constitute one Agreement.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280" w:right="339" w:bottom="1440" w:gutter="0" w:footer="0" w:header="0"/>
        </w:sectPr>
      </w:pPr>
    </w:p>
    <w:bookmarkStart w:id="155" w:name="page156"/>
    <w:bookmarkEnd w:id="155"/>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caused this Agreement to be executed by a duly authorized officer and attested to and the Executive has set his or her hand as of the date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12"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285750</wp:posOffset>
            </wp:positionV>
            <wp:extent cx="234124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240" w:top="280" w:right="519" w:bottom="1440" w:gutter="0" w:footer="0" w:header="0"/>
        </w:sectPr>
      </w:pPr>
    </w:p>
    <w:bookmarkStart w:id="156" w:name="page157"/>
    <w:bookmarkEnd w:id="156"/>
    <w:p>
      <w:pPr>
        <w:ind w:left="8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Waiver/Release for Executive]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 WAIVER AGREEMENT AND GENERAL RELEASE</w:t>
      </w:r>
    </w:p>
    <w:p>
      <w:pPr>
        <w:spacing w:after="0" w:line="90" w:lineRule="exact"/>
        <w:rPr>
          <w:sz w:val="20"/>
          <w:szCs w:val="20"/>
          <w:color w:val="auto"/>
        </w:rPr>
      </w:pPr>
    </w:p>
    <w:p>
      <w:pPr>
        <w:ind w:left="460" w:hanging="452"/>
        <w:spacing w:after="0"/>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Introduction and General Information</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Signing this Confidential Waiver Agreement and General Release (the “Waiver/Release”) is one condition to receiving certain separation benefits provided by Fortune Brands Home &amp; Security, Inc. (the “Company”) under the Agreement for the Payment of Benefits Following Termination of Employment dated , 2011 and currently in effect between me and the Company (the “Agreement”). I will thoroughly review and understand the effect of the Waiver/Release before signing it, and have been advised to consult an attorney before signing this Waiver/Release. I may take up to twenty-one (21) calendar days to consider whether or not to sign this Waiver/Release. However, if I wish to receive benefits under the Agreement from the Company, I must sign this Waiver/Release and return it to the Senior Vice President of Human Resources within the 21-day period.</w:t>
      </w:r>
    </w:p>
    <w:p>
      <w:pPr>
        <w:spacing w:after="0" w:line="161"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The Nature of this Waiver/Release</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 [EXECUTIVE], voluntarily and of my own free will sign this Waiver/Release because the Company is agreeing to give me something of value in return for my signing this Waiver/Release (the “Consideration”). The Consideration is described in the Agreement. I understand that in return for the Consideration to be provided to me by the Company, I am waiving and releasing any claims that I might have against the Company and certain other related persons or organizations, and will make other commitments listed below. I also understand that the Agreement and the Waiver/Release reflect the final agreement between the Company and me regarding the end of my employment.</w:t>
      </w:r>
    </w:p>
    <w:p>
      <w:pPr>
        <w:sectPr>
          <w:pgSz w:w="11900" w:h="16838" w:orient="portrait"/>
          <w:cols w:equalWidth="0" w:num="1">
            <w:col w:w="11420"/>
          </w:cols>
          <w:pgMar w:left="240" w:top="274" w:right="239" w:bottom="1440" w:gutter="0" w:footer="0" w:header="0"/>
        </w:sectPr>
      </w:pPr>
    </w:p>
    <w:bookmarkStart w:id="157" w:name="page158"/>
    <w:bookmarkEnd w:id="157"/>
    <w:p>
      <w:pPr>
        <w:ind w:left="460" w:hanging="452"/>
        <w:spacing w:after="0"/>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Coverage of Waiver/Release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 intend that this Waiver/Release bind not only me, but also my heirs, executors, administrators, successors and assigns. I also intend that this Waiver/Release cover the Company and the Company’s present and former employees, agents, directors, officers, representatives, servants subsidiaries, divisions, affiliates, parents, owners, partners, successors and assigns (“Released Parties”).</w:t>
      </w:r>
    </w:p>
    <w:p>
      <w:pPr>
        <w:spacing w:after="0" w:line="181" w:lineRule="exact"/>
        <w:rPr>
          <w:sz w:val="20"/>
          <w:szCs w:val="20"/>
          <w:color w:val="auto"/>
        </w:rPr>
      </w:pPr>
    </w:p>
    <w:p>
      <w:pPr>
        <w:ind w:left="460" w:hanging="452"/>
        <w:spacing w:after="0"/>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Claims Waived and Released</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By signing this Waiver/Release, and in exchange for receiving the Consideration described in the Agreement, I completely release all claims I may have against each and every one of the Released Parties, except for the Exceptions to Release described in Paragraph 5, and including any claims I ever had or now have or can have of any nature whatsoever, whether now known to me or not known, through the date of my signing of this Waiver/Release. I understand that by waiving and releasing my claims, I am giving up my right to sue any of the Released Parties based on any claim I may have on the date I sign this Waiver/Release.</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My waiver, release and discharge of claims includes, but is not limited to, any claims arising in any way from my employment with the Company or the termination of my employment, subject to the Exceptions to Release, including local, state or federal law relating 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Discrimination of the basis of sex, race, color, national origin, sexual orientation, religion, disability or veteran status;</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 Wrongful discharge (including retaliatory discharge) or any other possible restrictions on the Company’s ability to terminate its employees at will, including (i) violation of public policy, (ii) breach of any express or implied covenant of any employment contract, and (iii) breach of any covenant of good faith and fair dealing;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58" w:name="page159"/>
    <w:bookmarkEnd w:id="158"/>
    <w:p>
      <w:pPr>
        <w:ind w:right="2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Discrimination on the basis of age, including claims under the Age Discrimination in Employment Act (the “ADEA”), which is located at 29 United States Code, Sections 621 through 634 and any applicable state or local law prohibiting age discrimination; and</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 Civil actions relating to negligence, compensation, defamation, invasion of privacy, fraud, misrepresentation, breach of contract, denial of leave or other terms and conditions of employment, or infliction of emotional or mental distress.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May also include state-specific language, as applicable and required by law.]</w:t>
      </w:r>
    </w:p>
    <w:p>
      <w:pPr>
        <w:spacing w:after="0" w:line="96" w:lineRule="exact"/>
        <w:rPr>
          <w:sz w:val="20"/>
          <w:szCs w:val="20"/>
          <w:color w:val="auto"/>
        </w:rPr>
      </w:pPr>
    </w:p>
    <w:p>
      <w:pPr>
        <w:ind w:left="460" w:hanging="452"/>
        <w:spacing w:after="0"/>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Exceptions to Release</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only claims that this Waiver/Release do not include are: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Any claims related to the Consideration (such as claims that I did not actually receive payment or other benefits promised me in the Agreement);</w:t>
      </w:r>
    </w:p>
    <w:p>
      <w:pPr>
        <w:spacing w:after="0" w:line="38"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claims related to the business expense reimbursement policy of the Company;</w:t>
      </w:r>
    </w:p>
    <w:p>
      <w:pPr>
        <w:spacing w:after="0" w:line="164" w:lineRule="exact"/>
        <w:rPr>
          <w:rFonts w:ascii="Arial" w:cs="Arial" w:eastAsia="Arial" w:hAnsi="Arial"/>
          <w:sz w:val="18"/>
          <w:szCs w:val="18"/>
          <w:color w:val="auto"/>
        </w:rPr>
      </w:pPr>
    </w:p>
    <w:p>
      <w:pPr>
        <w:ind w:left="640" w:hanging="176"/>
        <w:spacing w:after="0"/>
        <w:tabs>
          <w:tab w:leader="none" w:pos="640" w:val="left"/>
        </w:tabs>
        <w:numPr>
          <w:ilvl w:val="1"/>
          <w:numId w:val="161"/>
        </w:numPr>
        <w:rPr>
          <w:rFonts w:ascii="Arial" w:cs="Arial" w:eastAsia="Arial" w:hAnsi="Arial"/>
          <w:sz w:val="16"/>
          <w:szCs w:val="16"/>
          <w:color w:val="auto"/>
        </w:rPr>
      </w:pPr>
      <w:r>
        <w:rPr>
          <w:rFonts w:ascii="Arial" w:cs="Arial" w:eastAsia="Arial" w:hAnsi="Arial"/>
          <w:sz w:val="16"/>
          <w:szCs w:val="16"/>
          <w:color w:val="auto"/>
        </w:rPr>
        <w:t>Any claims related to my rights under the employee benefits plans of the Company, as applicable to me on the date I received this Waiver/Release;</w:t>
      </w:r>
    </w:p>
    <w:p>
      <w:pPr>
        <w:spacing w:after="0" w:line="194" w:lineRule="exact"/>
        <w:rPr>
          <w:rFonts w:ascii="Arial" w:cs="Arial" w:eastAsia="Arial" w:hAnsi="Arial"/>
          <w:sz w:val="16"/>
          <w:szCs w:val="16"/>
          <w:color w:val="auto"/>
        </w:rPr>
      </w:pPr>
    </w:p>
    <w:p>
      <w:pPr>
        <w:ind w:left="640" w:hanging="176"/>
        <w:spacing w:after="0"/>
        <w:tabs>
          <w:tab w:leader="none" w:pos="64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Any claims that controlling law clearly states may not be released by settlement or that may not be released by private agreement; and</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Any claims that may arise after the date this Waiver/Release is signed.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In many states, workers’ compensation claims cannot be waived or released privately.]</w:t>
      </w:r>
    </w:p>
    <w:p>
      <w:pPr>
        <w:spacing w:after="0" w:line="218" w:lineRule="exact"/>
        <w:rPr>
          <w:sz w:val="20"/>
          <w:szCs w:val="20"/>
          <w:color w:val="auto"/>
        </w:rPr>
      </w:pPr>
    </w:p>
    <w:p>
      <w:pPr>
        <w:ind w:left="460" w:hanging="452"/>
        <w:spacing w:after="0"/>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21-Day Consideration Period</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 have up to twenty-one (21) calendar days after receipt (the “Consideration Period”) to consider this Waiver/Release. I knowingly and voluntarily waive the remainder of the Consideration Period, if any, following the date I signed this Waiver/Release below. I have not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159" w:name="page160"/>
    <w:bookmarkEnd w:id="159"/>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been asked by the Company to shorten my time-period for consideration of whether to sign this Waiver/Release. The Company has not threatened to withdraw or alter the benefits due me prior to the expiration of the Consideration Period nor has the Company provided different terms to me if I decide to sign the Waiver/Release prior to the expiration of the Consideration Period.</w:t>
      </w:r>
    </w:p>
    <w:p>
      <w:pPr>
        <w:spacing w:after="0" w:line="181" w:lineRule="exact"/>
        <w:rPr>
          <w:sz w:val="20"/>
          <w:szCs w:val="20"/>
          <w:color w:val="auto"/>
        </w:rPr>
      </w:pPr>
    </w:p>
    <w:p>
      <w:pPr>
        <w:ind w:left="460" w:hanging="452"/>
        <w:spacing w:after="0"/>
        <w:tabs>
          <w:tab w:leader="none" w:pos="46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Revocation Period</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 understand that I have a seven-day period after signing this Waiver/Release in which to revoke or rescind my release, by informing the Company’s Senior Vice President of Human Resources in writing of my decision to revoke or rescind, and that this release will not be enforceable until the end of the seven-day period. No benefits will be paid under this Waiver/Release prior to the eighth day after I sign this Waiver/Release. I understand that following the seven-day revocation period, this Waiver/Release will be final and binding.</w:t>
      </w:r>
    </w:p>
    <w:p>
      <w:pPr>
        <w:spacing w:after="0" w:line="184" w:lineRule="exact"/>
        <w:rPr>
          <w:sz w:val="20"/>
          <w:szCs w:val="20"/>
          <w:color w:val="auto"/>
        </w:rPr>
      </w:pPr>
    </w:p>
    <w:p>
      <w:pPr>
        <w:ind w:left="460" w:hanging="452"/>
        <w:spacing w:after="0"/>
        <w:tabs>
          <w:tab w:leader="none" w:pos="46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Covenant Not to Sue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 promise that I will not file (or ask or allow anyone to file on my behalf) any charge, complaint, claim or lawsuit of any kind in connection with any claim released by this Waiver/Release. If I break this promise, I agree to pay all of the Company’s costs and expenses (including reasonable attorney’s fees) related to the defense of any claims. However, this promise not to sue does not apply to non-waiveable charges or claims such as those under the Older Workers Benefit Protection Act (OWBPA) and the ADEA. Although I am releasing claims that I may have under the OWBPA and ADEA, I understand that I may challenge the knowing and voluntary nature of this Waiver/Release before a court, the Equal Employment Opportunity Commission (EEOC), or any other federal, state or local agency charged with the enforcement of any employment laws. I also understand that nothing in this Waiver/Release prevents me from filing a charge or complaint with or from participating in an investigation or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160" w:name="page161"/>
    <w:bookmarkEnd w:id="160"/>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proceeding conducted by the EEOC or any other federal, state or local agency charged with the enforcement of any employment laws. I understand, however, that if I pursue a claim against the Company under the OWBPA and/or the ADEA to challenge the validity of this Waiver/Release and prevail on the merits of an ADEA claim, a court has the discretion to determine whether the Company is entitled to restitution, recoupment, or set-off (a “Reduction”) against a monetary award obtained by me in the court proceeding. A Reduction never can exceed the amount I recover, or the Consideration, whichever is less. I also recognize that the Company may be entitled to recover costs and attorneys fees incurred by the Company as specifically authorized under applicable law.</w:t>
      </w:r>
    </w:p>
    <w:p>
      <w:pPr>
        <w:spacing w:after="0" w:line="156" w:lineRule="exact"/>
        <w:rPr>
          <w:sz w:val="20"/>
          <w:szCs w:val="20"/>
          <w:color w:val="auto"/>
        </w:rPr>
      </w:pPr>
    </w:p>
    <w:p>
      <w:pPr>
        <w:ind w:left="460" w:hanging="452"/>
        <w:spacing w:after="0"/>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No Claims Implied</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5"/>
          <w:szCs w:val="15"/>
          <w:color w:val="auto"/>
        </w:rPr>
        <w:t>The fact that I am waiving and releasing claims I may have against the Released Parties will not be construed as a suggestion that I have any such claims.</w:t>
      </w:r>
    </w:p>
    <w:p>
      <w:pPr>
        <w:spacing w:after="0" w:line="246" w:lineRule="exact"/>
        <w:rPr>
          <w:rFonts w:ascii="Arial" w:cs="Arial" w:eastAsia="Arial" w:hAnsi="Arial"/>
          <w:sz w:val="18"/>
          <w:szCs w:val="18"/>
          <w:color w:val="auto"/>
        </w:rPr>
      </w:pPr>
    </w:p>
    <w:p>
      <w:pPr>
        <w:ind w:left="460" w:hanging="452"/>
        <w:spacing w:after="0"/>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No Admission of Liability</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It is agreed that this Waiver/Release and accompanying Agreement are not to be construed in any way as an admission of any liability whatsoever by any one or more of the Released Parties. I understand that any such liability has been expressly denied by the Released Parties.</w:t>
      </w:r>
    </w:p>
    <w:p>
      <w:pPr>
        <w:spacing w:after="0" w:line="126" w:lineRule="exact"/>
        <w:rPr>
          <w:sz w:val="20"/>
          <w:szCs w:val="20"/>
          <w:color w:val="auto"/>
        </w:rPr>
      </w:pPr>
    </w:p>
    <w:p>
      <w:pPr>
        <w:ind w:left="460" w:hanging="452"/>
        <w:spacing w:after="0"/>
        <w:tabs>
          <w:tab w:leader="none" w:pos="46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Confidentiality</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 agree to keep the terms and provisions of this Waiver/Release and the Agreement in strictest confidence. I will not reveal to anyone, either directly or indirectly, the Consideration involved or other terms and provisions, except the following people after I have first had them promise to keep the information confidential: my personal attorney; my tax adviser; members of my immediate family. If any of those individuals disclose the Consideration and/or other terms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161" w:name="page162"/>
    <w:bookmarkEnd w:id="161"/>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provisions, such disclosure will be considered an indirect disclosure in breach of this provision for which I will be liable. As an exception to my obligation to keep the terms and provisions confidential, I understand that I may make disclosures of the Consideration and/or other terms and provisions as are required by law or as necessary for legitimate enforcement or compliance purposes.</w:t>
      </w:r>
    </w:p>
    <w:p>
      <w:pPr>
        <w:spacing w:after="0" w:line="181" w:lineRule="exact"/>
        <w:rPr>
          <w:sz w:val="20"/>
          <w:szCs w:val="20"/>
          <w:color w:val="auto"/>
        </w:rPr>
      </w:pPr>
    </w:p>
    <w:p>
      <w:pPr>
        <w:ind w:left="460" w:right="7840" w:hanging="452"/>
        <w:spacing w:after="0" w:line="413" w:lineRule="auto"/>
        <w:tabs>
          <w:tab w:leader="none" w:pos="449" w:val="left"/>
        </w:tabs>
        <w:numPr>
          <w:ilvl w:val="0"/>
          <w:numId w:val="167"/>
        </w:numPr>
        <w:rPr>
          <w:rFonts w:ascii="Arial" w:cs="Arial" w:eastAsia="Arial" w:hAnsi="Arial"/>
          <w:sz w:val="15"/>
          <w:szCs w:val="15"/>
          <w:color w:val="auto"/>
        </w:rPr>
      </w:pPr>
      <w:r>
        <w:rPr>
          <w:rFonts w:ascii="Arial" w:cs="Arial" w:eastAsia="Arial" w:hAnsi="Arial"/>
          <w:sz w:val="15"/>
          <w:szCs w:val="15"/>
          <w:u w:val="single" w:color="auto"/>
          <w:color w:val="auto"/>
        </w:rPr>
        <w:t xml:space="preserve">Additional Agreements and Representations </w:t>
      </w:r>
      <w:r>
        <w:rPr>
          <w:rFonts w:ascii="Arial" w:cs="Arial" w:eastAsia="Arial" w:hAnsi="Arial"/>
          <w:sz w:val="15"/>
          <w:szCs w:val="15"/>
          <w:color w:val="auto"/>
        </w:rPr>
        <w:t>I further agree and represent that:</w:t>
      </w:r>
    </w:p>
    <w:p>
      <w:pPr>
        <w:ind w:right="260" w:firstLine="921"/>
        <w:spacing w:after="0" w:line="268" w:lineRule="auto"/>
        <w:tabs>
          <w:tab w:leader="none" w:pos="1079" w:val="left"/>
        </w:tabs>
        <w:numPr>
          <w:ilvl w:val="1"/>
          <w:numId w:val="167"/>
        </w:numPr>
        <w:rPr>
          <w:rFonts w:ascii="Arial" w:cs="Arial" w:eastAsia="Arial" w:hAnsi="Arial"/>
          <w:sz w:val="18"/>
          <w:szCs w:val="18"/>
          <w:color w:val="auto"/>
        </w:rPr>
      </w:pPr>
      <w:r>
        <w:rPr>
          <w:rFonts w:ascii="Arial" w:cs="Arial" w:eastAsia="Arial" w:hAnsi="Arial"/>
          <w:sz w:val="18"/>
          <w:szCs w:val="18"/>
          <w:color w:val="auto"/>
        </w:rPr>
        <w:t>I have not filed any legal proceedings, complaints or charges against any of the Released Parties that have not been discontinued, withdrawn or fully and finally resolved;</w:t>
      </w:r>
    </w:p>
    <w:p>
      <w:pPr>
        <w:spacing w:after="0" w:line="131" w:lineRule="exact"/>
        <w:rPr>
          <w:rFonts w:ascii="Arial" w:cs="Arial" w:eastAsia="Arial" w:hAnsi="Arial"/>
          <w:sz w:val="18"/>
          <w:szCs w:val="18"/>
          <w:color w:val="auto"/>
        </w:rPr>
      </w:pPr>
    </w:p>
    <w:p>
      <w:pPr>
        <w:ind w:firstLine="921"/>
        <w:spacing w:after="0" w:line="268" w:lineRule="auto"/>
        <w:tabs>
          <w:tab w:leader="none" w:pos="1088"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To the best of my knowledge, and with the exception of any current and pending claims, I have not suffered any workplace injury that could be the basis for a workers’ compensation or other claim.</w:t>
      </w:r>
    </w:p>
    <w:p>
      <w:pPr>
        <w:spacing w:after="0" w:line="131" w:lineRule="exact"/>
        <w:rPr>
          <w:rFonts w:ascii="Arial" w:cs="Arial" w:eastAsia="Arial" w:hAnsi="Arial"/>
          <w:sz w:val="18"/>
          <w:szCs w:val="18"/>
          <w:color w:val="auto"/>
        </w:rPr>
      </w:pPr>
    </w:p>
    <w:p>
      <w:pPr>
        <w:ind w:right="80" w:firstLine="921"/>
        <w:spacing w:after="0" w:line="306" w:lineRule="auto"/>
        <w:tabs>
          <w:tab w:leader="none" w:pos="1079" w:val="left"/>
        </w:tabs>
        <w:numPr>
          <w:ilvl w:val="1"/>
          <w:numId w:val="167"/>
        </w:numPr>
        <w:rPr>
          <w:rFonts w:ascii="Arial" w:cs="Arial" w:eastAsia="Arial" w:hAnsi="Arial"/>
          <w:sz w:val="16"/>
          <w:szCs w:val="16"/>
          <w:color w:val="auto"/>
        </w:rPr>
      </w:pPr>
      <w:r>
        <w:rPr>
          <w:rFonts w:ascii="Arial" w:cs="Arial" w:eastAsia="Arial" w:hAnsi="Arial"/>
          <w:sz w:val="16"/>
          <w:szCs w:val="16"/>
          <w:color w:val="auto"/>
        </w:rPr>
        <w:t>I will not encourage, urge or suggest to any former or current employee of the Company or of any other of the Released Parties that she or he should file any claim or complaint against the Company or against any other of the Released Parties. However, nothing in this provision is intended to prevent or discourage me from truthfully testifying in any court or agency proceeding, or providing information to any government agency upon request.</w:t>
      </w:r>
    </w:p>
    <w:p>
      <w:pPr>
        <w:spacing w:after="0" w:line="106" w:lineRule="exact"/>
        <w:rPr>
          <w:rFonts w:ascii="Arial" w:cs="Arial" w:eastAsia="Arial" w:hAnsi="Arial"/>
          <w:sz w:val="16"/>
          <w:szCs w:val="16"/>
          <w:color w:val="auto"/>
        </w:rPr>
      </w:pPr>
    </w:p>
    <w:p>
      <w:pPr>
        <w:ind w:right="180" w:firstLine="921"/>
        <w:spacing w:after="0" w:line="306" w:lineRule="auto"/>
        <w:tabs>
          <w:tab w:leader="none" w:pos="1088" w:val="left"/>
        </w:tabs>
        <w:numPr>
          <w:ilvl w:val="1"/>
          <w:numId w:val="167"/>
        </w:numPr>
        <w:rPr>
          <w:rFonts w:ascii="Arial" w:cs="Arial" w:eastAsia="Arial" w:hAnsi="Arial"/>
          <w:sz w:val="16"/>
          <w:szCs w:val="16"/>
          <w:color w:val="auto"/>
        </w:rPr>
      </w:pPr>
      <w:r>
        <w:rPr>
          <w:rFonts w:ascii="Arial" w:cs="Arial" w:eastAsia="Arial" w:hAnsi="Arial"/>
          <w:sz w:val="16"/>
          <w:szCs w:val="16"/>
          <w:color w:val="auto"/>
        </w:rPr>
        <w:t>It is my responsibility together with my personal legal and tax advisers to consider the effect of this Waiver/Release and Agreement on my individual tax situation, if any. It is also my responsibility to pay any taxes that any tax authority may claim are payable. I understand that neither the Company, any other of the Released Parties, nor any of their representatives make any representation to me with respect to taxes.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62" w:name="page163"/>
    <w:bookmarkEnd w:id="162"/>
    <w:p>
      <w:pPr>
        <w:ind w:right="4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 I understand that I have agreed to certain obligations as described in this Waiver/Release and the Agreement and that these obligations are a material part of the agreement between the Company and me.</w:t>
      </w:r>
    </w:p>
    <w:p>
      <w:pPr>
        <w:spacing w:after="0" w:line="172" w:lineRule="exact"/>
        <w:rPr>
          <w:sz w:val="20"/>
          <w:szCs w:val="20"/>
          <w:color w:val="auto"/>
        </w:rPr>
      </w:pPr>
    </w:p>
    <w:p>
      <w:pPr>
        <w:ind w:left="460" w:hanging="452"/>
        <w:spacing w:after="0"/>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Entire Agreement/Modification</w:t>
      </w:r>
    </w:p>
    <w:p>
      <w:pPr>
        <w:spacing w:after="0" w:line="90"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I understand that this Waiver/Release and the Agreement supersede any prior agreement or understanding between the Company and me and, unless expressly set forth in writing otherwise, the terms offered will constitute the sole obligations of the Company to me. Except as set forth below or in the Agreement, no other promises or representations will be binding unless in writing and signed by the Company and me. This Waiver/Release and the Agreement, however, do not affect the validity or enforceability of any obligations that I undertook or agreements I signed relating to (i) intellectual property,</w:t>
      </w:r>
    </w:p>
    <w:p>
      <w:pPr>
        <w:spacing w:after="0" w:line="3" w:lineRule="exact"/>
        <w:rPr>
          <w:sz w:val="20"/>
          <w:szCs w:val="20"/>
          <w:color w:val="auto"/>
        </w:rPr>
      </w:pPr>
    </w:p>
    <w:p>
      <w:pPr>
        <w:ind w:right="80" w:firstLine="8"/>
        <w:spacing w:after="0" w:line="292" w:lineRule="auto"/>
        <w:tabs>
          <w:tab w:leader="none" w:pos="258" w:val="left"/>
        </w:tabs>
        <w:numPr>
          <w:ilvl w:val="0"/>
          <w:numId w:val="169"/>
        </w:numPr>
        <w:rPr>
          <w:rFonts w:ascii="Arial" w:cs="Arial" w:eastAsia="Arial" w:hAnsi="Arial"/>
          <w:sz w:val="16"/>
          <w:szCs w:val="16"/>
          <w:color w:val="auto"/>
        </w:rPr>
      </w:pPr>
      <w:r>
        <w:rPr>
          <w:rFonts w:ascii="Arial" w:cs="Arial" w:eastAsia="Arial" w:hAnsi="Arial"/>
          <w:sz w:val="16"/>
          <w:szCs w:val="16"/>
          <w:color w:val="auto"/>
        </w:rPr>
        <w:t>confidentiality, or (iii) non-solicitation and/or non-competition. These obligations remain in effect and will continue to be binding. Such obligations and agreements may include without limitation (i) the duty to sign future documents (e.g., assignments, transfers, etc.) and otherwise cooperate so that intellectual property created in the course of my employment can be recorded in the name of the Company or otherwise protected and enforced, and (ii) the duty to hold in strict confidence any proprietary, confidential or trade secret information which was disclosed to me during my employment and/or (iii) the duty to refrain from soliciting Company employees and/or customers or from otherwise competing with the Company.</w:t>
      </w:r>
    </w:p>
    <w:p>
      <w:pPr>
        <w:spacing w:after="0" w:line="157" w:lineRule="exact"/>
        <w:rPr>
          <w:sz w:val="20"/>
          <w:szCs w:val="20"/>
          <w:color w:val="auto"/>
        </w:rPr>
      </w:pPr>
    </w:p>
    <w:p>
      <w:pPr>
        <w:ind w:left="460" w:hanging="452"/>
        <w:spacing w:after="0"/>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Acknowledgments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 acknowledge that I have been advised by the Company to consult with an attorney in deciding whether to sign this Waiver/Release and Agreement prior to signing. I also acknowledge and agree that the Consideration I have received for signing this Waiver/Release is in addition to anything of value to which I was already entitled.</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280" w:right="339" w:bottom="1440" w:gutter="0" w:footer="0" w:header="0"/>
        </w:sectPr>
      </w:pPr>
    </w:p>
    <w:bookmarkStart w:id="163" w:name="page164"/>
    <w:bookmarkEnd w:id="163"/>
    <w:p>
      <w:pPr>
        <w:ind w:left="460" w:hanging="452"/>
        <w:spacing w:after="0"/>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Voluntary and Knowing Execution</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 declare and represent that I have carefully read and fully understand the terms of this Waiver/Release and Agreement. I knowingly and voluntarily, of my own free will without any pressure or duress, being fully informed and after due deliberation, accept the terms of this Waiver/Release and Agreement in full compromise and settlement of all my claims. I sign this Waiver/Release and the Agreement as my own free act on the date indicated below.</w:t>
      </w:r>
    </w:p>
    <w:p>
      <w:pPr>
        <w:spacing w:after="0" w:line="147" w:lineRule="exact"/>
        <w:rPr>
          <w:sz w:val="20"/>
          <w:szCs w:val="20"/>
          <w:color w:val="auto"/>
        </w:rPr>
      </w:pPr>
    </w:p>
    <w:p>
      <w:pPr>
        <w:ind w:left="460" w:hanging="452"/>
        <w:spacing w:after="0"/>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headings in this Waiver/Release are for reference only, and will not in any way affect the meaning or interpretation of this Waiver/Release. I agree that this Waiver/Release may be used as evidence in a subsequent proceeding in which the Company or I allege a breach of this Waiver/Release or as a complete defense to any lawsuit. Other than this exception, I agree that if any part of this Waiver/Release is found to be void or unenforceable by a court of competent jurisdiction, that determination will not affect the remainder of this Waiver/Release; rather, the portion found to be void or unenforceable will be deemed not to be part of this Waiver/Release or the Agreement. I also understand that any waiver of any provision of this Waiver/Release or the Agreement will not constitute a waiver of any other provision. I understand and agree that this Waiver/Release and the Agreement may be assigned by the Company and in such case will be enforceable by the Company’s successors and assignees.</w:t>
      </w:r>
    </w:p>
    <w:p>
      <w:pPr>
        <w:spacing w:after="0" w:line="159" w:lineRule="exact"/>
        <w:rPr>
          <w:sz w:val="20"/>
          <w:szCs w:val="20"/>
          <w:color w:val="auto"/>
        </w:rPr>
      </w:pPr>
    </w:p>
    <w:p>
      <w:pPr>
        <w:ind w:left="460" w:hanging="452"/>
        <w:spacing w:after="0"/>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Applicable Law</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It is agreed that this Waiver/Release will be governed by the laws of Illinois, and in all cases will be interpreted according to its plain meaning, and not strictly for or against any party.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[REMAINDER OF THIS PAGE INTENTIONALLY LEFT BLANK]</w:t>
      </w:r>
    </w:p>
    <w:p>
      <w:pPr>
        <w:sectPr>
          <w:pgSz w:w="11900" w:h="16838" w:orient="portrait"/>
          <w:cols w:equalWidth="0" w:num="1">
            <w:col w:w="9019"/>
          </w:cols>
          <w:pgMar w:left="1440" w:top="280" w:right="1440" w:bottom="1440" w:gutter="0" w:footer="0" w:header="0"/>
        </w:sectPr>
      </w:pP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9019"/>
          </w:cols>
          <w:pgMar w:left="1440" w:top="280" w:right="1440" w:bottom="1440" w:gutter="0" w:footer="0" w:header="0"/>
          <w:type w:val="continuous"/>
        </w:sectPr>
      </w:pPr>
    </w:p>
    <w:bookmarkStart w:id="165" w:name="page166"/>
    <w:bookmarkEnd w:id="165"/>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Counterparts</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This Waiver/Release and the Agreement may be executed in counterparts and a fully executed photocopy or facsimile copy may be used in place of the original at any time for any purpose.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[EXECUTIVE]</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6340" w:type="dxa"/>
            <w:vAlign w:val="bottom"/>
            <w:gridSpan w:val="5"/>
          </w:tcPr>
          <w:p>
            <w:pPr>
              <w:ind w:left="1600"/>
              <w:spacing w:after="0"/>
              <w:rPr>
                <w:sz w:val="20"/>
                <w:szCs w:val="20"/>
                <w:color w:val="auto"/>
              </w:rPr>
            </w:pPr>
            <w:r>
              <w:rPr>
                <w:rFonts w:ascii="Arial" w:cs="Arial" w:eastAsia="Arial" w:hAnsi="Arial"/>
                <w:sz w:val="18"/>
                <w:szCs w:val="18"/>
                <w:b w:val="1"/>
                <w:bCs w:val="1"/>
                <w:color w:val="auto"/>
              </w:rPr>
              <w:t>Fortune Brands Home &amp; Security, Inc.</w:t>
            </w:r>
          </w:p>
        </w:tc>
      </w:tr>
      <w:tr>
        <w:trPr>
          <w:trHeight w:val="649"/>
        </w:trPr>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340" w:type="dxa"/>
            <w:vAlign w:val="bottom"/>
            <w:gridSpan w:val="5"/>
          </w:tcPr>
          <w:p>
            <w:pPr>
              <w:ind w:left="1240"/>
              <w:spacing w:after="0"/>
              <w:rPr>
                <w:sz w:val="20"/>
                <w:szCs w:val="20"/>
                <w:color w:val="auto"/>
              </w:rPr>
            </w:pPr>
            <w:r>
              <w:rPr>
                <w:rFonts w:ascii="Arial" w:cs="Arial" w:eastAsia="Arial" w:hAnsi="Arial"/>
                <w:sz w:val="18"/>
                <w:szCs w:val="18"/>
                <w:color w:val="auto"/>
              </w:rPr>
              <w:t>By:</w:t>
            </w:r>
          </w:p>
        </w:tc>
      </w:tr>
      <w:tr>
        <w:trPr>
          <w:trHeight w:val="222"/>
        </w:trPr>
        <w:tc>
          <w:tcPr>
            <w:tcW w:w="1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w:t>
            </w:r>
          </w:p>
        </w:tc>
        <w:tc>
          <w:tcPr>
            <w:tcW w:w="9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2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tcPr>
          <w:p>
            <w:pPr>
              <w:spacing w:after="0"/>
              <w:rPr>
                <w:sz w:val="19"/>
                <w:szCs w:val="19"/>
                <w:color w:val="auto"/>
              </w:rPr>
            </w:pPr>
          </w:p>
        </w:tc>
      </w:tr>
      <w:tr>
        <w:trPr>
          <w:trHeight w:val="394"/>
        </w:trPr>
        <w:tc>
          <w:tcPr>
            <w:tcW w:w="1180" w:type="dxa"/>
            <w:vAlign w:val="bottom"/>
            <w:gridSpan w:val="2"/>
          </w:tcPr>
          <w:p>
            <w:pPr>
              <w:spacing w:after="0"/>
              <w:rPr>
                <w:sz w:val="20"/>
                <w:szCs w:val="20"/>
                <w:color w:val="auto"/>
              </w:rPr>
            </w:pPr>
            <w:r>
              <w:rPr>
                <w:rFonts w:ascii="Arial" w:cs="Arial" w:eastAsia="Arial" w:hAnsi="Arial"/>
                <w:sz w:val="18"/>
                <w:szCs w:val="18"/>
                <w:color w:val="auto"/>
              </w:rPr>
              <w:t>Signed this</w:t>
            </w:r>
          </w:p>
        </w:tc>
        <w:tc>
          <w:tcPr>
            <w:tcW w:w="3900" w:type="dxa"/>
            <w:vAlign w:val="bottom"/>
            <w:gridSpan w:val="4"/>
          </w:tcPr>
          <w:p>
            <w:pPr>
              <w:ind w:left="60"/>
              <w:spacing w:after="0"/>
              <w:rPr>
                <w:sz w:val="20"/>
                <w:szCs w:val="20"/>
                <w:color w:val="auto"/>
              </w:rPr>
            </w:pPr>
            <w:r>
              <w:rPr>
                <w:rFonts w:ascii="Arial" w:cs="Arial" w:eastAsia="Arial" w:hAnsi="Arial"/>
                <w:sz w:val="18"/>
                <w:szCs w:val="18"/>
                <w:color w:val="auto"/>
              </w:rPr>
              <w:t>day of</w:t>
            </w:r>
          </w:p>
        </w:tc>
        <w:tc>
          <w:tcPr>
            <w:tcW w:w="6340" w:type="dxa"/>
            <w:vAlign w:val="bottom"/>
            <w:gridSpan w:val="5"/>
          </w:tcPr>
          <w:p>
            <w:pPr>
              <w:ind w:left="1600"/>
              <w:spacing w:after="0"/>
              <w:rPr>
                <w:sz w:val="20"/>
                <w:szCs w:val="20"/>
                <w:color w:val="auto"/>
              </w:rPr>
            </w:pPr>
            <w:r>
              <w:rPr>
                <w:rFonts w:ascii="Arial" w:cs="Arial" w:eastAsia="Arial" w:hAnsi="Arial"/>
                <w:sz w:val="18"/>
                <w:szCs w:val="18"/>
                <w:color w:val="auto"/>
              </w:rPr>
              <w:t>Signed this day of</w:t>
            </w:r>
          </w:p>
        </w:tc>
      </w:tr>
      <w:tr>
        <w:trPr>
          <w:trHeight w:val="412"/>
        </w:trPr>
        <w:tc>
          <w:tcPr>
            <w:tcW w:w="8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8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83"/>
        </w:trPr>
        <w:tc>
          <w:tcPr>
            <w:tcW w:w="8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660" w:type="dxa"/>
            <w:vAlign w:val="bottom"/>
          </w:tcPr>
          <w:p>
            <w:pPr>
              <w:spacing w:after="0"/>
              <w:rPr>
                <w:sz w:val="24"/>
                <w:szCs w:val="24"/>
                <w:color w:val="auto"/>
              </w:rPr>
            </w:pPr>
          </w:p>
        </w:tc>
        <w:tc>
          <w:tcPr>
            <w:tcW w:w="1600" w:type="dxa"/>
            <w:vAlign w:val="bottom"/>
          </w:tcPr>
          <w:p>
            <w:pPr>
              <w:jc w:val="right"/>
              <w:ind w:right="792"/>
              <w:spacing w:after="0"/>
              <w:rPr>
                <w:sz w:val="20"/>
                <w:szCs w:val="20"/>
                <w:color w:val="auto"/>
              </w:rPr>
            </w:pPr>
            <w:r>
              <w:rPr>
                <w:rFonts w:ascii="Arial" w:cs="Arial" w:eastAsia="Arial" w:hAnsi="Arial"/>
                <w:sz w:val="18"/>
                <w:szCs w:val="18"/>
                <w:color w:val="auto"/>
              </w:rPr>
              <w:t>10</w:t>
            </w:r>
          </w:p>
        </w:tc>
        <w:tc>
          <w:tcPr>
            <w:tcW w:w="21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3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10.15</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FORTUNE BRANDS HOME &amp; SECURITY,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PLAN FOR VICE PRESIDENTS</w:t>
      </w:r>
    </w:p>
    <w:p>
      <w:pPr>
        <w:spacing w:after="0" w:line="165"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Fortune Brands Home &amp; Security, Inc. (the “Company”) has established the Fortune Brands Home &amp; Security, Inc. Severance Plan for Vice Presidents (the “Plan”) effective as of October 3, 2011. This Plan supersedes any other severance plan maintained by the Company or any predecessor employer for Vice Presidents.</w:t>
      </w:r>
    </w:p>
    <w:p>
      <w:pPr>
        <w:spacing w:after="0" w:line="14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Notwithstanding anything in the Plan to the contrary, the Company intends that, to the extent the Plan provides a severance pay benefit that constitutes a deferral of compensation as determined in accordance with Section 409A of the Internal Revenue Code (the “Code”) and regulations and guidance promulgated thereunder (collectively, “Section 409A”), each provision in the Plan shall be interpreted to comply with the requirements of Section 409A and any provision that would conflict with such requirements shall not be valid or enforceable.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SEVERANCE PLAN BENEFITS: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All domestic, full-time salaried employees who are Vice Presidents of the Company are covered by the Plan. Officers above the level of Vice President who are covered by individual Severance Agreements with the Company are excluded from the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Vice Presidents are eligible for the severance pay set forth below in the event of:</w:t>
      </w:r>
    </w:p>
    <w:p>
      <w:pPr>
        <w:spacing w:after="0" w:line="90" w:lineRule="exact"/>
        <w:rPr>
          <w:sz w:val="20"/>
          <w:szCs w:val="20"/>
          <w:color w:val="auto"/>
        </w:rPr>
      </w:pPr>
    </w:p>
    <w:p>
      <w:pPr>
        <w:ind w:left="460" w:hanging="452"/>
        <w:spacing w:after="0" w:line="294" w:lineRule="auto"/>
        <w:tabs>
          <w:tab w:leader="none" w:pos="46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Involuntary separation from employment with the Company for reasons other than resignation, retirement, death, disability, or cause; provided the employee remains employed until the date designated by the Company as his or her termination date. The term “cause” includes but is not limited to misconduct, negligence, dishonesty, criminal act, excessive absenteeism, and willful failure to perform job responsibilities and other conduct determined by the Company to be “cause.” The term “retirement” means termination of employment on or after attainment of age 55 and completion of at least 10 years of service. The term “disability” means the employee is considered disabled for purposes of the Company’s long term disability plan.</w:t>
      </w:r>
    </w:p>
    <w:p>
      <w:pPr>
        <w:spacing w:after="0" w:line="34" w:lineRule="exact"/>
        <w:rPr>
          <w:rFonts w:ascii="Arial" w:cs="Arial" w:eastAsia="Arial" w:hAnsi="Arial"/>
          <w:sz w:val="16"/>
          <w:szCs w:val="16"/>
          <w:color w:val="auto"/>
        </w:rPr>
      </w:pPr>
    </w:p>
    <w:p>
      <w:pPr>
        <w:ind w:left="460" w:right="160" w:hanging="452"/>
        <w:spacing w:after="0" w:line="255" w:lineRule="auto"/>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Voluntary separation from employment if, an employee’s job location has been relocated more than 35 miles from the employee’s former job location; provided that, not later than 30 days after the relocation of the employee’s job, the employee shall provide notice to the Company of the conditions described in this Section 2(A)(2) and his or her intent to separate from service; upon receipt of such notice, the Company shall have 30 days during which the Company may remedy such conditions; and in the event of the Company’s failure to do so, the employee separates from service within the 90-day period following the relocation of his or her job.</w:t>
      </w:r>
    </w:p>
    <w:p>
      <w:pPr>
        <w:sectPr>
          <w:pgSz w:w="11900" w:h="16838" w:orient="portrait"/>
          <w:cols w:equalWidth="0" w:num="1">
            <w:col w:w="11420"/>
          </w:cols>
          <w:pgMar w:left="240" w:top="125" w:right="2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employee is not eligible for severance pay under the Plan if:</w:t>
      </w:r>
    </w:p>
    <w:p>
      <w:pPr>
        <w:spacing w:after="0" w:line="90" w:lineRule="exact"/>
        <w:rPr>
          <w:sz w:val="20"/>
          <w:szCs w:val="20"/>
          <w:color w:val="auto"/>
        </w:rPr>
      </w:pPr>
    </w:p>
    <w:p>
      <w:pPr>
        <w:ind w:left="460" w:right="280" w:hanging="452"/>
        <w:spacing w:after="0" w:line="332" w:lineRule="auto"/>
        <w:tabs>
          <w:tab w:leader="none" w:pos="4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employee is offered a comparable position (as determined in the sole discretion of the Company) with the Company, an affiliate of the Company, or any other successor employer with which the Company has negotiated over the terms of employment for Company employees as a result of:</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 reorganization of the Company (including but not limited to a spinoff of one of the Company’s divisions or subsidiaries);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sale of stock or assets of the Company or one of its affiliates;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outsourcing by the Company of the employee’s job function;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such position is initially located within a 35-mile radius of the employee’s former job location.</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employee is not eligible for severance if the employee receives and accepts an offer of employment under the circumstances described in part (a) above, even though the new position is located outside the 35-mile radius described in part (b) of this paragraph.</w:t>
      </w:r>
    </w:p>
    <w:p>
      <w:pPr>
        <w:spacing w:after="0" w:line="132"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In addition, if an employee is offered and accepts another position with the Company or any affiliate or business unit of the Company (whether or not such offer is made in connection with a corporate transaction or restructuring) prior to commencement of severance pay benefits, no severance pay will be provided under this Plan. If an employee accepts a position with the Company or any affiliate or business unit of the Company after severance pay begins, no further severance pay benefits will be provided upon assumption of the new position.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 of Severance Pay—General</w:t>
      </w:r>
    </w:p>
    <w:p>
      <w:pPr>
        <w:spacing w:after="0" w:line="9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amount of severance pay provided for employment terminations described in A and B will be 12 months’ of base salary plus the employee’s target bonus for the year in which the employee’s employment termination occurs. Notwithstanding the foregoing, the bonus portion of the severance pay will be offset by any annual bonus actually paid under the terms of the Company’s annual bonus plan for the year of termination, but not below zero.</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 of Severance Pay – Change in Control</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If any eligible Vice President’s employment is terminated within 18 months following a Change in Control of the Company, the General provisions regarding severance pay (described above) will not apply, and severance pay will be determined under this Change in Control section. “Change in Control” means a Change in Control as defined in the Fortune Brands Home &amp; Security Inc. 2011 Long-Term Incentive Plan, as amended from time to time. Payment of severance under this Section will be provided to an eligible employee if the employee’s employment with the Company terminates under any of the following circumstances:</w:t>
      </w:r>
    </w:p>
    <w:p>
      <w:pPr>
        <w:spacing w:after="0" w:line="32" w:lineRule="exact"/>
        <w:rPr>
          <w:sz w:val="20"/>
          <w:szCs w:val="20"/>
          <w:color w:val="auto"/>
        </w:rPr>
      </w:pPr>
    </w:p>
    <w:p>
      <w:pPr>
        <w:ind w:left="460" w:right="280" w:hanging="452"/>
        <w:spacing w:after="0" w:line="332" w:lineRule="auto"/>
        <w:tabs>
          <w:tab w:leader="none" w:pos="46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Involuntary separation from employment from the Company or an affiliate thereof for any reason other than death, disability, or cause within 18 months following a Change in Control; provided the employee is employed by the Company on the date on which the Change in Control occurs;</w:t>
      </w:r>
    </w:p>
    <w:p>
      <w:pPr>
        <w:spacing w:after="0" w:line="66" w:lineRule="exact"/>
        <w:rPr>
          <w:sz w:val="20"/>
          <w:szCs w:val="20"/>
          <w:color w:val="auto"/>
        </w:rPr>
      </w:pPr>
    </w:p>
    <w:p>
      <w:pPr>
        <w:spacing w:after="0"/>
        <w:tabs>
          <w:tab w:leader="none" w:pos="10740" w:val="left"/>
        </w:tabs>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October 3, 2011</w:t>
      </w:r>
      <w:r>
        <w:rPr>
          <w:sz w:val="20"/>
          <w:szCs w:val="20"/>
          <w:color w:val="auto"/>
        </w:rPr>
        <w:tab/>
      </w:r>
      <w:r>
        <w:rPr>
          <w:rFonts w:ascii="Arial" w:cs="Arial" w:eastAsia="Arial" w:hAnsi="Arial"/>
          <w:sz w:val="16"/>
          <w:szCs w:val="16"/>
          <w:b w:val="1"/>
          <w:bCs w:val="1"/>
          <w:color w:val="auto"/>
        </w:rPr>
        <w:t xml:space="preserve">PAGE: </w:t>
      </w:r>
      <w:r>
        <w:rPr>
          <w:rFonts w:ascii="Arial" w:cs="Arial" w:eastAsia="Arial" w:hAnsi="Arial"/>
          <w:sz w:val="16"/>
          <w:szCs w:val="16"/>
          <w:color w:val="auto"/>
        </w:rPr>
        <w:t>2</w:t>
      </w:r>
    </w:p>
    <w:p>
      <w:pPr>
        <w:sectPr>
          <w:pgSz w:w="11900" w:h="16838" w:orient="portrait"/>
          <w:cols w:equalWidth="0" w:num="1">
            <w:col w:w="11420"/>
          </w:cols>
          <w:pgMar w:left="240" w:top="280" w:right="239" w:bottom="1440" w:gutter="0" w:footer="0" w:header="0"/>
        </w:sectPr>
      </w:pPr>
    </w:p>
    <w:bookmarkStart w:id="168" w:name="page169"/>
    <w:bookmarkEnd w:id="168"/>
    <w:p>
      <w:pPr>
        <w:ind w:left="460" w:right="100" w:hanging="452"/>
        <w:spacing w:after="0" w:line="294" w:lineRule="auto"/>
        <w:tabs>
          <w:tab w:leader="none" w:pos="4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Voluntary separation from employment if, within 18 months following a Change in Control, such employee’s job location is relocated more than 35 miles from the employee’s job location as of immediately prior to the Change in Control</w:t>
      </w:r>
      <w:r>
        <w:rPr>
          <w:rFonts w:ascii="Arial" w:cs="Arial" w:eastAsia="Arial" w:hAnsi="Arial"/>
          <w:sz w:val="16"/>
          <w:szCs w:val="16"/>
          <w:b w:val="1"/>
          <w:bCs w:val="1"/>
          <w:color w:val="auto"/>
        </w:rPr>
        <w:t>;</w:t>
      </w:r>
      <w:r>
        <w:rPr>
          <w:rFonts w:ascii="Arial" w:cs="Arial" w:eastAsia="Arial" w:hAnsi="Arial"/>
          <w:sz w:val="16"/>
          <w:szCs w:val="16"/>
          <w:color w:val="auto"/>
        </w:rPr>
        <w:t xml:space="preserve"> provided that not later than 30 days after the relocation of the employee’s job, the employee shall provide notice to the Company of his or her intent to separate from service due to such relocation; upon receipt of such notice, the Company shall have 30 days during which the Company may remedy such conditions; and in the event of the Company’s failure to do so, the employee separates from service within the 90-day period following the relocation of his or her job; or</w:t>
      </w:r>
    </w:p>
    <w:p>
      <w:pPr>
        <w:spacing w:after="0" w:line="34" w:lineRule="exact"/>
        <w:rPr>
          <w:rFonts w:ascii="Arial" w:cs="Arial" w:eastAsia="Arial" w:hAnsi="Arial"/>
          <w:sz w:val="16"/>
          <w:szCs w:val="16"/>
          <w:color w:val="auto"/>
        </w:rPr>
      </w:pPr>
    </w:p>
    <w:p>
      <w:pPr>
        <w:ind w:left="460" w:right="100" w:hanging="452"/>
        <w:spacing w:after="0" w:line="255" w:lineRule="auto"/>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Voluntary separation from employment if, within 18 months following a Change in Control, such employee is demoted to a lower salary grade level with a material decrease in compensation</w:t>
      </w:r>
      <w:r>
        <w:rPr>
          <w:rFonts w:ascii="Arial" w:cs="Arial" w:eastAsia="Arial" w:hAnsi="Arial"/>
          <w:sz w:val="18"/>
          <w:szCs w:val="18"/>
          <w:b w:val="1"/>
          <w:bCs w:val="1"/>
          <w:color w:val="auto"/>
        </w:rPr>
        <w:t>;</w:t>
      </w:r>
      <w:r>
        <w:rPr>
          <w:rFonts w:ascii="Arial" w:cs="Arial" w:eastAsia="Arial" w:hAnsi="Arial"/>
          <w:sz w:val="18"/>
          <w:szCs w:val="18"/>
          <w:color w:val="auto"/>
        </w:rPr>
        <w:t xml:space="preserve"> provided that not later than 30 days after such demotion, the employee shall provide notice to the Company of his or her intent to separate from service due to such demotion; upon receipt of such notice, the Company shall have 30 days during which the Company may remedy such conditions; and in the event of the Company’s failure to do so, the employee separates from service within the 90-day period following such demotion.</w:t>
      </w:r>
    </w:p>
    <w:p>
      <w:pPr>
        <w:spacing w:after="0" w:line="143" w:lineRule="exact"/>
        <w:rPr>
          <w:sz w:val="20"/>
          <w:szCs w:val="20"/>
          <w:color w:val="auto"/>
        </w:rPr>
      </w:pPr>
    </w:p>
    <w:p>
      <w:pPr>
        <w:jc w:val="both"/>
        <w:ind w:right="60"/>
        <w:spacing w:after="0" w:line="332" w:lineRule="auto"/>
        <w:rPr>
          <w:sz w:val="20"/>
          <w:szCs w:val="20"/>
          <w:color w:val="auto"/>
        </w:rPr>
      </w:pPr>
      <w:r>
        <w:rPr>
          <w:rFonts w:ascii="Arial" w:cs="Arial" w:eastAsia="Arial" w:hAnsi="Arial"/>
          <w:sz w:val="16"/>
          <w:szCs w:val="16"/>
          <w:color w:val="auto"/>
        </w:rPr>
        <w:t>For the avoidance of doubt, eligibility for the severance pay provided under this Section upon a Change in Control applies only to terminations of employment or demotions that occur within a period ending 18 months following the Change in Control of the Company. After that 18-month period, this Section will not apply.</w:t>
      </w:r>
    </w:p>
    <w:p>
      <w:pPr>
        <w:spacing w:after="0" w:line="85" w:lineRule="exact"/>
        <w:rPr>
          <w:sz w:val="20"/>
          <w:szCs w:val="20"/>
          <w:color w:val="auto"/>
        </w:rPr>
      </w:pPr>
    </w:p>
    <w:p>
      <w:pPr>
        <w:jc w:val="both"/>
        <w:ind w:right="160"/>
        <w:spacing w:after="0" w:line="335" w:lineRule="auto"/>
        <w:rPr>
          <w:sz w:val="20"/>
          <w:szCs w:val="20"/>
          <w:color w:val="auto"/>
        </w:rPr>
      </w:pPr>
      <w:r>
        <w:rPr>
          <w:rFonts w:ascii="Arial" w:cs="Arial" w:eastAsia="Arial" w:hAnsi="Arial"/>
          <w:sz w:val="15"/>
          <w:szCs w:val="15"/>
          <w:color w:val="auto"/>
        </w:rPr>
        <w:t>The amount of severance pay provided for separations from service within 18 months following a Change in Control will be 18 months’ of base salary plus the employee’s target bonus for the year in which the employee’s separation from service occurs. Notwithstanding the foregoing, the bonus portion of the severance pay will be offset by any annual bonus actually paid under the terms of the Company’s annual bonus plan for the year of termination, but not below zero.</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Severance</w:t>
      </w:r>
    </w:p>
    <w:p>
      <w:pPr>
        <w:spacing w:after="0" w:line="9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Eligible separated employees will receive payment of severance in regular pay intervals through the entire severance period. An employee’s separation date shall be determined in accordance with the requirements of Section 409A. Notwithstanding the foregoing, if an employee is a specified employee (as defined below), the following rules shall apply:</w:t>
      </w:r>
    </w:p>
    <w:p>
      <w:pPr>
        <w:spacing w:after="0" w:line="59" w:lineRule="exact"/>
        <w:rPr>
          <w:sz w:val="20"/>
          <w:szCs w:val="20"/>
          <w:color w:val="auto"/>
        </w:rPr>
      </w:pPr>
    </w:p>
    <w:p>
      <w:pPr>
        <w:ind w:left="460" w:right="120" w:hanging="452"/>
        <w:spacing w:after="0" w:line="256" w:lineRule="auto"/>
        <w:tabs>
          <w:tab w:leader="none" w:pos="4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For purposes of applying the exception to Section 409A for short-term deferrals, each installment shall be treated as a separate payment. Accordingly, any benefits paid (i) within 2-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months of the end of the Company’s taxable year containing the separation date, or (ii) within 2-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months of the end of the employee’s taxable year containing his or her separation date shall be exempt from Section 409A and shall be paid in accordance with the first sentence of this Section 4.</w:t>
      </w:r>
    </w:p>
    <w:p>
      <w:pPr>
        <w:spacing w:after="0" w:line="124" w:lineRule="exact"/>
        <w:rPr>
          <w:sz w:val="20"/>
          <w:szCs w:val="20"/>
          <w:color w:val="auto"/>
        </w:rPr>
      </w:pPr>
    </w:p>
    <w:p>
      <w:pPr>
        <w:spacing w:after="0"/>
        <w:tabs>
          <w:tab w:leader="none" w:pos="10740" w:val="left"/>
        </w:tabs>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October 3, 2011</w:t>
      </w:r>
      <w:r>
        <w:rPr>
          <w:sz w:val="20"/>
          <w:szCs w:val="20"/>
          <w:color w:val="auto"/>
        </w:rPr>
        <w:tab/>
      </w:r>
      <w:r>
        <w:rPr>
          <w:rFonts w:ascii="Arial" w:cs="Arial" w:eastAsia="Arial" w:hAnsi="Arial"/>
          <w:sz w:val="16"/>
          <w:szCs w:val="16"/>
          <w:b w:val="1"/>
          <w:bCs w:val="1"/>
          <w:color w:val="auto"/>
        </w:rPr>
        <w:t xml:space="preserve">PAGE: </w:t>
      </w:r>
      <w:r>
        <w:rPr>
          <w:rFonts w:ascii="Arial" w:cs="Arial" w:eastAsia="Arial" w:hAnsi="Arial"/>
          <w:sz w:val="16"/>
          <w:szCs w:val="16"/>
          <w:color w:val="auto"/>
        </w:rPr>
        <w:t>3</w:t>
      </w:r>
    </w:p>
    <w:p>
      <w:pPr>
        <w:sectPr>
          <w:pgSz w:w="11900" w:h="16838" w:orient="portrait"/>
          <w:cols w:equalWidth="0" w:num="1">
            <w:col w:w="11420"/>
          </w:cols>
          <w:pgMar w:left="240" w:top="280" w:right="239" w:bottom="1440" w:gutter="0" w:footer="0" w:header="0"/>
        </w:sectPr>
      </w:pPr>
    </w:p>
    <w:bookmarkStart w:id="169" w:name="page170"/>
    <w:bookmarkEnd w:id="169"/>
    <w:p>
      <w:pPr>
        <w:ind w:left="460" w:right="40" w:hanging="452"/>
        <w:spacing w:after="0" w:line="256" w:lineRule="auto"/>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the employee’s severance pay benefit otherwise payable in the first six months following the employee’s separation date (other than amounts exempt from Section 409A under Section 4(A) above) is equal to or less than the lesser of the amounts described in Treasury Regulations Sections 1.409A-1(b)(9)(iii)(A)(1) and (2), such severance benefit shall be exempt from Section 409A and shall be paid in accordance with the first sentence of this Section 4.</w:t>
      </w:r>
    </w:p>
    <w:p>
      <w:pPr>
        <w:spacing w:after="0" w:line="62" w:lineRule="exact"/>
        <w:rPr>
          <w:rFonts w:ascii="Arial" w:cs="Arial" w:eastAsia="Arial" w:hAnsi="Arial"/>
          <w:sz w:val="18"/>
          <w:szCs w:val="18"/>
          <w:color w:val="auto"/>
        </w:rPr>
      </w:pPr>
    </w:p>
    <w:p>
      <w:pPr>
        <w:ind w:left="460" w:right="220" w:hanging="452"/>
        <w:spacing w:after="0" w:line="256" w:lineRule="auto"/>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Only to the extent a portion of the employee’s severance pay benefit is not exempt from Section 409A pursuant to Sections 4(A) or 4(B) above, any such remaining severance pay benefits shall be delayed until the first payroll date of the 7th month following the employee’s separation date. Any delayed payments shall then be paid in a lump sum without interest. Thereafter, the remainder of an employee’s severance pay benefit shall be payable in installments according to the normal payroll schedule of the Company.</w:t>
      </w:r>
    </w:p>
    <w:p>
      <w:pPr>
        <w:spacing w:after="0" w:line="62"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“Specified employee” means a an employee identified as a specified employee pursuant to the “Procedures for Determining Specified Employees under Code Section 409A” as adopted, and as amended from time to time, by the Company’s Board of Directors or a committee or individual authorized by the Company’s Board of Directors for this purpose.</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the event of an employee’s death after signing the separation letter and release of claims required below, but before receipt of all severance pay, all remaining payments will be made in a lump sum to the employee’s estate. All payments are subject to normal payroll taxes and required withholding and may be reduced by any amounts employee owes the Company; provided that, to the extent an employee’s severance pay benefit is not exempt from Section 409A, then any offset to such benefit shall comply with the requirements of Section 409A.</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the event an employee is entitled to severance pay as a result of an involuntary separation described above, and the Company discovers information that, in the Company’s reasonable judgment would have provided a basis for termination for cause (as defined above), the Company will have no further obligation to make payments under the Plan. The Company will have the right to recover all amounts previously paid under the Plan, as well as attorney’s fees incurred in connection with such recovery.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Coverage</w:t>
      </w:r>
    </w:p>
    <w:p>
      <w:pPr>
        <w:spacing w:after="0" w:line="96"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Medical and dental coverage can be continued throughout the period that severance payments continue on the same terms and conditions and at the same contribution rates that apply to the employee, and such coverage shall run concurrently with coverage provided under the Consolidated Omnibus Budget Reconciliation Act (“COBRA”). Employees will receive notice of COBRA rights after separation. All other employee benefit plans terminate on the separated employee’s last day of work. Severance payments will not be considered as pensionable earnings, and the period of time that severance payments are made will not count toward credited service and vesting service under the Company’s pension plans. Payments under the Plan are not eligible for contributions to the Company’s 401(k)/profit sharing plans or otherwise recognized for any other benefit purpose.</w:t>
      </w:r>
    </w:p>
    <w:p>
      <w:pPr>
        <w:spacing w:after="0" w:line="101" w:lineRule="exact"/>
        <w:rPr>
          <w:sz w:val="20"/>
          <w:szCs w:val="20"/>
          <w:color w:val="auto"/>
        </w:rPr>
      </w:pPr>
    </w:p>
    <w:p>
      <w:pPr>
        <w:spacing w:after="0"/>
        <w:tabs>
          <w:tab w:leader="none" w:pos="10740" w:val="left"/>
        </w:tabs>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October 3, 2011</w:t>
      </w:r>
      <w:r>
        <w:rPr>
          <w:sz w:val="20"/>
          <w:szCs w:val="20"/>
          <w:color w:val="auto"/>
        </w:rPr>
        <w:tab/>
      </w:r>
      <w:r>
        <w:rPr>
          <w:rFonts w:ascii="Arial" w:cs="Arial" w:eastAsia="Arial" w:hAnsi="Arial"/>
          <w:sz w:val="16"/>
          <w:szCs w:val="16"/>
          <w:b w:val="1"/>
          <w:bCs w:val="1"/>
          <w:color w:val="auto"/>
        </w:rPr>
        <w:t xml:space="preserve">PAGE: </w:t>
      </w:r>
      <w:r>
        <w:rPr>
          <w:rFonts w:ascii="Arial" w:cs="Arial" w:eastAsia="Arial" w:hAnsi="Arial"/>
          <w:sz w:val="16"/>
          <w:szCs w:val="16"/>
          <w:color w:val="auto"/>
        </w:rPr>
        <w:t>4</w:t>
      </w:r>
    </w:p>
    <w:p>
      <w:pPr>
        <w:sectPr>
          <w:pgSz w:w="11900" w:h="16838" w:orient="portrait"/>
          <w:cols w:equalWidth="0" w:num="1">
            <w:col w:w="11420"/>
          </w:cols>
          <w:pgMar w:left="240" w:top="280" w:right="239" w:bottom="1440" w:gutter="0" w:footer="0" w:header="0"/>
        </w:sectPr>
      </w:pPr>
    </w:p>
    <w:bookmarkStart w:id="170" w:name="page171"/>
    <w:bookmarkEnd w:id="170"/>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during a period of severance, a former employee accepts employment with a new employer, any medical or dental coverage provided under plans maintained by the Company will be discontinued when the former employee is eligible for coverage under the new employer’s plans. A former employee must notify the Human Resources Department in writing (or via email) when he or she obtains coverage under a new employer’s plans. The Plan reserves the right to seek reimbursement of any premium subsidies paid after a former employee obtains coverage from a new employer if such former employee fails to notify the Human Resources Department as required under this provision.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Vacation</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Employees will receive pay for all unused and accrued vacation for the year of termination as a part of their final regular pay in accordance with prevailing state laws.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Company Payments</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Notwithstanding any provision of this Plan to the contrary, the severance pay under this Plan shall be reduced by the severance benefits then payable to an employee under any other agreement, understanding, plan, policy, program or arrangement of the Company or a subsidiary or affiliate of the Company. Moreover, if an employee has an individual Change in Control Agreement or Severance Agreement with the Company, then any severance benefits payable to such employee shall be determined in accordance with the Change in Control Agreement or Severance Agreement, as applicable, and not this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Release</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no event will an employee be eligible for any payments or benefits under this Plan until the employee signs a release and waiver of claims in the form proposed by the Company and any applicable revocation period expires.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96"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This Plan is administered by the Company (the “Plan Administrator”). The Plan Administrator may designate persons to carry out its responsibilities under this Plan. The Plan Administrator reserves absolute discretionary authority to determine all matters arising in connection with the administration, interpretation and application of the Plan (including all questions of coverage, facts, eligibility and methods of providing and arranging for any benefits.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statements contained in this Plan are not intended to create nor are they to be construed to constitute conditions of employment or a contract of employment between the Company and any employee. The Company reserves the right to modify, suspend or terminate the Plan or the benefits provided at any time without prior notice to employees; provided, however, that in the event of a Change in Control, the Company may not terminate the Plan or amend the provisions under “Amount of Severance Pay – Change of Control” in such a manner so as to adversely affect benefits otherwise payable under this Plan until 18 months following such Change in Control. Any amendment or termination of the Plan shall comply with the restrictions of Code Section 409A to the extent applicable. Specifically, no amendment or termination of the Plan may accelerate a scheduled payment unless permitted by Treasury regulations section 1.409A-3(j)(4).</w:t>
      </w:r>
    </w:p>
    <w:p>
      <w:pPr>
        <w:spacing w:after="0" w:line="101" w:lineRule="exact"/>
        <w:rPr>
          <w:sz w:val="20"/>
          <w:szCs w:val="20"/>
          <w:color w:val="auto"/>
        </w:rPr>
      </w:pPr>
    </w:p>
    <w:p>
      <w:pPr>
        <w:spacing w:after="0"/>
        <w:tabs>
          <w:tab w:leader="none" w:pos="10740" w:val="left"/>
        </w:tabs>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October 3, 2011</w:t>
      </w:r>
      <w:r>
        <w:rPr>
          <w:sz w:val="20"/>
          <w:szCs w:val="20"/>
          <w:color w:val="auto"/>
        </w:rPr>
        <w:tab/>
      </w:r>
      <w:r>
        <w:rPr>
          <w:rFonts w:ascii="Arial" w:cs="Arial" w:eastAsia="Arial" w:hAnsi="Arial"/>
          <w:sz w:val="16"/>
          <w:szCs w:val="16"/>
          <w:b w:val="1"/>
          <w:bCs w:val="1"/>
          <w:color w:val="auto"/>
        </w:rPr>
        <w:t xml:space="preserve">PAGE: </w:t>
      </w:r>
      <w:r>
        <w:rPr>
          <w:rFonts w:ascii="Arial" w:cs="Arial" w:eastAsia="Arial" w:hAnsi="Arial"/>
          <w:sz w:val="16"/>
          <w:szCs w:val="16"/>
          <w:color w:val="auto"/>
        </w:rPr>
        <w:t>5</w:t>
      </w:r>
    </w:p>
    <w:p>
      <w:pPr>
        <w:sectPr>
          <w:pgSz w:w="11900" w:h="16838" w:orient="portrait"/>
          <w:cols w:equalWidth="0" w:num="1">
            <w:col w:w="11420"/>
          </w:cols>
          <w:pgMar w:left="240" w:top="280" w:right="2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Benefit Claim Process</w:t>
      </w:r>
    </w:p>
    <w:p>
      <w:pPr>
        <w:spacing w:after="0" w:line="96"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Company or its delegate will notify eligible employees of any amounts of severance benefits payable under this Plan. If an employee does not receive severance pay benefits within 60 days of his or her date of termination, he or she may assume that the Plan Administrator has determined that such employee is not eligible for severance pay benefits. If any employee believes that he or she has been denied severance pay benefits to which he or she may be entitled, the employee should submit a written claim for severance pay benefits to the Company’s Senior Vice President, Human Resources. In deciding claims for benefits under the Plan, the Company’s Senior Vice President, Human Resources will have the same discretionary authority as the Plan Administrator, as described in “Administration” above.</w:t>
      </w:r>
    </w:p>
    <w:p>
      <w:pPr>
        <w:spacing w:after="0" w:line="14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Company or its delegate will notify the employee of any claim for severance pay that is denied, in whole or in part, within 90 days of the date the claim is received (unless special circumstances required additional time for processing the claim). The notice will contain:</w:t>
      </w:r>
    </w:p>
    <w:p>
      <w:pPr>
        <w:spacing w:after="0" w:line="51" w:lineRule="exact"/>
        <w:rPr>
          <w:sz w:val="20"/>
          <w:szCs w:val="20"/>
          <w:color w:val="auto"/>
        </w:rPr>
      </w:pPr>
    </w:p>
    <w:p>
      <w:pPr>
        <w:ind w:left="900" w:hanging="325"/>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specific reason(s) why the claim was denied;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specific Plan provision(s) on which the denial was based;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 description of additional information required by the Company and the reasons why such information is needed;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procedure for review of the denial, including the employee’s right to bring suit under Section 502(a) of ERISA.</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special circumstances require an extension of time for processing the claim, the initial 90-day period may be extended for up to 90 additional days, provided the Company or its delegate gives the employee written notice of the extension prior to the expiration of the initial 90-day period. Such notice will set forth the circumstances requiring the extension of time and the date by which a decision is expected to be rendered.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Claim Appeal Process</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If a claim is denied, the employee and/or his or her authorized representative may file a written appeal to the Company’s Corporate Employee Benefits Committee (“CEBC”) within 60 days of the date the notice of denial is received. In deciding claims on appeal, the CEBC will have the same discretionary authority as the Plan Administrator, as described in Section 9. The employee and/or his or her authorized representative may review Plan documents and other documents that affect the claim, and the Company will provide access to or copies of, relevant documents upon request and free of charge. The request for a review should state the reason(s) why the employee feels the claim was improperly denied. Additional data, questions or comments should also be submitted, and the Company’s review will take into account comments, documents, records, and other information submitted by the participant without regard to whether that information was submitted or considered in the initial benefit determination.</w:t>
      </w:r>
    </w:p>
    <w:p>
      <w:pPr>
        <w:spacing w:after="0" w:line="11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CEBC will render a decision on the appeal within 60 days after receipt of a request for review unless special circumstances require an extension of time for review, in which case the time limit will not be later than a total of 120 days after receipt, and the extension will</w:t>
      </w:r>
    </w:p>
    <w:p>
      <w:pPr>
        <w:spacing w:after="0" w:line="112" w:lineRule="exact"/>
        <w:rPr>
          <w:sz w:val="20"/>
          <w:szCs w:val="20"/>
          <w:color w:val="auto"/>
        </w:rPr>
      </w:pPr>
    </w:p>
    <w:p>
      <w:pPr>
        <w:spacing w:after="0"/>
        <w:tabs>
          <w:tab w:leader="none" w:pos="10740" w:val="left"/>
        </w:tabs>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October 3, 2011</w:t>
      </w:r>
      <w:r>
        <w:rPr>
          <w:sz w:val="20"/>
          <w:szCs w:val="20"/>
          <w:color w:val="auto"/>
        </w:rPr>
        <w:tab/>
      </w:r>
      <w:r>
        <w:rPr>
          <w:rFonts w:ascii="Arial" w:cs="Arial" w:eastAsia="Arial" w:hAnsi="Arial"/>
          <w:sz w:val="16"/>
          <w:szCs w:val="16"/>
          <w:b w:val="1"/>
          <w:bCs w:val="1"/>
          <w:color w:val="auto"/>
        </w:rPr>
        <w:t xml:space="preserve">PAGE: </w:t>
      </w:r>
      <w:r>
        <w:rPr>
          <w:rFonts w:ascii="Arial" w:cs="Arial" w:eastAsia="Arial" w:hAnsi="Arial"/>
          <w:sz w:val="16"/>
          <w:szCs w:val="16"/>
          <w:color w:val="auto"/>
        </w:rPr>
        <w:t>6</w:t>
      </w:r>
    </w:p>
    <w:p>
      <w:pPr>
        <w:sectPr>
          <w:pgSz w:w="11900" w:h="16838" w:orient="portrait"/>
          <w:cols w:equalWidth="0" w:num="1">
            <w:col w:w="11420"/>
          </w:cols>
          <w:pgMar w:left="240" w:top="274" w:right="239" w:bottom="1440" w:gutter="0" w:footer="0" w:header="0"/>
        </w:sectPr>
      </w:pPr>
    </w:p>
    <w:bookmarkStart w:id="172" w:name="page173"/>
    <w:bookmarkEnd w:id="172"/>
    <w:p>
      <w:pPr>
        <w:ind w:right="6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granted in writing and will cite the reason for the extension and the date the Plan expects to reach a decision. A decision on an appeal will be in writing, will include the specific reasons for the decision and specific references to the pertinent Plan provisions on which the decision is based, a statement that the employee is entitled to receive, upon request and free of charge, reasonable access to and copies of, all documents, records and other information relevant to the employee’s claim for benefits, and a statement of the employee’s right to bring suit under ERISA Section 502(a), in a manner calculated to be understood by the claimant.</w:t>
      </w:r>
    </w:p>
    <w:p>
      <w:pPr>
        <w:spacing w:after="0" w:line="98"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No action at law or in equity shall be brought to recover benefits under the Plan until the applicable appeal rights have been exercised and until the Plan benefits requested in such appeal have been denied in whole or in part. If any judicial proceeding is undertaken to appeal the denial of a claim or bring any other action under ERISA other than a breach of fiduciary duty claim, the evidence presented will be strictly limited to the evidence timely presented to the CEBC. In addition, any such judicial proceeding must be filed within 180 days after the CEBC’s final decision.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TERMS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Vesting</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Neither the use of service time in calculating severance nor any other provision of this Plan shall be construed as giving rise to or granting any vested right to receive severance benefits.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Merger/Acquisition</w:t>
      </w:r>
    </w:p>
    <w:p>
      <w:pPr>
        <w:spacing w:after="0" w:line="9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For purposes of this Plan, in no event shall a merger or acquisition of the Company by or with another company constitute a termination of employment or separation from service with the Company when employment continues with the Company, an affiliate thereof or the merged or acquiring company. Other types of sale transactions or reorganizations will be governed exclusively by the Eligibility and Change in Control provisions above.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Severance pay provided under this Plan is payable solely from the general assets of the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ERISA RIGHTS: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rights and terms are provided to all employees (“you,” below):</w:t>
      </w:r>
    </w:p>
    <w:p>
      <w:pPr>
        <w:spacing w:after="0" w:line="9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As a participant in the Plan, you are entitled to certain rights and protections under the Employee Retirement Income Security Act of 1974 (ERISA). ERISA provides that all Plan participants shall be entitled to the following:</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You can examine, without charge, at the Plan administrator’s office, all documents governing the Plan and a copy of the latest annual report (Form 5500 Series) filed by the Plan with the U.S. Department of Labor and available at the Employee Benefits Security Administration.</w:t>
      </w:r>
    </w:p>
    <w:p>
      <w:pPr>
        <w:spacing w:after="0" w:line="112" w:lineRule="exact"/>
        <w:rPr>
          <w:sz w:val="20"/>
          <w:szCs w:val="20"/>
          <w:color w:val="auto"/>
        </w:rPr>
      </w:pPr>
    </w:p>
    <w:p>
      <w:pPr>
        <w:spacing w:after="0"/>
        <w:tabs>
          <w:tab w:leader="none" w:pos="10740" w:val="left"/>
        </w:tabs>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October 3, 2011</w:t>
      </w:r>
      <w:r>
        <w:rPr>
          <w:sz w:val="20"/>
          <w:szCs w:val="20"/>
          <w:color w:val="auto"/>
        </w:rPr>
        <w:tab/>
      </w:r>
      <w:r>
        <w:rPr>
          <w:rFonts w:ascii="Arial" w:cs="Arial" w:eastAsia="Arial" w:hAnsi="Arial"/>
          <w:sz w:val="16"/>
          <w:szCs w:val="16"/>
          <w:b w:val="1"/>
          <w:bCs w:val="1"/>
          <w:color w:val="auto"/>
        </w:rPr>
        <w:t xml:space="preserve">PAGE: </w:t>
      </w:r>
      <w:r>
        <w:rPr>
          <w:rFonts w:ascii="Arial" w:cs="Arial" w:eastAsia="Arial" w:hAnsi="Arial"/>
          <w:sz w:val="16"/>
          <w:szCs w:val="16"/>
          <w:color w:val="auto"/>
        </w:rPr>
        <w:t>7</w:t>
      </w:r>
    </w:p>
    <w:p>
      <w:pPr>
        <w:sectPr>
          <w:pgSz w:w="11900" w:h="16838" w:orient="portrait"/>
          <w:cols w:equalWidth="0" w:num="1">
            <w:col w:w="11420"/>
          </w:cols>
          <w:pgMar w:left="240" w:top="280" w:right="239" w:bottom="1440" w:gutter="0" w:footer="0" w:header="0"/>
        </w:sectPr>
      </w:pPr>
    </w:p>
    <w:bookmarkStart w:id="173" w:name="page174"/>
    <w:bookmarkEnd w:id="173"/>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 can obtain, upon written request to the Plan administrator, copies of documents governing the operation of the Plan and copies of the latest annual report (Form 5500 Series). The administrator may make a reasonable charge for the copies.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Prudent Actions by Plan Fiduciaries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addition to creating rights for Plan participants, ERISA imposes duties upon the people who are responsible for the operation of the employee benefit plan. The people who operate your Plan, called “fiduciaries” of the Plan, have a duty to do so prudently and in the interest of you and other Plan participants and beneficiaries. No one, including your employer, may fire you or otherwise discriminate against you in any way to prevent you from obtaining a benefit or exercising your rights under ERISA.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 Your Rights</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If your claim for a benefit is denied or ignored, in whole or in part, you have a right to know why this was done, to obtain copies of documents relating to the decision without charge, and to appeal any denial, all within certain time schedules.</w:t>
      </w:r>
    </w:p>
    <w:p>
      <w:pPr>
        <w:spacing w:after="0" w:line="132" w:lineRule="exact"/>
        <w:rPr>
          <w:sz w:val="20"/>
          <w:szCs w:val="20"/>
          <w:color w:val="auto"/>
        </w:rPr>
      </w:pPr>
    </w:p>
    <w:p>
      <w:pPr>
        <w:jc w:val="both"/>
        <w:ind w:right="60"/>
        <w:spacing w:after="0" w:line="335" w:lineRule="auto"/>
        <w:rPr>
          <w:sz w:val="20"/>
          <w:szCs w:val="20"/>
          <w:color w:val="auto"/>
        </w:rPr>
      </w:pPr>
      <w:r>
        <w:rPr>
          <w:rFonts w:ascii="Arial" w:cs="Arial" w:eastAsia="Arial" w:hAnsi="Arial"/>
          <w:sz w:val="15"/>
          <w:szCs w:val="15"/>
          <w:color w:val="auto"/>
        </w:rPr>
        <w:t>Under ERISA, there are steps you can take to enforce the above rights. For instance, if you request a copy of Plan documents or the latest annual report from the Plan and do not receive it within 30 days, you may file suit in a federal court. In such a case, the court may require the Plan administrator to provide the materials and pay you up to $110 a day until you receive the materials, unless the materials were not sent because of reasons beyond the control of the administrator.</w:t>
      </w:r>
    </w:p>
    <w:p>
      <w:pPr>
        <w:spacing w:after="0" w:line="88"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If you have a claim for benefits that is denied or ignored, in whole or in part, you may file suit in a state or federal court. In addition, if you disagree with the Plan’s decision or lack thereof concerning the qualified status of a domestic relations order or a medical child support order, you may file suit in federal court.</w:t>
      </w:r>
    </w:p>
    <w:p>
      <w:pPr>
        <w:spacing w:after="0" w:line="85"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If it should happen that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if for example, it finds your claim is frivolous.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Assistance with Your Questions</w:t>
      </w:r>
    </w:p>
    <w:p>
      <w:pPr>
        <w:spacing w:after="0" w:line="9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If you have any questions about your Plan, you should contact the Senior Vice President, Human Resources. If you 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200 Constitution Avenue N.W., Washington, D.C. 20210. You may also obtain certain publications about your rights and responsibilities under ERISA by calling the publications hotline of the Employee Benefits Security Administration.</w:t>
      </w:r>
    </w:p>
    <w:p>
      <w:pPr>
        <w:spacing w:after="0" w:line="123" w:lineRule="exact"/>
        <w:rPr>
          <w:sz w:val="20"/>
          <w:szCs w:val="20"/>
          <w:color w:val="auto"/>
        </w:rPr>
      </w:pPr>
    </w:p>
    <w:p>
      <w:pPr>
        <w:spacing w:after="0"/>
        <w:tabs>
          <w:tab w:leader="none" w:pos="10740" w:val="left"/>
        </w:tabs>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October 3, 2011</w:t>
      </w:r>
      <w:r>
        <w:rPr>
          <w:sz w:val="20"/>
          <w:szCs w:val="20"/>
          <w:color w:val="auto"/>
        </w:rPr>
        <w:tab/>
      </w:r>
      <w:r>
        <w:rPr>
          <w:rFonts w:ascii="Arial" w:cs="Arial" w:eastAsia="Arial" w:hAnsi="Arial"/>
          <w:sz w:val="16"/>
          <w:szCs w:val="16"/>
          <w:b w:val="1"/>
          <w:bCs w:val="1"/>
          <w:color w:val="auto"/>
        </w:rPr>
        <w:t xml:space="preserve">PAGE: </w:t>
      </w:r>
      <w:r>
        <w:rPr>
          <w:rFonts w:ascii="Arial" w:cs="Arial" w:eastAsia="Arial" w:hAnsi="Arial"/>
          <w:sz w:val="16"/>
          <w:szCs w:val="16"/>
          <w:color w:val="auto"/>
        </w:rPr>
        <w:t>8</w:t>
      </w:r>
    </w:p>
    <w:p>
      <w:pPr>
        <w:sectPr>
          <w:pgSz w:w="11900" w:h="16838" w:orient="portrait"/>
          <w:cols w:equalWidth="0" w:num="1">
            <w:col w:w="11420"/>
          </w:cols>
          <w:pgMar w:left="240" w:top="280" w:right="2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INFORMATION</w:t>
      </w:r>
    </w:p>
    <w:p>
      <w:pPr>
        <w:spacing w:after="0" w:line="212"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b w:val="1"/>
          <w:bCs w:val="1"/>
          <w:color w:val="auto"/>
        </w:rPr>
        <w:t>Plan Sponsor and Plan Administrator:</w:t>
      </w:r>
      <w:r>
        <w:rPr>
          <w:sz w:val="20"/>
          <w:szCs w:val="20"/>
          <w:color w:val="auto"/>
        </w:rPr>
        <w:tab/>
      </w:r>
      <w:r>
        <w:rPr>
          <w:rFonts w:ascii="Arial" w:cs="Arial" w:eastAsia="Arial" w:hAnsi="Arial"/>
          <w:sz w:val="16"/>
          <w:szCs w:val="16"/>
          <w:color w:val="auto"/>
        </w:rPr>
        <w:t>Fortune Brands Home &amp; Security, Inc.</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520 Lake Cook Road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Deerfield, IL 60015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Severance pay provided under this Plan is payable solely from the general assets of the Company.</w:t>
      </w:r>
    </w:p>
    <w:p>
      <w:pPr>
        <w:sectPr>
          <w:pgSz w:w="11900" w:h="16838" w:orient="portrait"/>
          <w:cols w:equalWidth="0" w:num="1">
            <w:col w:w="11420"/>
          </w:cols>
          <w:pgMar w:left="240" w:top="274" w:right="23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Employer Identification Number: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62-1411546</w:t>
      </w:r>
    </w:p>
    <w:p>
      <w:pPr>
        <w:spacing w:after="0" w:line="145"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Plan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January 1 through December 31</w:t>
      </w:r>
    </w:p>
    <w:p>
      <w:pPr>
        <w:spacing w:after="0" w:line="145"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Agent for Service of Legal Process: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Fortune Brands Home &amp; Security,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520 Lake Cook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Deerfield, IL 60015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Secretary</w:t>
      </w:r>
    </w:p>
    <w:p>
      <w:pPr>
        <w:spacing w:after="0" w:line="145"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October 3, 2011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 xml:space="preserve">PAGE: </w:t>
      </w:r>
      <w:r>
        <w:rPr>
          <w:rFonts w:ascii="Arial" w:cs="Arial" w:eastAsia="Arial" w:hAnsi="Arial"/>
          <w:sz w:val="16"/>
          <w:szCs w:val="16"/>
          <w:color w:val="auto"/>
        </w:rPr>
        <w:t>9</w:t>
      </w:r>
    </w:p>
    <w:p>
      <w:pPr>
        <w:sectPr>
          <w:pgSz w:w="11900" w:h="16838" w:orient="portrait"/>
          <w:cols w:equalWidth="0" w:num="2">
            <w:col w:w="10040" w:space="720"/>
            <w:col w:w="660"/>
          </w:cols>
          <w:pgMar w:left="240" w:top="274" w:right="239" w:bottom="1440" w:gutter="0" w:footer="0" w:header="0"/>
          <w:type w:val="continuous"/>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10.16</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FORTUNE BRANDS HOME &amp; SECURITY,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DIRECTORS’ DEFERRED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October 3, 2011)</w:t>
      </w:r>
    </w:p>
    <w:p>
      <w:pPr>
        <w:spacing w:after="0" w:line="159" w:lineRule="exact"/>
        <w:rPr>
          <w:sz w:val="20"/>
          <w:szCs w:val="20"/>
          <w:color w:val="auto"/>
        </w:rPr>
      </w:pPr>
    </w:p>
    <w:p>
      <w:pPr>
        <w:ind w:right="260" w:firstLine="456"/>
        <w:spacing w:after="0" w:line="310" w:lineRule="auto"/>
        <w:rPr>
          <w:sz w:val="20"/>
          <w:szCs w:val="20"/>
          <w:color w:val="auto"/>
        </w:rPr>
      </w:pPr>
      <w:r>
        <w:rPr>
          <w:rFonts w:ascii="Arial" w:cs="Arial" w:eastAsia="Arial" w:hAnsi="Arial"/>
          <w:sz w:val="16"/>
          <w:szCs w:val="16"/>
          <w:color w:val="auto"/>
        </w:rPr>
        <w:t>Fortune Brands Home &amp; Security, Inc.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hereby establishes this Directors’ Deferred Compensation Plan (the “</w:t>
      </w:r>
      <w:r>
        <w:rPr>
          <w:rFonts w:ascii="Arial" w:cs="Arial" w:eastAsia="Arial" w:hAnsi="Arial"/>
          <w:sz w:val="16"/>
          <w:szCs w:val="16"/>
          <w:b w:val="1"/>
          <w:bCs w:val="1"/>
          <w:u w:val="single" w:color="auto"/>
          <w:color w:val="auto"/>
        </w:rPr>
        <w:t>Plan</w:t>
      </w:r>
      <w:r>
        <w:rPr>
          <w:rFonts w:ascii="Arial" w:cs="Arial" w:eastAsia="Arial" w:hAnsi="Arial"/>
          <w:sz w:val="16"/>
          <w:szCs w:val="16"/>
          <w:color w:val="auto"/>
        </w:rPr>
        <w:t>”) to assist the Company in attracting and retaining persons of competence and stature to serve as Directors by giving those Directors the option of deferring the receipt of the cash fees and shares of Company common stock payable to them by the Company for their services as Directors.</w:t>
      </w:r>
    </w:p>
    <w:p>
      <w:pPr>
        <w:spacing w:after="0" w:line="97" w:lineRule="exact"/>
        <w:rPr>
          <w:sz w:val="20"/>
          <w:szCs w:val="20"/>
          <w:color w:val="auto"/>
        </w:rPr>
      </w:pPr>
    </w:p>
    <w:p>
      <w:pPr>
        <w:ind w:left="640" w:hanging="176"/>
        <w:spacing w:after="0"/>
        <w:tabs>
          <w:tab w:leader="none" w:pos="64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The Plan is effective as of October 3, 2011.</w:t>
      </w:r>
    </w:p>
    <w:p>
      <w:pPr>
        <w:spacing w:after="0" w:line="171" w:lineRule="exact"/>
        <w:rPr>
          <w:rFonts w:ascii="Arial" w:cs="Arial" w:eastAsia="Arial" w:hAnsi="Arial"/>
          <w:sz w:val="18"/>
          <w:szCs w:val="18"/>
          <w:b w:val="1"/>
          <w:bCs w:val="1"/>
          <w:color w:val="auto"/>
        </w:rPr>
      </w:pPr>
    </w:p>
    <w:p>
      <w:pPr>
        <w:ind w:right="40" w:firstLine="464"/>
        <w:spacing w:after="0" w:line="296" w:lineRule="auto"/>
        <w:tabs>
          <w:tab w:leader="none" w:pos="632" w:val="left"/>
        </w:tabs>
        <w:numPr>
          <w:ilvl w:val="0"/>
          <w:numId w:val="18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Eligibility and Participation</w:t>
      </w:r>
      <w:r>
        <w:rPr>
          <w:rFonts w:ascii="Arial" w:cs="Arial" w:eastAsia="Arial" w:hAnsi="Arial"/>
          <w:sz w:val="16"/>
          <w:szCs w:val="16"/>
          <w:b w:val="1"/>
          <w:bCs w:val="1"/>
          <w:color w:val="auto"/>
        </w:rPr>
        <w:t xml:space="preserve">. </w:t>
      </w:r>
      <w:r>
        <w:rPr>
          <w:rFonts w:ascii="Arial" w:cs="Arial" w:eastAsia="Arial" w:hAnsi="Arial"/>
          <w:sz w:val="16"/>
          <w:szCs w:val="16"/>
          <w:color w:val="auto"/>
        </w:rPr>
        <w:t>Each Director of the Company who (a) is duly elected to the Company’s Board of Directors (the “</w:t>
      </w:r>
      <w:r>
        <w:rPr>
          <w:rFonts w:ascii="Arial" w:cs="Arial" w:eastAsia="Arial" w:hAnsi="Arial"/>
          <w:sz w:val="16"/>
          <w:szCs w:val="16"/>
          <w:b w:val="1"/>
          <w:bCs w:val="1"/>
          <w:u w:val="single" w:color="auto"/>
          <w:color w:val="auto"/>
        </w:rPr>
        <w:t>Board of Directors</w:t>
      </w:r>
      <w:r>
        <w:rPr>
          <w:rFonts w:ascii="Arial" w:cs="Arial" w:eastAsia="Arial" w:hAnsi="Arial"/>
          <w:sz w:val="16"/>
          <w:szCs w:val="16"/>
          <w:color w:val="auto"/>
        </w:rPr>
        <w:t>” or</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u w:val="single" w:color="auto"/>
          <w:color w:val="auto"/>
        </w:rPr>
        <w:t>Board</w:t>
      </w:r>
      <w:r>
        <w:rPr>
          <w:rFonts w:ascii="Arial" w:cs="Arial" w:eastAsia="Arial" w:hAnsi="Arial"/>
          <w:sz w:val="16"/>
          <w:szCs w:val="16"/>
          <w:color w:val="auto"/>
        </w:rPr>
        <w:t>”) and (b) is not an employee of the Company is an “</w:t>
      </w:r>
      <w:r>
        <w:rPr>
          <w:rFonts w:ascii="Arial" w:cs="Arial" w:eastAsia="Arial" w:hAnsi="Arial"/>
          <w:sz w:val="16"/>
          <w:szCs w:val="16"/>
          <w:b w:val="1"/>
          <w:bCs w:val="1"/>
          <w:u w:val="single" w:color="auto"/>
          <w:color w:val="auto"/>
        </w:rPr>
        <w:t>Eligible Director</w:t>
      </w:r>
      <w:r>
        <w:rPr>
          <w:rFonts w:ascii="Arial" w:cs="Arial" w:eastAsia="Arial" w:hAnsi="Arial"/>
          <w:sz w:val="16"/>
          <w:szCs w:val="16"/>
          <w:color w:val="auto"/>
        </w:rPr>
        <w:t>.” Each Eligible Director may elect to defer the receipt of any (i) fees, stipends, or other remuneration otherwise payable in cash (“</w:t>
      </w:r>
      <w:r>
        <w:rPr>
          <w:rFonts w:ascii="Arial" w:cs="Arial" w:eastAsia="Arial" w:hAnsi="Arial"/>
          <w:sz w:val="16"/>
          <w:szCs w:val="16"/>
          <w:b w:val="1"/>
          <w:bCs w:val="1"/>
          <w:u w:val="single" w:color="auto"/>
          <w:color w:val="auto"/>
        </w:rPr>
        <w:t>Director Cash Fees</w:t>
      </w:r>
      <w:r>
        <w:rPr>
          <w:rFonts w:ascii="Arial" w:cs="Arial" w:eastAsia="Arial" w:hAnsi="Arial"/>
          <w:sz w:val="16"/>
          <w:szCs w:val="16"/>
          <w:color w:val="auto"/>
        </w:rPr>
        <w:t>”) and (ii) shares of Company common stock granted annually (“</w:t>
      </w:r>
      <w:r>
        <w:rPr>
          <w:rFonts w:ascii="Arial" w:cs="Arial" w:eastAsia="Arial" w:hAnsi="Arial"/>
          <w:sz w:val="16"/>
          <w:szCs w:val="16"/>
          <w:b w:val="1"/>
          <w:bCs w:val="1"/>
          <w:u w:val="single" w:color="auto"/>
          <w:color w:val="auto"/>
        </w:rPr>
        <w:t>Director Shares</w:t>
      </w:r>
      <w:r>
        <w:rPr>
          <w:rFonts w:ascii="Arial" w:cs="Arial" w:eastAsia="Arial" w:hAnsi="Arial"/>
          <w:sz w:val="16"/>
          <w:szCs w:val="16"/>
          <w:color w:val="auto"/>
        </w:rPr>
        <w:t>”) to the Eligible Director by the Company for services as a Director in accordance with Section 4 below (together, Director Cash Fees and Director Shares shall be referred to as “</w:t>
      </w:r>
      <w:r>
        <w:rPr>
          <w:rFonts w:ascii="Arial" w:cs="Arial" w:eastAsia="Arial" w:hAnsi="Arial"/>
          <w:sz w:val="16"/>
          <w:szCs w:val="16"/>
          <w:b w:val="1"/>
          <w:bCs w:val="1"/>
          <w:u w:val="single" w:color="auto"/>
          <w:color w:val="auto"/>
        </w:rPr>
        <w:t>Directors’ Fees</w:t>
      </w:r>
      <w:r>
        <w:rPr>
          <w:rFonts w:ascii="Arial" w:cs="Arial" w:eastAsia="Arial" w:hAnsi="Arial"/>
          <w:sz w:val="16"/>
          <w:szCs w:val="16"/>
          <w:color w:val="auto"/>
        </w:rPr>
        <w:t>”). Each Eligible Director who elects to defer Directors’ Fees under the Plan is a “</w:t>
      </w:r>
      <w:r>
        <w:rPr>
          <w:rFonts w:ascii="Arial" w:cs="Arial" w:eastAsia="Arial" w:hAnsi="Arial"/>
          <w:sz w:val="16"/>
          <w:szCs w:val="16"/>
          <w:b w:val="1"/>
          <w:bCs w:val="1"/>
          <w:u w:val="single" w:color="auto"/>
          <w:color w:val="auto"/>
        </w:rPr>
        <w:t>Participant</w:t>
      </w:r>
      <w:r>
        <w:rPr>
          <w:rFonts w:ascii="Arial" w:cs="Arial" w:eastAsia="Arial" w:hAnsi="Arial"/>
          <w:sz w:val="16"/>
          <w:szCs w:val="16"/>
          <w:color w:val="auto"/>
        </w:rPr>
        <w:t>” in the Plan.</w:t>
      </w:r>
    </w:p>
    <w:p>
      <w:pPr>
        <w:spacing w:after="0" w:line="107" w:lineRule="exact"/>
        <w:rPr>
          <w:rFonts w:ascii="Arial" w:cs="Arial" w:eastAsia="Arial" w:hAnsi="Arial"/>
          <w:sz w:val="16"/>
          <w:szCs w:val="16"/>
          <w:b w:val="1"/>
          <w:bCs w:val="1"/>
          <w:color w:val="auto"/>
        </w:rPr>
      </w:pPr>
    </w:p>
    <w:p>
      <w:pPr>
        <w:ind w:firstLine="464"/>
        <w:spacing w:after="0" w:line="256" w:lineRule="auto"/>
        <w:tabs>
          <w:tab w:leader="none" w:pos="632"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appoints the Company’s Nominating and Corporate Governance Committee to act as the administrator of the Plan (referred</w:t>
      </w:r>
      <w:r>
        <w:rPr>
          <w:rFonts w:ascii="Arial" w:cs="Arial" w:eastAsia="Arial" w:hAnsi="Arial"/>
          <w:sz w:val="18"/>
          <w:szCs w:val="18"/>
          <w:b w:val="1"/>
          <w:bCs w:val="1"/>
          <w:color w:val="auto"/>
        </w:rPr>
        <w:t xml:space="preserve"> </w:t>
      </w:r>
      <w:r>
        <w:rPr>
          <w:rFonts w:ascii="Arial" w:cs="Arial" w:eastAsia="Arial" w:hAnsi="Arial"/>
          <w:sz w:val="18"/>
          <w:szCs w:val="18"/>
          <w:color w:val="auto"/>
        </w:rPr>
        <w:t>to herein as the “</w:t>
      </w:r>
      <w:r>
        <w:rPr>
          <w:rFonts w:ascii="Arial" w:cs="Arial" w:eastAsia="Arial" w:hAnsi="Arial"/>
          <w:sz w:val="18"/>
          <w:szCs w:val="18"/>
          <w:b w:val="1"/>
          <w:bCs w:val="1"/>
          <w:u w:val="single" w:color="auto"/>
          <w:color w:val="auto"/>
        </w:rPr>
        <w:t>Administrator</w:t>
      </w:r>
      <w:r>
        <w:rPr>
          <w:rFonts w:ascii="Arial" w:cs="Arial" w:eastAsia="Arial" w:hAnsi="Arial"/>
          <w:sz w:val="18"/>
          <w:szCs w:val="18"/>
          <w:color w:val="auto"/>
        </w:rPr>
        <w:t>”). The Administrator will serve at the pleasure of the Board of Directors and will administer, construe and interpret the Plan in its sole discretion. The Administrator will not be liable for any act done or determination made in good faith. The Board of Directors has the power to designate an additional or replacement Administrator at its discretion. The expense of administering the Plan shall be borne by the Company and shall not be charged against benefits payable hereunder.</w:t>
      </w:r>
    </w:p>
    <w:p>
      <w:pPr>
        <w:spacing w:after="0" w:line="138" w:lineRule="exact"/>
        <w:rPr>
          <w:rFonts w:ascii="Arial" w:cs="Arial" w:eastAsia="Arial" w:hAnsi="Arial"/>
          <w:sz w:val="18"/>
          <w:szCs w:val="18"/>
          <w:b w:val="1"/>
          <w:bCs w:val="1"/>
          <w:color w:val="auto"/>
        </w:rPr>
      </w:pPr>
    </w:p>
    <w:p>
      <w:pPr>
        <w:ind w:left="640" w:hanging="176"/>
        <w:spacing w:after="0"/>
        <w:tabs>
          <w:tab w:leader="none" w:pos="64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Deferrals</w:t>
      </w:r>
      <w:r>
        <w:rPr>
          <w:rFonts w:ascii="Arial" w:cs="Arial" w:eastAsia="Arial" w:hAnsi="Arial"/>
          <w:sz w:val="18"/>
          <w:szCs w:val="18"/>
          <w:color w:val="auto"/>
        </w:rPr>
        <w:t>.</w:t>
      </w:r>
    </w:p>
    <w:p>
      <w:pPr>
        <w:spacing w:after="0" w:line="90" w:lineRule="exact"/>
        <w:rPr>
          <w:rFonts w:ascii="Arial" w:cs="Arial" w:eastAsia="Arial" w:hAnsi="Arial"/>
          <w:sz w:val="18"/>
          <w:szCs w:val="18"/>
          <w:b w:val="1"/>
          <w:bCs w:val="1"/>
          <w:color w:val="auto"/>
        </w:rPr>
      </w:pPr>
    </w:p>
    <w:p>
      <w:pPr>
        <w:ind w:left="460" w:firstLine="443"/>
        <w:spacing w:after="0" w:line="291" w:lineRule="auto"/>
        <w:tabs>
          <w:tab w:leader="none" w:pos="1147" w:val="left"/>
        </w:tabs>
        <w:numPr>
          <w:ilvl w:val="1"/>
          <w:numId w:val="18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Deferral Election</w:t>
      </w:r>
      <w:r>
        <w:rPr>
          <w:rFonts w:ascii="Arial" w:cs="Arial" w:eastAsia="Arial" w:hAnsi="Arial"/>
          <w:sz w:val="16"/>
          <w:szCs w:val="16"/>
          <w:b w:val="1"/>
          <w:bCs w:val="1"/>
          <w:color w:val="auto"/>
        </w:rPr>
        <w:t xml:space="preserve">. </w:t>
      </w:r>
      <w:r>
        <w:rPr>
          <w:rFonts w:ascii="Arial" w:cs="Arial" w:eastAsia="Arial" w:hAnsi="Arial"/>
          <w:sz w:val="16"/>
          <w:szCs w:val="16"/>
          <w:color w:val="auto"/>
        </w:rPr>
        <w:t>An Eligible Director may file with the Administrator, on or before November 1 of each calendar year, an election in writing to</w:t>
      </w:r>
      <w:r>
        <w:rPr>
          <w:rFonts w:ascii="Arial" w:cs="Arial" w:eastAsia="Arial" w:hAnsi="Arial"/>
          <w:sz w:val="16"/>
          <w:szCs w:val="16"/>
          <w:b w:val="1"/>
          <w:bCs w:val="1"/>
          <w:color w:val="auto"/>
        </w:rPr>
        <w:t xml:space="preserve"> </w:t>
      </w:r>
      <w:r>
        <w:rPr>
          <w:rFonts w:ascii="Arial" w:cs="Arial" w:eastAsia="Arial" w:hAnsi="Arial"/>
          <w:sz w:val="16"/>
          <w:szCs w:val="16"/>
          <w:color w:val="auto"/>
        </w:rPr>
        <w:t>defer all or a portion of the Directors’ Fees to be earned by the Eligible Director in the following calendar year (a “</w:t>
      </w:r>
      <w:r>
        <w:rPr>
          <w:rFonts w:ascii="Arial" w:cs="Arial" w:eastAsia="Arial" w:hAnsi="Arial"/>
          <w:sz w:val="16"/>
          <w:szCs w:val="16"/>
          <w:b w:val="1"/>
          <w:bCs w:val="1"/>
          <w:u w:val="single" w:color="auto"/>
          <w:color w:val="auto"/>
        </w:rPr>
        <w:t>Deferral Election</w:t>
      </w:r>
      <w:r>
        <w:rPr>
          <w:rFonts w:ascii="Arial" w:cs="Arial" w:eastAsia="Arial" w:hAnsi="Arial"/>
          <w:sz w:val="16"/>
          <w:szCs w:val="16"/>
          <w:color w:val="auto"/>
        </w:rPr>
        <w:t>”). In the year in which a Director first becomes eligible to participate in the Plan, the Director may make a Deferral Election with respect to services to be performed subsequent to the date of the Deferral Election if the Director files such election with the Administrator no later than thirty (30) days after the date on which the Director becomes eligible to participate in the Plan. When a Deferral Election is filed, an amount equal to all or a portion (as designated in the Deferral Election) of the Directors’ Fees earned by the Participant for the following calendar year (or the remainder of the calendar year, in the case of new directors) will be credited to a deferral account maintained on behalf of that Participant (the “</w:t>
      </w:r>
      <w:r>
        <w:rPr>
          <w:rFonts w:ascii="Arial" w:cs="Arial" w:eastAsia="Arial" w:hAnsi="Arial"/>
          <w:sz w:val="16"/>
          <w:szCs w:val="16"/>
          <w:b w:val="1"/>
          <w:bCs w:val="1"/>
          <w:u w:val="single" w:color="auto"/>
          <w:color w:val="auto"/>
        </w:rPr>
        <w:t>Deferral Account</w:t>
      </w:r>
      <w:r>
        <w:rPr>
          <w:rFonts w:ascii="Arial" w:cs="Arial" w:eastAsia="Arial" w:hAnsi="Arial"/>
          <w:sz w:val="16"/>
          <w:szCs w:val="16"/>
          <w:color w:val="auto"/>
        </w:rPr>
        <w:t>”).</w:t>
      </w:r>
    </w:p>
    <w:p>
      <w:pPr>
        <w:spacing w:after="0" w:line="32" w:lineRule="exact"/>
        <w:rPr>
          <w:rFonts w:ascii="Arial" w:cs="Arial" w:eastAsia="Arial" w:hAnsi="Arial"/>
          <w:sz w:val="16"/>
          <w:szCs w:val="16"/>
          <w:b w:val="1"/>
          <w:bCs w:val="1"/>
          <w:color w:val="auto"/>
        </w:rPr>
      </w:pPr>
    </w:p>
    <w:p>
      <w:pPr>
        <w:ind w:left="460" w:right="220" w:firstLine="443"/>
        <w:spacing w:after="0" w:line="275" w:lineRule="auto"/>
        <w:tabs>
          <w:tab w:leader="none" w:pos="1156" w:val="left"/>
        </w:tabs>
        <w:numPr>
          <w:ilvl w:val="1"/>
          <w:numId w:val="1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Minimum Deferral</w:t>
      </w:r>
      <w:r>
        <w:rPr>
          <w:rFonts w:ascii="Arial" w:cs="Arial" w:eastAsia="Arial" w:hAnsi="Arial"/>
          <w:sz w:val="18"/>
          <w:szCs w:val="18"/>
          <w:color w:val="auto"/>
        </w:rPr>
        <w:t>. If a Participant makes a Deferral Election, the amount of such election may not be less than $1,000 of Director Cash Fees</w:t>
      </w:r>
      <w:r>
        <w:rPr>
          <w:rFonts w:ascii="Arial" w:cs="Arial" w:eastAsia="Arial" w:hAnsi="Arial"/>
          <w:sz w:val="18"/>
          <w:szCs w:val="18"/>
          <w:b w:val="1"/>
          <w:bCs w:val="1"/>
          <w:color w:val="auto"/>
        </w:rPr>
        <w:t xml:space="preserve"> </w:t>
      </w:r>
      <w:r>
        <w:rPr>
          <w:rFonts w:ascii="Arial" w:cs="Arial" w:eastAsia="Arial" w:hAnsi="Arial"/>
          <w:sz w:val="18"/>
          <w:szCs w:val="18"/>
          <w:color w:val="auto"/>
        </w:rPr>
        <w:t>per calendar quarter.</w:t>
      </w:r>
    </w:p>
    <w:p>
      <w:pPr>
        <w:sectPr>
          <w:pgSz w:w="11900" w:h="16838" w:orient="portrait"/>
          <w:cols w:equalWidth="0" w:num="1">
            <w:col w:w="11420"/>
          </w:cols>
          <w:pgMar w:left="240" w:top="125" w:right="239" w:bottom="1440" w:gutter="0" w:footer="0" w:header="0"/>
        </w:sectPr>
      </w:pPr>
    </w:p>
    <w:bookmarkStart w:id="176" w:name="page177"/>
    <w:bookmarkEnd w:id="176"/>
    <w:p>
      <w:pPr>
        <w:ind w:firstLine="443"/>
        <w:spacing w:after="0" w:line="255" w:lineRule="auto"/>
        <w:tabs>
          <w:tab w:leader="none" w:pos="677"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Accounting</w:t>
      </w:r>
      <w:r>
        <w:rPr>
          <w:rFonts w:ascii="Arial" w:cs="Arial" w:eastAsia="Arial" w:hAnsi="Arial"/>
          <w:sz w:val="18"/>
          <w:szCs w:val="18"/>
          <w:color w:val="auto"/>
        </w:rPr>
        <w:t>. A Deferral Account consisting of a subaccount for Director Cash Fees and a subaccount for Director Shares (as applicable)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maintained by the Company and will list and reflect each Participant’s credits and valuations. The Company will credit an amount equivalent to the Director Cash Fees and the number of share equivalents representing the number of Director Shares, as designated in the Deferral Election, that would have been paid or issued to the Participant if the Participant had not elected to defer such Directors’ Fees under the Plan to each Participant’s subaccount for Director Cash Fees and subaccount for Director Shares, as applicable. The credit will be made on the date on which the Directors’ Fees would have been paid or issued absent a Deferral Election.</w:t>
      </w:r>
    </w:p>
    <w:p>
      <w:pPr>
        <w:spacing w:after="0" w:line="64" w:lineRule="exact"/>
        <w:rPr>
          <w:sz w:val="20"/>
          <w:szCs w:val="20"/>
          <w:color w:val="auto"/>
        </w:rPr>
      </w:pPr>
    </w:p>
    <w:p>
      <w:pPr>
        <w:ind w:right="180" w:firstLine="438"/>
        <w:spacing w:after="0" w:line="268" w:lineRule="auto"/>
        <w:rPr>
          <w:sz w:val="20"/>
          <w:szCs w:val="20"/>
          <w:color w:val="auto"/>
        </w:rPr>
      </w:pPr>
      <w:r>
        <w:rPr>
          <w:rFonts w:ascii="Arial" w:cs="Arial" w:eastAsia="Arial" w:hAnsi="Arial"/>
          <w:sz w:val="18"/>
          <w:szCs w:val="18"/>
          <w:color w:val="auto"/>
        </w:rPr>
        <w:t>The Plan is unfunded and no funds will be segregated into the Deferral Account of Participants. The Administrator will provide each Participant an annual statement of the balance in that Participant’s Deferral Account.</w:t>
      </w:r>
    </w:p>
    <w:p>
      <w:pPr>
        <w:spacing w:after="0" w:line="45" w:lineRule="exact"/>
        <w:rPr>
          <w:sz w:val="20"/>
          <w:szCs w:val="20"/>
          <w:color w:val="auto"/>
        </w:rPr>
      </w:pPr>
    </w:p>
    <w:p>
      <w:pPr>
        <w:ind w:left="700" w:hanging="257"/>
        <w:spacing w:after="0"/>
        <w:tabs>
          <w:tab w:leader="none" w:pos="700" w:val="left"/>
        </w:tabs>
        <w:numPr>
          <w:ilvl w:val="1"/>
          <w:numId w:val="1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Valuation</w:t>
      </w:r>
      <w:r>
        <w:rPr>
          <w:rFonts w:ascii="Arial" w:cs="Arial" w:eastAsia="Arial" w:hAnsi="Arial"/>
          <w:sz w:val="18"/>
          <w:szCs w:val="18"/>
          <w:b w:val="1"/>
          <w:bCs w:val="1"/>
          <w:color w:val="auto"/>
        </w:rPr>
        <w:t>.</w:t>
      </w:r>
    </w:p>
    <w:p>
      <w:pPr>
        <w:spacing w:after="0" w:line="90" w:lineRule="exact"/>
        <w:rPr>
          <w:rFonts w:ascii="Arial" w:cs="Arial" w:eastAsia="Arial" w:hAnsi="Arial"/>
          <w:sz w:val="18"/>
          <w:szCs w:val="18"/>
          <w:b w:val="1"/>
          <w:bCs w:val="1"/>
          <w:color w:val="auto"/>
        </w:rPr>
      </w:pPr>
    </w:p>
    <w:p>
      <w:pPr>
        <w:ind w:left="460" w:right="40" w:firstLine="421"/>
        <w:spacing w:after="0" w:line="296" w:lineRule="auto"/>
        <w:tabs>
          <w:tab w:leader="none" w:pos="1089" w:val="left"/>
        </w:tabs>
        <w:numPr>
          <w:ilvl w:val="2"/>
          <w:numId w:val="183"/>
        </w:numPr>
        <w:rPr>
          <w:rFonts w:ascii="Arial" w:cs="Arial" w:eastAsia="Arial" w:hAnsi="Arial"/>
          <w:sz w:val="16"/>
          <w:szCs w:val="16"/>
          <w:color w:val="auto"/>
        </w:rPr>
      </w:pPr>
      <w:r>
        <w:rPr>
          <w:rFonts w:ascii="Arial" w:cs="Arial" w:eastAsia="Arial" w:hAnsi="Arial"/>
          <w:sz w:val="16"/>
          <w:szCs w:val="16"/>
          <w:b w:val="1"/>
          <w:bCs w:val="1"/>
          <w:u w:val="single" w:color="auto"/>
          <w:color w:val="auto"/>
        </w:rPr>
        <w:t>Director Cash Fees</w:t>
      </w:r>
      <w:r>
        <w:rPr>
          <w:rFonts w:ascii="Arial" w:cs="Arial" w:eastAsia="Arial" w:hAnsi="Arial"/>
          <w:sz w:val="16"/>
          <w:szCs w:val="16"/>
          <w:color w:val="auto"/>
        </w:rPr>
        <w:t>. At the end of each calendar quarter, each Participant’s subaccount for Director Cash Fees will be credited with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on the value of his or her subaccount for Director Cash Fees at the beginning of the quarter. The interest rate applicable for a calendar quarter will be the average rate of the final auction of the prior quarter for the sale of 13-week U.S. Government bills, rounded up to the nearest five-hundredths of one percent (.05%). If such rate is no longer available, a substantially similar one selected by the Administrator shall be used. Interest will be calculated on the basis of actual days over a 360</w:t>
      </w:r>
      <w:r>
        <w:rPr>
          <w:rFonts w:ascii="Arial" w:cs="Arial" w:eastAsia="Arial" w:hAnsi="Arial"/>
          <w:sz w:val="16"/>
          <w:szCs w:val="16"/>
          <w:b w:val="1"/>
          <w:bCs w:val="1"/>
          <w:color w:val="auto"/>
        </w:rPr>
        <w:t>-</w:t>
      </w:r>
      <w:r>
        <w:rPr>
          <w:rFonts w:ascii="Arial" w:cs="Arial" w:eastAsia="Arial" w:hAnsi="Arial"/>
          <w:sz w:val="16"/>
          <w:szCs w:val="16"/>
          <w:color w:val="auto"/>
        </w:rPr>
        <w:t>day year.</w:t>
      </w:r>
    </w:p>
    <w:p>
      <w:pPr>
        <w:spacing w:after="0" w:line="26" w:lineRule="exact"/>
        <w:rPr>
          <w:rFonts w:ascii="Arial" w:cs="Arial" w:eastAsia="Arial" w:hAnsi="Arial"/>
          <w:sz w:val="16"/>
          <w:szCs w:val="16"/>
          <w:color w:val="auto"/>
        </w:rPr>
      </w:pPr>
    </w:p>
    <w:p>
      <w:pPr>
        <w:ind w:left="460" w:right="20" w:firstLine="421"/>
        <w:spacing w:after="0" w:line="293" w:lineRule="auto"/>
        <w:tabs>
          <w:tab w:leader="none" w:pos="1138" w:val="left"/>
        </w:tabs>
        <w:numPr>
          <w:ilvl w:val="2"/>
          <w:numId w:val="183"/>
        </w:numPr>
        <w:rPr>
          <w:rFonts w:ascii="Arial" w:cs="Arial" w:eastAsia="Arial" w:hAnsi="Arial"/>
          <w:sz w:val="16"/>
          <w:szCs w:val="16"/>
          <w:color w:val="auto"/>
        </w:rPr>
      </w:pPr>
      <w:r>
        <w:rPr>
          <w:rFonts w:ascii="Arial" w:cs="Arial" w:eastAsia="Arial" w:hAnsi="Arial"/>
          <w:sz w:val="16"/>
          <w:szCs w:val="16"/>
          <w:b w:val="1"/>
          <w:bCs w:val="1"/>
          <w:u w:val="single" w:color="auto"/>
          <w:color w:val="auto"/>
        </w:rPr>
        <w:t>Dividends on Deferred Director Shares</w:t>
      </w:r>
      <w:r>
        <w:rPr>
          <w:rFonts w:ascii="Arial" w:cs="Arial" w:eastAsia="Arial" w:hAnsi="Arial"/>
          <w:sz w:val="16"/>
          <w:szCs w:val="16"/>
          <w:color w:val="auto"/>
        </w:rPr>
        <w:t>. On each dividend payment date, an amount equal to the dividend, if any, payable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a share of Company common stock multiplied by the number of share equivalents credited to the Participant’s subaccount for Director Shares will be credited to the Participant’s subaccount for Director Shares (“</w:t>
      </w:r>
      <w:r>
        <w:rPr>
          <w:rFonts w:ascii="Arial" w:cs="Arial" w:eastAsia="Arial" w:hAnsi="Arial"/>
          <w:sz w:val="16"/>
          <w:szCs w:val="16"/>
          <w:b w:val="1"/>
          <w:bCs w:val="1"/>
          <w:u w:val="single" w:color="auto"/>
          <w:color w:val="auto"/>
        </w:rPr>
        <w:t>Dividend Equivalents</w:t>
      </w:r>
      <w:r>
        <w:rPr>
          <w:rFonts w:ascii="Arial" w:cs="Arial" w:eastAsia="Arial" w:hAnsi="Arial"/>
          <w:sz w:val="16"/>
          <w:szCs w:val="16"/>
          <w:color w:val="auto"/>
        </w:rPr>
        <w:t>”). Such Dividend Equivalents will be credited in cash to the extent such dividends would have been paid in cash or in additional share equivalents to the extent such dividends would have been paid in shares of Company common stock. Dividend Equivalents credited in cash shall be credited with interest at the same time and in the same manner as Director Cash Fees credited to a Participant’s subaccount for Director Cash Fees as described in Section 4(d)(i).</w:t>
      </w:r>
    </w:p>
    <w:p>
      <w:pPr>
        <w:spacing w:after="0" w:line="110" w:lineRule="exact"/>
        <w:rPr>
          <w:rFonts w:ascii="Arial" w:cs="Arial" w:eastAsia="Arial" w:hAnsi="Arial"/>
          <w:sz w:val="16"/>
          <w:szCs w:val="16"/>
          <w:color w:val="auto"/>
        </w:rPr>
      </w:pPr>
    </w:p>
    <w:p>
      <w:pPr>
        <w:ind w:left="180" w:hanging="176"/>
        <w:spacing w:after="0"/>
        <w:tabs>
          <w:tab w:leader="none" w:pos="18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Distribution</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right="20" w:firstLine="443"/>
        <w:spacing w:after="0" w:line="294" w:lineRule="auto"/>
        <w:tabs>
          <w:tab w:leader="none" w:pos="687" w:val="left"/>
        </w:tabs>
        <w:numPr>
          <w:ilvl w:val="1"/>
          <w:numId w:val="184"/>
        </w:numPr>
        <w:rPr>
          <w:rFonts w:ascii="Arial" w:cs="Arial" w:eastAsia="Arial" w:hAnsi="Arial"/>
          <w:sz w:val="16"/>
          <w:szCs w:val="16"/>
          <w:b w:val="1"/>
          <w:bCs w:val="1"/>
          <w:color w:val="auto"/>
        </w:rPr>
      </w:pPr>
      <w:r>
        <w:rPr>
          <w:rFonts w:ascii="Arial" w:cs="Arial" w:eastAsia="Arial" w:hAnsi="Arial"/>
          <w:sz w:val="16"/>
          <w:szCs w:val="16"/>
          <w:color w:val="auto"/>
        </w:rPr>
        <w:t>Except as provided below, distribution of a Participant’s Deferral Account will be made as soon as practicable in the January following the calendar year in which the Participant’s “Separation from Service” (as defined in Treas. Reg. §1.409A-1(h) and in accordance with Treas. Reg. §1.409A-1(i)(2)) from the Company occurs in (i) whole shares of common stock of the Company with respect to the number of whole share equivalents credited to the Participant’s subaccount for Director Shares and (ii) a single lump sum cash payment equal to the sum of the balance of the Participant’s subaccount for Director Cash Fees and any cash Dividend Equivalents (and interest thereon) credited</w:t>
      </w:r>
    </w:p>
    <w:p>
      <w:pPr>
        <w:sectPr>
          <w:pgSz w:w="11900" w:h="16838" w:orient="portrait"/>
          <w:cols w:equalWidth="0" w:num="1">
            <w:col w:w="10960"/>
          </w:cols>
          <w:pgMar w:left="700" w:top="274" w:right="239" w:bottom="1440" w:gutter="0" w:footer="0" w:header="0"/>
        </w:sectPr>
      </w:pPr>
    </w:p>
    <w:bookmarkStart w:id="177" w:name="page178"/>
    <w:bookmarkEnd w:id="177"/>
    <w:p>
      <w:pPr>
        <w:ind w:left="460" w:right="2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Participant’s subaccount for Director Shares. For this purpose, “</w:t>
      </w:r>
      <w:r>
        <w:rPr>
          <w:rFonts w:ascii="Arial" w:cs="Arial" w:eastAsia="Arial" w:hAnsi="Arial"/>
          <w:sz w:val="18"/>
          <w:szCs w:val="18"/>
          <w:b w:val="1"/>
          <w:bCs w:val="1"/>
          <w:u w:val="single" w:color="auto"/>
          <w:color w:val="auto"/>
        </w:rPr>
        <w:t>Separation from Service</w:t>
      </w:r>
      <w:r>
        <w:rPr>
          <w:rFonts w:ascii="Arial" w:cs="Arial" w:eastAsia="Arial" w:hAnsi="Arial"/>
          <w:sz w:val="18"/>
          <w:szCs w:val="18"/>
          <w:color w:val="auto"/>
        </w:rPr>
        <w:t>” shall mean the cessation of services to the Company or its subsidiaries in the capacity of (i) an employee, (ii) a non-employee member of the Board, and (iii) a consultant or other independent advisor to the Company or its subsidiaries.</w:t>
      </w:r>
    </w:p>
    <w:p>
      <w:pPr>
        <w:spacing w:after="0" w:line="57" w:lineRule="exact"/>
        <w:rPr>
          <w:sz w:val="20"/>
          <w:szCs w:val="20"/>
          <w:color w:val="auto"/>
        </w:rPr>
      </w:pPr>
    </w:p>
    <w:p>
      <w:pPr>
        <w:ind w:left="460" w:right="20" w:firstLine="443"/>
        <w:spacing w:after="0" w:line="290" w:lineRule="auto"/>
        <w:tabs>
          <w:tab w:leader="none" w:pos="1156" w:val="left"/>
        </w:tabs>
        <w:numPr>
          <w:ilvl w:val="1"/>
          <w:numId w:val="185"/>
        </w:numPr>
        <w:rPr>
          <w:rFonts w:ascii="Arial" w:cs="Arial" w:eastAsia="Arial" w:hAnsi="Arial"/>
          <w:sz w:val="16"/>
          <w:szCs w:val="16"/>
          <w:b w:val="1"/>
          <w:bCs w:val="1"/>
          <w:color w:val="auto"/>
        </w:rPr>
      </w:pPr>
      <w:r>
        <w:rPr>
          <w:rFonts w:ascii="Arial" w:cs="Arial" w:eastAsia="Arial" w:hAnsi="Arial"/>
          <w:sz w:val="16"/>
          <w:szCs w:val="16"/>
          <w:color w:val="auto"/>
        </w:rPr>
        <w:t>Notwithstanding paragraph (a) above, if the Participant is a Specified Employee as of the date of his or her Separation from Service, distribution of the Participant’s Deferral Account will not be made before the date that is six (6) months after the Participant’s Separation from Service or, if earlier, the date of the Participant’s death. During the six-month delay period, a Participant’s Deferral Account will continue to be credited with interest and Dividend Equivalents in accordance with Section 4 above. For purposes of this paragraph, “Specified Employee” has the meaning given that term in Section 409A of the Internal Revenue Code of 1986, as amended (the “</w:t>
      </w:r>
      <w:r>
        <w:rPr>
          <w:rFonts w:ascii="Arial" w:cs="Arial" w:eastAsia="Arial" w:hAnsi="Arial"/>
          <w:sz w:val="16"/>
          <w:szCs w:val="16"/>
          <w:b w:val="1"/>
          <w:bCs w:val="1"/>
          <w:u w:val="single" w:color="auto"/>
          <w:color w:val="auto"/>
        </w:rPr>
        <w:t>Code</w:t>
      </w:r>
      <w:r>
        <w:rPr>
          <w:rFonts w:ascii="Arial" w:cs="Arial" w:eastAsia="Arial" w:hAnsi="Arial"/>
          <w:sz w:val="16"/>
          <w:szCs w:val="16"/>
          <w:color w:val="auto"/>
        </w:rPr>
        <w:t>”) and Treas. Reg. 1.409A-1(c)(i) (or any similar or successor provisions). The Company’s “specified employee identification date” (as described in Treas. Reg. 1.409A-1(c)(i)(3)) will be December 31 of each year, and the Company’s “specified employee effective date” (as described in Treas. Reg. 1.409A-1(c)(i)(4) or any similar or successor provisions) will be April 1 of each succeeding year.</w:t>
      </w:r>
    </w:p>
    <w:p>
      <w:pPr>
        <w:spacing w:after="0" w:line="112" w:lineRule="exact"/>
        <w:rPr>
          <w:rFonts w:ascii="Arial" w:cs="Arial" w:eastAsia="Arial" w:hAnsi="Arial"/>
          <w:sz w:val="16"/>
          <w:szCs w:val="16"/>
          <w:b w:val="1"/>
          <w:bCs w:val="1"/>
          <w:color w:val="auto"/>
        </w:rPr>
      </w:pPr>
    </w:p>
    <w:p>
      <w:pPr>
        <w:ind w:firstLine="464"/>
        <w:spacing w:after="0" w:line="291" w:lineRule="auto"/>
        <w:tabs>
          <w:tab w:leader="none" w:pos="632" w:val="left"/>
        </w:tabs>
        <w:numPr>
          <w:ilvl w:val="0"/>
          <w:numId w:val="18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Separation from Service due to Death</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 Participant’s Separation from Service by reason of death, the Administrator will, as soon as</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reasonably practicable following Separation from Service but in no event later than 90 days after the Participant’s death, distribute amounts credited to the Deferral Account to the beneficiary or beneficiaries of the Participant. Each Participant has the right to designate one or more beneficiaries to receive distributions in the event of a Participant’s death by filing with the Administrator a Beneficiary Designation Form at the time and in the manner specified by the Administrator. The designated beneficiary or beneficiaries may be changed by a Participant at any time prior to that Participant’s death by the delivery to the Administrator of a new Beneficiary Designation Form. If no beneficiary has been designated, or if no designated beneficiary survives the Participant, distributions pursuant to this provision will be made to the Participant’s estate.</w:t>
      </w:r>
    </w:p>
    <w:p>
      <w:pPr>
        <w:spacing w:after="0" w:line="113" w:lineRule="exact"/>
        <w:rPr>
          <w:rFonts w:ascii="Arial" w:cs="Arial" w:eastAsia="Arial" w:hAnsi="Arial"/>
          <w:sz w:val="16"/>
          <w:szCs w:val="16"/>
          <w:b w:val="1"/>
          <w:bCs w:val="1"/>
          <w:color w:val="auto"/>
        </w:rPr>
      </w:pPr>
    </w:p>
    <w:p>
      <w:pPr>
        <w:ind w:right="60" w:firstLine="464"/>
        <w:spacing w:after="0" w:line="287" w:lineRule="auto"/>
        <w:tabs>
          <w:tab w:leader="none" w:pos="632" w:val="left"/>
        </w:tabs>
        <w:numPr>
          <w:ilvl w:val="0"/>
          <w:numId w:val="18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Effect of Change of Control</w:t>
      </w:r>
      <w:r>
        <w:rPr>
          <w:rFonts w:ascii="Arial" w:cs="Arial" w:eastAsia="Arial" w:hAnsi="Arial"/>
          <w:sz w:val="16"/>
          <w:szCs w:val="16"/>
          <w:color w:val="auto"/>
        </w:rPr>
        <w:t>. In the event of a Change of Control of the Company, the entire unpaid balance of each Participant’s Deferred Account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paid in a lump sum cash payment and whole shares of Company common stock (as applicable) to the Participant as of the effective date of the Change of Control. Change of Control shall mean the first to occur of any of the following events, but only to the extent that such event is described in Code</w:t>
      </w:r>
    </w:p>
    <w:p>
      <w:pPr>
        <w:spacing w:after="0"/>
        <w:rPr>
          <w:rFonts w:ascii="Arial" w:cs="Arial" w:eastAsia="Arial" w:hAnsi="Arial"/>
          <w:sz w:val="16"/>
          <w:szCs w:val="16"/>
          <w:b w:val="1"/>
          <w:bCs w:val="1"/>
          <w:color w:val="auto"/>
        </w:rPr>
      </w:pPr>
      <w:r>
        <w:rPr>
          <w:rFonts w:ascii="Arial" w:cs="Arial" w:eastAsia="Arial" w:hAnsi="Arial"/>
          <w:sz w:val="18"/>
          <w:szCs w:val="18"/>
          <w:color w:val="auto"/>
        </w:rPr>
        <w:t>Section 409A(a)(2)(A)(v):</w:t>
      </w:r>
    </w:p>
    <w:p>
      <w:pPr>
        <w:spacing w:after="0" w:line="83" w:lineRule="exact"/>
        <w:rPr>
          <w:rFonts w:ascii="Arial" w:cs="Arial" w:eastAsia="Arial" w:hAnsi="Arial"/>
          <w:sz w:val="16"/>
          <w:szCs w:val="16"/>
          <w:b w:val="1"/>
          <w:bCs w:val="1"/>
          <w:color w:val="auto"/>
        </w:rPr>
      </w:pPr>
    </w:p>
    <w:p>
      <w:pPr>
        <w:jc w:val="both"/>
        <w:ind w:left="460" w:right="140" w:firstLine="443"/>
        <w:spacing w:after="0" w:line="255" w:lineRule="auto"/>
        <w:tabs>
          <w:tab w:leader="none" w:pos="1147" w:val="left"/>
        </w:tabs>
        <w:numPr>
          <w:ilvl w:val="1"/>
          <w:numId w:val="186"/>
        </w:numPr>
        <w:rPr>
          <w:rFonts w:ascii="Arial" w:cs="Arial" w:eastAsia="Arial" w:hAnsi="Arial"/>
          <w:sz w:val="18"/>
          <w:szCs w:val="18"/>
          <w:b w:val="1"/>
          <w:bCs w:val="1"/>
          <w:color w:val="auto"/>
        </w:rPr>
      </w:pPr>
      <w:r>
        <w:rPr>
          <w:rFonts w:ascii="Arial" w:cs="Arial" w:eastAsia="Arial" w:hAnsi="Arial"/>
          <w:sz w:val="18"/>
          <w:szCs w:val="18"/>
          <w:color w:val="auto"/>
        </w:rPr>
        <w:t>any one person, or more than one person acting as a group (including owners of a corporation that enters into a merger, consolidation, purchase, or acquisition of stock, or similar business transaction with the Company, but not including persons solely because they purchase stock of the Company at the same time or as a result of the same public offering), acquires (or has acquired within the 12-month period ending on the date of the most recent acquisition by such person) securities of the Company representing 30% or more of the combined voting power of the Company’s then outstanding securities; or</w:t>
      </w:r>
    </w:p>
    <w:p>
      <w:pPr>
        <w:sectPr>
          <w:pgSz w:w="11900" w:h="16838" w:orient="portrait"/>
          <w:cols w:equalWidth="0" w:num="1">
            <w:col w:w="11420"/>
          </w:cols>
          <w:pgMar w:left="240" w:top="274" w:right="239" w:bottom="1440" w:gutter="0" w:footer="0" w:header="0"/>
        </w:sectPr>
      </w:pPr>
    </w:p>
    <w:bookmarkStart w:id="178" w:name="page179"/>
    <w:bookmarkEnd w:id="178"/>
    <w:p>
      <w:pPr>
        <w:ind w:left="-4" w:right="40" w:firstLine="443"/>
        <w:spacing w:after="0" w:line="259" w:lineRule="auto"/>
        <w:tabs>
          <w:tab w:leader="none" w:pos="692" w:val="left"/>
        </w:tabs>
        <w:numPr>
          <w:ilvl w:val="1"/>
          <w:numId w:val="18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any period of twelve months (not including any period prior to the execution of this Plan), a majority of members of the Board are replaced by Directors (whose appointment or election is not endorsed by at least a majority of the members of the Board before the date of the appointment or election); or</w:t>
      </w:r>
    </w:p>
    <w:p>
      <w:pPr>
        <w:spacing w:after="0" w:line="59" w:lineRule="exact"/>
        <w:rPr>
          <w:rFonts w:ascii="Arial" w:cs="Arial" w:eastAsia="Arial" w:hAnsi="Arial"/>
          <w:sz w:val="18"/>
          <w:szCs w:val="18"/>
          <w:b w:val="1"/>
          <w:bCs w:val="1"/>
          <w:color w:val="auto"/>
        </w:rPr>
      </w:pPr>
    </w:p>
    <w:p>
      <w:pPr>
        <w:ind w:left="-4" w:right="60" w:firstLine="443"/>
        <w:spacing w:after="0" w:line="294" w:lineRule="auto"/>
        <w:tabs>
          <w:tab w:leader="none" w:pos="672" w:val="left"/>
        </w:tabs>
        <w:numPr>
          <w:ilvl w:val="1"/>
          <w:numId w:val="187"/>
        </w:numPr>
        <w:rPr>
          <w:rFonts w:ascii="Arial" w:cs="Arial" w:eastAsia="Arial" w:hAnsi="Arial"/>
          <w:sz w:val="16"/>
          <w:szCs w:val="16"/>
          <w:b w:val="1"/>
          <w:bCs w:val="1"/>
          <w:color w:val="auto"/>
        </w:rPr>
      </w:pPr>
      <w:r>
        <w:rPr>
          <w:rFonts w:ascii="Arial" w:cs="Arial" w:eastAsia="Arial" w:hAnsi="Arial"/>
          <w:sz w:val="16"/>
          <w:szCs w:val="16"/>
          <w:color w:val="auto"/>
        </w:rPr>
        <w:t>any person, or more than one person acting as a group (including owners of a corporation that enters into a merger, consolidation, purchase, or acquisition of stock, or similar business transaction with the Company, but not including persons solely because they purchase stock of the Company at the same time or as a result of the same public offering), acquires ownership of stock of the Company that, together with stock held by such person or group, constitutes more than 50% of the combined voting power of the stock of the Company but only if such person or group did not own more than 50% of the combined voting power of the stock of the Company prior to such acquisition; or</w:t>
      </w:r>
    </w:p>
    <w:p>
      <w:pPr>
        <w:spacing w:after="0" w:line="34" w:lineRule="exact"/>
        <w:rPr>
          <w:rFonts w:ascii="Arial" w:cs="Arial" w:eastAsia="Arial" w:hAnsi="Arial"/>
          <w:sz w:val="16"/>
          <w:szCs w:val="16"/>
          <w:b w:val="1"/>
          <w:bCs w:val="1"/>
          <w:color w:val="auto"/>
        </w:rPr>
      </w:pPr>
    </w:p>
    <w:p>
      <w:pPr>
        <w:ind w:left="-4" w:firstLine="443"/>
        <w:spacing w:after="0" w:line="288" w:lineRule="auto"/>
        <w:tabs>
          <w:tab w:leader="none" w:pos="692" w:val="left"/>
        </w:tabs>
        <w:numPr>
          <w:ilvl w:val="1"/>
          <w:numId w:val="187"/>
        </w:numPr>
        <w:rPr>
          <w:rFonts w:ascii="Arial" w:cs="Arial" w:eastAsia="Arial" w:hAnsi="Arial"/>
          <w:sz w:val="16"/>
          <w:szCs w:val="16"/>
          <w:b w:val="1"/>
          <w:bCs w:val="1"/>
          <w:color w:val="auto"/>
        </w:rPr>
      </w:pPr>
      <w:r>
        <w:rPr>
          <w:rFonts w:ascii="Arial" w:cs="Arial" w:eastAsia="Arial" w:hAnsi="Arial"/>
          <w:sz w:val="16"/>
          <w:szCs w:val="16"/>
          <w:color w:val="auto"/>
        </w:rPr>
        <w:t>any person, or more than one person acting as a group (including owners of a corporation that enters into a merger, consolidation, purchase or acquisition of assets, or similar business transaction with the Company, but not including persons solely because they purchase assets of the Company at the same time), acquires (or has acquired during the 12-month period ending on the date of the most recent acquisition by such person or group) assets from the Company that have a total gross fair market value equal to or more than 40% of the total gross fair market value of all of the assets of the Company immediately before such acquisition or acquisitions, except where the assets are transferred to (i) a shareholder of the Company (immediately before the asset transfer) in exchange for or with respect to its stock, (ii) an entity, 50% or more of the total value or voting power of which is owned, directly or indirectly, by the Company, (iii) a person, or more than one person acting as a group, that owns, directly or indirectly, 50% or more of the total value or voting power of all outstanding stock of the Company, or (iv) an entity, at least 50% of the total value or voting power of which is owned, directly or indirectly, by a person described in (iii), above.</w:t>
      </w:r>
    </w:p>
    <w:p>
      <w:pPr>
        <w:spacing w:after="0" w:line="113" w:lineRule="exact"/>
        <w:rPr>
          <w:rFonts w:ascii="Arial" w:cs="Arial" w:eastAsia="Arial" w:hAnsi="Arial"/>
          <w:sz w:val="16"/>
          <w:szCs w:val="16"/>
          <w:b w:val="1"/>
          <w:bCs w:val="1"/>
          <w:color w:val="auto"/>
        </w:rPr>
      </w:pPr>
    </w:p>
    <w:p>
      <w:pPr>
        <w:ind w:left="-464" w:right="120" w:firstLine="464"/>
        <w:spacing w:after="0" w:line="258" w:lineRule="auto"/>
        <w:tabs>
          <w:tab w:leader="none" w:pos="168"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 and Alienation of Benefits</w:t>
      </w:r>
      <w:r>
        <w:rPr>
          <w:rFonts w:ascii="Arial" w:cs="Arial" w:eastAsia="Arial" w:hAnsi="Arial"/>
          <w:sz w:val="18"/>
          <w:szCs w:val="18"/>
          <w:color w:val="auto"/>
        </w:rPr>
        <w:t>. The right of each Participant to any account, benefit or payment hereunder will not, to the extent permitted by</w:t>
      </w:r>
      <w:r>
        <w:rPr>
          <w:rFonts w:ascii="Arial" w:cs="Arial" w:eastAsia="Arial" w:hAnsi="Arial"/>
          <w:sz w:val="18"/>
          <w:szCs w:val="18"/>
          <w:b w:val="1"/>
          <w:bCs w:val="1"/>
          <w:color w:val="auto"/>
        </w:rPr>
        <w:t xml:space="preserve"> </w:t>
      </w:r>
      <w:r>
        <w:rPr>
          <w:rFonts w:ascii="Arial" w:cs="Arial" w:eastAsia="Arial" w:hAnsi="Arial"/>
          <w:sz w:val="18"/>
          <w:szCs w:val="18"/>
          <w:color w:val="auto"/>
        </w:rPr>
        <w:t>law, be subject in any manner to attachment or other legal process for the debts of that Participant; and no account, benefit or payment will be subject to anticipation, alienation, sale, transfer, assignment or encumbrance except by will, by the laws of descent and distribution, or by a Participant election to satisfy a property settlement agreement pursuant to a divorce.</w:t>
      </w:r>
    </w:p>
    <w:p>
      <w:pPr>
        <w:spacing w:after="0" w:line="136" w:lineRule="exact"/>
        <w:rPr>
          <w:rFonts w:ascii="Arial" w:cs="Arial" w:eastAsia="Arial" w:hAnsi="Arial"/>
          <w:sz w:val="18"/>
          <w:szCs w:val="18"/>
          <w:b w:val="1"/>
          <w:bCs w:val="1"/>
          <w:color w:val="auto"/>
        </w:rPr>
      </w:pPr>
    </w:p>
    <w:p>
      <w:pPr>
        <w:ind w:left="-464" w:right="100" w:firstLine="464"/>
        <w:spacing w:after="0" w:line="310" w:lineRule="auto"/>
        <w:tabs>
          <w:tab w:leader="none" w:pos="168" w:val="left"/>
        </w:tabs>
        <w:numPr>
          <w:ilvl w:val="0"/>
          <w:numId w:val="18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Section 409A Compliance</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provision to the contrary, this Plan is intended to comply with Code Section 409A and the interpretive</w:t>
      </w:r>
      <w:r>
        <w:rPr>
          <w:rFonts w:ascii="Arial" w:cs="Arial" w:eastAsia="Arial" w:hAnsi="Arial"/>
          <w:sz w:val="16"/>
          <w:szCs w:val="16"/>
          <w:b w:val="1"/>
          <w:bCs w:val="1"/>
          <w:color w:val="auto"/>
        </w:rPr>
        <w:t xml:space="preserve"> </w:t>
      </w:r>
      <w:r>
        <w:rPr>
          <w:rFonts w:ascii="Arial" w:cs="Arial" w:eastAsia="Arial" w:hAnsi="Arial"/>
          <w:sz w:val="16"/>
          <w:szCs w:val="16"/>
          <w:color w:val="auto"/>
        </w:rPr>
        <w:t>guidance thereunder. The Plan shall be construed and interpreted in accordance with such intent. If any provision of this Plan shall be held by a court of competent jurisdiction to be invalid or unenforceable, the remaining provisions hereof shall continue to be fully effective.</w:t>
      </w:r>
    </w:p>
    <w:p>
      <w:pPr>
        <w:spacing w:after="0" w:line="97" w:lineRule="exact"/>
        <w:rPr>
          <w:rFonts w:ascii="Arial" w:cs="Arial" w:eastAsia="Arial" w:hAnsi="Arial"/>
          <w:sz w:val="16"/>
          <w:szCs w:val="16"/>
          <w:b w:val="1"/>
          <w:bCs w:val="1"/>
          <w:color w:val="auto"/>
        </w:rPr>
      </w:pPr>
    </w:p>
    <w:p>
      <w:pPr>
        <w:ind w:left="-464" w:right="60" w:firstLine="464"/>
        <w:spacing w:after="0" w:line="296" w:lineRule="auto"/>
        <w:tabs>
          <w:tab w:leader="none" w:pos="255" w:val="left"/>
        </w:tabs>
        <w:numPr>
          <w:ilvl w:val="0"/>
          <w:numId w:val="18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Unsecured Obligation</w:t>
      </w:r>
      <w:r>
        <w:rPr>
          <w:rFonts w:ascii="Arial" w:cs="Arial" w:eastAsia="Arial" w:hAnsi="Arial"/>
          <w:sz w:val="16"/>
          <w:szCs w:val="16"/>
          <w:color w:val="auto"/>
        </w:rPr>
        <w:t>. The obligation of the Company to make distributions of amounts credited to the Participant’s Deferred Account shall be a</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obligation of the Company, and such distribution shall be made only from general assets and property of the Company. The Participant’s relationship to the Company under the Plan shall be only that of a general unsecured creditor and neither this Plan, nor any agreement entered into hereunder, or action taken pursuant hereto shall create or be construed to create a trust for purposes of holding and investing the Deferral Account balances. The Company reserves the right to establish such a trust, but such establishment shall not create any rights in or against any amounts held thereunder.</w:t>
      </w:r>
    </w:p>
    <w:p>
      <w:pPr>
        <w:sectPr>
          <w:pgSz w:w="11900" w:h="16838" w:orient="portrait"/>
          <w:cols w:equalWidth="0" w:num="1">
            <w:col w:w="10956"/>
          </w:cols>
          <w:pgMar w:left="704" w:top="280" w:right="239" w:bottom="1440" w:gutter="0" w:footer="0" w:header="0"/>
        </w:sectPr>
      </w:pPr>
    </w:p>
    <w:bookmarkStart w:id="179" w:name="page180"/>
    <w:bookmarkEnd w:id="179"/>
    <w:p>
      <w:pPr>
        <w:ind w:left="-464" w:firstLine="464"/>
        <w:spacing w:after="0" w:line="296" w:lineRule="auto"/>
        <w:tabs>
          <w:tab w:leader="none" w:pos="246" w:val="left"/>
        </w:tabs>
        <w:numPr>
          <w:ilvl w:val="0"/>
          <w:numId w:val="18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or Termination</w:t>
      </w:r>
      <w:r>
        <w:rPr>
          <w:rFonts w:ascii="Arial" w:cs="Arial" w:eastAsia="Arial" w:hAnsi="Arial"/>
          <w:sz w:val="16"/>
          <w:szCs w:val="16"/>
          <w:color w:val="auto"/>
        </w:rPr>
        <w:t>. The Board of Directors or the Nominating and Corporate Governance Committee may amend this Plan at any time and</w:t>
      </w:r>
      <w:r>
        <w:rPr>
          <w:rFonts w:ascii="Arial" w:cs="Arial" w:eastAsia="Arial" w:hAnsi="Arial"/>
          <w:sz w:val="16"/>
          <w:szCs w:val="16"/>
          <w:b w:val="1"/>
          <w:bCs w:val="1"/>
          <w:color w:val="auto"/>
        </w:rPr>
        <w:t xml:space="preserve"> </w:t>
      </w:r>
      <w:r>
        <w:rPr>
          <w:rFonts w:ascii="Arial" w:cs="Arial" w:eastAsia="Arial" w:hAnsi="Arial"/>
          <w:sz w:val="16"/>
          <w:szCs w:val="16"/>
          <w:color w:val="auto"/>
        </w:rPr>
        <w:t>from time to time. The Board of Directors may terminate this Plan and distribute the Deferral Accounts of Participants, to the extent permitted under Code Section 409A and the regulations promulgated thereunder or other applicable published guidance issued by the U.S. Department of Treasury or the Internal Revenue Service. Any amendment or termination of this Plan will not adversely affect the rights of a Participant accrued prior thereto without that Participant’s written consent, except to the extent required by law.</w:t>
      </w:r>
    </w:p>
    <w:p>
      <w:pPr>
        <w:spacing w:after="0" w:line="107" w:lineRule="exact"/>
        <w:rPr>
          <w:rFonts w:ascii="Arial" w:cs="Arial" w:eastAsia="Arial" w:hAnsi="Arial"/>
          <w:sz w:val="16"/>
          <w:szCs w:val="16"/>
          <w:b w:val="1"/>
          <w:bCs w:val="1"/>
          <w:color w:val="auto"/>
        </w:rPr>
      </w:pPr>
    </w:p>
    <w:p>
      <w:pPr>
        <w:ind w:left="-464" w:right="40" w:firstLine="464"/>
        <w:spacing w:after="0" w:line="339" w:lineRule="auto"/>
        <w:tabs>
          <w:tab w:leader="none" w:pos="255" w:val="left"/>
        </w:tabs>
        <w:numPr>
          <w:ilvl w:val="0"/>
          <w:numId w:val="18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Taxes</w:t>
      </w:r>
      <w:r>
        <w:rPr>
          <w:rFonts w:ascii="Arial" w:cs="Arial" w:eastAsia="Arial" w:hAnsi="Arial"/>
          <w:sz w:val="16"/>
          <w:szCs w:val="16"/>
          <w:color w:val="auto"/>
        </w:rPr>
        <w:t>. The Company is not responsible for the tax consequences under federal, state or local law of any election or payment of amounts made by any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under the Plan. All payments under the Plan are subject to withholding and reporting requirements to the extent required by applicable law.</w:t>
      </w:r>
    </w:p>
    <w:p>
      <w:pPr>
        <w:spacing w:after="0" w:line="74" w:lineRule="exact"/>
        <w:rPr>
          <w:rFonts w:ascii="Arial" w:cs="Arial" w:eastAsia="Arial" w:hAnsi="Arial"/>
          <w:sz w:val="16"/>
          <w:szCs w:val="16"/>
          <w:b w:val="1"/>
          <w:bCs w:val="1"/>
          <w:color w:val="auto"/>
        </w:rPr>
      </w:pPr>
    </w:p>
    <w:p>
      <w:pPr>
        <w:ind w:left="-464" w:right="560" w:firstLine="464"/>
        <w:spacing w:after="0" w:line="275" w:lineRule="auto"/>
        <w:tabs>
          <w:tab w:leader="none" w:pos="255"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 to Continued Membership on the Board</w:t>
      </w:r>
      <w:r>
        <w:rPr>
          <w:rFonts w:ascii="Arial" w:cs="Arial" w:eastAsia="Arial" w:hAnsi="Arial"/>
          <w:sz w:val="18"/>
          <w:szCs w:val="18"/>
          <w:color w:val="auto"/>
        </w:rPr>
        <w:t>. Nothing in this Plan confers upon any Director any right to continue as a Director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interferes with the rights of the Company and its shareholders.</w:t>
      </w:r>
    </w:p>
    <w:p>
      <w:pPr>
        <w:spacing w:after="0" w:line="119" w:lineRule="exact"/>
        <w:rPr>
          <w:rFonts w:ascii="Arial" w:cs="Arial" w:eastAsia="Arial" w:hAnsi="Arial"/>
          <w:sz w:val="18"/>
          <w:szCs w:val="18"/>
          <w:b w:val="1"/>
          <w:bCs w:val="1"/>
          <w:color w:val="auto"/>
        </w:rPr>
      </w:pPr>
    </w:p>
    <w:p>
      <w:pPr>
        <w:ind w:left="-464" w:right="40" w:firstLine="464"/>
        <w:spacing w:after="0" w:line="258" w:lineRule="auto"/>
        <w:tabs>
          <w:tab w:leader="none" w:pos="255"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Applicable Law</w:t>
      </w:r>
      <w:r>
        <w:rPr>
          <w:rFonts w:ascii="Arial" w:cs="Arial" w:eastAsia="Arial" w:hAnsi="Arial"/>
          <w:sz w:val="18"/>
          <w:szCs w:val="18"/>
          <w:color w:val="auto"/>
        </w:rPr>
        <w:t>. To the extent not preempted by federal law, this Plan shall be construed, administered and governed in all respects under and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the State of Delaware, without giving effect to its conflict of laws principles. The jurisdiction and venue for any disputes arising under, or any action brought to enforce (or otherwise relating to), this Plan shall be exclusively in the courts in the State of Illinois, County of Cook, including the Federal Courts located therein (should Federal jurisdiction exist).</w:t>
      </w:r>
    </w:p>
    <w:p>
      <w:pPr>
        <w:spacing w:after="0" w:line="142" w:lineRule="exact"/>
        <w:rPr>
          <w:sz w:val="20"/>
          <w:szCs w:val="20"/>
          <w:color w:val="auto"/>
        </w:rPr>
      </w:pPr>
    </w:p>
    <w:p>
      <w:pPr>
        <w:ind w:left="456"/>
        <w:spacing w:after="0"/>
        <w:tabs>
          <w:tab w:leader="none" w:pos="7015" w:val="left"/>
          <w:tab w:leader="none" w:pos="8015" w:val="left"/>
          <w:tab w:leader="none" w:pos="9175" w:val="left"/>
        </w:tabs>
        <w:rPr>
          <w:sz w:val="20"/>
          <w:szCs w:val="20"/>
          <w:color w:val="auto"/>
        </w:rPr>
      </w:pPr>
      <w:r>
        <w:rPr>
          <w:rFonts w:ascii="Arial" w:cs="Arial" w:eastAsia="Arial" w:hAnsi="Arial"/>
          <w:sz w:val="18"/>
          <w:szCs w:val="18"/>
          <w:color w:val="auto"/>
        </w:rPr>
        <w:t>IN WITNESS WHEREOF, the Company has caused this Plan to be executed by its</w:t>
      </w:r>
      <w:r>
        <w:rPr>
          <w:sz w:val="20"/>
          <w:szCs w:val="20"/>
          <w:color w:val="auto"/>
        </w:rPr>
        <w:tab/>
      </w:r>
      <w:r>
        <w:rPr>
          <w:rFonts w:ascii="Arial" w:cs="Arial" w:eastAsia="Arial" w:hAnsi="Arial"/>
          <w:sz w:val="18"/>
          <w:szCs w:val="18"/>
          <w:color w:val="auto"/>
        </w:rPr>
        <w:t>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5"/>
          <w:szCs w:val="15"/>
          <w:color w:val="auto"/>
        </w:rPr>
        <w:t>2011.</w:t>
      </w:r>
    </w:p>
    <w:p>
      <w:pPr>
        <w:spacing w:after="0" w:line="206" w:lineRule="exact"/>
        <w:rPr>
          <w:sz w:val="20"/>
          <w:szCs w:val="20"/>
          <w:color w:val="auto"/>
        </w:rPr>
      </w:pPr>
    </w:p>
    <w:p>
      <w:pPr>
        <w:ind w:left="6396"/>
        <w:spacing w:after="0"/>
        <w:rPr>
          <w:sz w:val="20"/>
          <w:szCs w:val="20"/>
          <w:color w:val="auto"/>
        </w:rPr>
      </w:pPr>
      <w:r>
        <w:rPr>
          <w:rFonts w:ascii="Arial" w:cs="Arial" w:eastAsia="Arial" w:hAnsi="Arial"/>
          <w:sz w:val="18"/>
          <w:szCs w:val="18"/>
          <w:b w:val="1"/>
          <w:bCs w:val="1"/>
          <w:color w:val="auto"/>
        </w:rPr>
        <w:t>FORTUNE BRANDS HOME &amp; SECURITY, INC.</w:t>
      </w:r>
    </w:p>
    <w:p>
      <w:pPr>
        <w:spacing w:after="0" w:line="231" w:lineRule="exact"/>
        <w:rPr>
          <w:sz w:val="20"/>
          <w:szCs w:val="20"/>
          <w:color w:val="auto"/>
        </w:rPr>
      </w:pPr>
    </w:p>
    <w:p>
      <w:pPr>
        <w:ind w:left="6396"/>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4237990</wp:posOffset>
            </wp:positionH>
            <wp:positionV relativeFrom="paragraph">
              <wp:posOffset>10795</wp:posOffset>
            </wp:positionV>
            <wp:extent cx="27184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ectPr>
          <w:pgSz w:w="11900" w:h="16838" w:orient="portrait"/>
          <w:cols w:equalWidth="0" w:num="1">
            <w:col w:w="10816"/>
          </w:cols>
          <w:pgMar w:left="704" w:top="274" w:right="37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FORTUNE BRANDS HOME &amp; SECURITY,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DEFERRED COMPENSATION PLAN</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DEFERRAL ELECTION</w:t>
      </w:r>
    </w:p>
    <w:p>
      <w:pPr>
        <w:spacing w:after="0" w:line="171" w:lineRule="exact"/>
        <w:rPr>
          <w:sz w:val="20"/>
          <w:szCs w:val="20"/>
          <w:color w:val="auto"/>
        </w:rPr>
      </w:pPr>
    </w:p>
    <w:p>
      <w:pPr>
        <w:jc w:val="center"/>
        <w:ind w:right="420"/>
        <w:spacing w:after="0"/>
        <w:rPr>
          <w:sz w:val="20"/>
          <w:szCs w:val="20"/>
          <w:color w:val="auto"/>
        </w:rPr>
      </w:pPr>
      <w:r>
        <w:rPr>
          <w:rFonts w:ascii="Arial" w:cs="Arial" w:eastAsia="Arial" w:hAnsi="Arial"/>
          <w:sz w:val="15"/>
          <w:szCs w:val="15"/>
          <w:b w:val="1"/>
          <w:bCs w:val="1"/>
          <w:i w:val="1"/>
          <w:iCs w:val="1"/>
          <w:color w:val="auto"/>
        </w:rPr>
        <w:t>Complete only if you have not previously filed a Deferral Election, or you now wish to change your previous Deferral Election(s) for the upcoming year.</w:t>
      </w:r>
    </w:p>
    <w:p>
      <w:pPr>
        <w:spacing w:after="0" w:line="200"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I, , make the following election under the Fortune Brands Home &amp; Security, Inc. Directors’ Deferred Compensation Plan (the “</w:t>
      </w:r>
      <w:r>
        <w:rPr>
          <w:rFonts w:ascii="Arial" w:cs="Arial" w:eastAsia="Arial" w:hAnsi="Arial"/>
          <w:sz w:val="16"/>
          <w:szCs w:val="16"/>
          <w:b w:val="1"/>
          <w:bCs w:val="1"/>
          <w:color w:val="auto"/>
        </w:rPr>
        <w:t>Plan</w:t>
      </w:r>
      <w:r>
        <w:rPr>
          <w:rFonts w:ascii="Arial" w:cs="Arial" w:eastAsia="Arial" w:hAnsi="Arial"/>
          <w:sz w:val="16"/>
          <w:szCs w:val="16"/>
          <w:color w:val="auto"/>
        </w:rPr>
        <w:t>”) with respect to fees earned beginning January 1, 20 for services as a Director of Fortune Brands Home &amp; Security, Inc. (the “</w:t>
      </w:r>
      <w:r>
        <w:rPr>
          <w:rFonts w:ascii="Arial" w:cs="Arial" w:eastAsia="Arial" w:hAnsi="Arial"/>
          <w:sz w:val="16"/>
          <w:szCs w:val="16"/>
          <w:b w:val="1"/>
          <w:bCs w:val="1"/>
          <w:color w:val="auto"/>
        </w:rPr>
        <w:t>Company</w:t>
      </w:r>
      <w:r>
        <w:rPr>
          <w:rFonts w:ascii="Arial" w:cs="Arial" w:eastAsia="Arial" w:hAnsi="Arial"/>
          <w:sz w:val="16"/>
          <w:szCs w:val="16"/>
          <w:color w:val="auto"/>
        </w:rPr>
        <w:t>”). Any capitalized term that is not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defined will have the meaning set forth in the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elect to defer receipt of my Directors’ Fees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DIRECTOR CASH FEES</w:t>
            </w:r>
          </w:p>
        </w:tc>
        <w:tc>
          <w:tcPr>
            <w:tcW w:w="1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DIRECTOR SHARES</w:t>
            </w:r>
          </w:p>
        </w:tc>
        <w:tc>
          <w:tcPr>
            <w:tcW w:w="0" w:type="dxa"/>
            <w:vAlign w:val="bottom"/>
          </w:tcPr>
          <w:p>
            <w:pPr>
              <w:spacing w:after="0"/>
              <w:rPr>
                <w:sz w:val="1"/>
                <w:szCs w:val="1"/>
                <w:color w:val="auto"/>
              </w:rPr>
            </w:pPr>
          </w:p>
        </w:tc>
      </w:tr>
      <w:tr>
        <w:trPr>
          <w:trHeight w:val="304"/>
        </w:trPr>
        <w:tc>
          <w:tcPr>
            <w:tcW w:w="5260" w:type="dxa"/>
            <w:vAlign w:val="bottom"/>
            <w:gridSpan w:val="5"/>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all of my Director Cash Fees</w:t>
            </w:r>
          </w:p>
        </w:tc>
        <w:tc>
          <w:tcPr>
            <w:tcW w:w="4440" w:type="dxa"/>
            <w:vAlign w:val="bottom"/>
            <w:gridSpan w:val="4"/>
          </w:tcPr>
          <w:p>
            <w:pPr>
              <w:ind w:left="1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all of my Directors Shares</w:t>
            </w:r>
          </w:p>
        </w:tc>
        <w:tc>
          <w:tcPr>
            <w:tcW w:w="0" w:type="dxa"/>
            <w:vAlign w:val="bottom"/>
          </w:tcPr>
          <w:p>
            <w:pPr>
              <w:spacing w:after="0"/>
              <w:rPr>
                <w:sz w:val="1"/>
                <w:szCs w:val="1"/>
                <w:color w:val="auto"/>
              </w:rPr>
            </w:pPr>
          </w:p>
        </w:tc>
      </w:tr>
      <w:tr>
        <w:trPr>
          <w:trHeight w:val="343"/>
        </w:trPr>
        <w:tc>
          <w:tcPr>
            <w:tcW w:w="4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3540" w:type="dxa"/>
            <w:vAlign w:val="bottom"/>
            <w:gridSpan w:val="2"/>
          </w:tcPr>
          <w:p>
            <w:pPr>
              <w:jc w:val="center"/>
              <w:ind w:right="1720"/>
              <w:spacing w:after="0"/>
              <w:rPr>
                <w:sz w:val="20"/>
                <w:szCs w:val="20"/>
                <w:color w:val="auto"/>
              </w:rPr>
            </w:pPr>
            <w:r>
              <w:rPr>
                <w:rFonts w:ascii="Arial" w:cs="Arial" w:eastAsia="Arial" w:hAnsi="Arial"/>
                <w:sz w:val="18"/>
                <w:szCs w:val="18"/>
                <w:color w:val="auto"/>
                <w:w w:val="87"/>
              </w:rPr>
              <w:t>or</w:t>
            </w:r>
          </w:p>
        </w:tc>
        <w:tc>
          <w:tcPr>
            <w:tcW w:w="1580" w:type="dxa"/>
            <w:vAlign w:val="bottom"/>
            <w:vMerge w:val="restart"/>
          </w:tcPr>
          <w:p>
            <w:pPr>
              <w:ind w:left="220"/>
              <w:spacing w:after="0"/>
              <w:rPr>
                <w:sz w:val="20"/>
                <w:szCs w:val="20"/>
                <w:color w:val="auto"/>
              </w:rPr>
            </w:pPr>
            <w:r>
              <w:rPr>
                <w:rFonts w:ascii="Arial" w:cs="Arial" w:eastAsia="Arial" w:hAnsi="Arial"/>
                <w:sz w:val="18"/>
                <w:szCs w:val="18"/>
                <w:color w:val="auto"/>
              </w:rPr>
              <w:t>AND/OR</w:t>
            </w:r>
          </w:p>
        </w:tc>
        <w:tc>
          <w:tcPr>
            <w:tcW w:w="18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or</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66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t>
            </w:r>
          </w:p>
        </w:tc>
        <w:tc>
          <w:tcPr>
            <w:tcW w:w="4600" w:type="dxa"/>
            <w:vAlign w:val="bottom"/>
            <w:gridSpan w:val="3"/>
          </w:tcPr>
          <w:p>
            <w:pPr>
              <w:ind w:left="260"/>
              <w:spacing w:after="0"/>
              <w:rPr>
                <w:sz w:val="20"/>
                <w:szCs w:val="20"/>
                <w:color w:val="auto"/>
              </w:rPr>
            </w:pPr>
            <w:r>
              <w:rPr>
                <w:rFonts w:ascii="Arial" w:cs="Arial" w:eastAsia="Arial" w:hAnsi="Arial"/>
                <w:sz w:val="18"/>
                <w:szCs w:val="18"/>
                <w:color w:val="auto"/>
                <w:w w:val="91"/>
              </w:rPr>
              <w:t>per calendar quarter of my Director Cash Fees (may not be</w:t>
            </w:r>
          </w:p>
        </w:tc>
        <w:tc>
          <w:tcPr>
            <w:tcW w:w="1580" w:type="dxa"/>
            <w:vAlign w:val="bottom"/>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Pr>
          <w:p>
            <w:pPr>
              <w:spacing w:after="0"/>
              <w:rPr>
                <w:sz w:val="24"/>
                <w:szCs w:val="24"/>
                <w:color w:val="auto"/>
              </w:rPr>
            </w:pPr>
          </w:p>
        </w:tc>
        <w:tc>
          <w:tcPr>
            <w:tcW w:w="2680" w:type="dxa"/>
            <w:vAlign w:val="bottom"/>
            <w:gridSpan w:val="2"/>
          </w:tcPr>
          <w:p>
            <w:pPr>
              <w:ind w:left="220"/>
              <w:spacing w:after="0"/>
              <w:rPr>
                <w:sz w:val="20"/>
                <w:szCs w:val="20"/>
                <w:color w:val="auto"/>
              </w:rPr>
            </w:pPr>
            <w:r>
              <w:rPr>
                <w:rFonts w:ascii="Arial" w:cs="Arial" w:eastAsia="Arial" w:hAnsi="Arial"/>
                <w:sz w:val="18"/>
                <w:szCs w:val="18"/>
                <w:color w:val="auto"/>
                <w:w w:val="87"/>
              </w:rPr>
              <w:t>my annual grant of Director Shares</w:t>
            </w:r>
          </w:p>
        </w:tc>
        <w:tc>
          <w:tcPr>
            <w:tcW w:w="0" w:type="dxa"/>
            <w:vAlign w:val="bottom"/>
          </w:tcPr>
          <w:p>
            <w:pPr>
              <w:spacing w:after="0"/>
              <w:rPr>
                <w:sz w:val="1"/>
                <w:szCs w:val="1"/>
                <w:color w:val="auto"/>
              </w:rPr>
            </w:pPr>
          </w:p>
        </w:tc>
      </w:tr>
      <w:tr>
        <w:trPr>
          <w:trHeight w:val="222"/>
        </w:trPr>
        <w:tc>
          <w:tcPr>
            <w:tcW w:w="5260" w:type="dxa"/>
            <w:vAlign w:val="bottom"/>
            <w:gridSpan w:val="5"/>
          </w:tcPr>
          <w:p>
            <w:pPr>
              <w:ind w:left="440"/>
              <w:spacing w:after="0"/>
              <w:rPr>
                <w:sz w:val="20"/>
                <w:szCs w:val="20"/>
                <w:color w:val="auto"/>
              </w:rPr>
            </w:pPr>
            <w:r>
              <w:rPr>
                <w:rFonts w:ascii="Arial" w:cs="Arial" w:eastAsia="Arial" w:hAnsi="Arial"/>
                <w:sz w:val="18"/>
                <w:szCs w:val="18"/>
                <w:color w:val="auto"/>
              </w:rPr>
              <w:t>less than $1,000 per calendar quarter)</w:t>
            </w: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This Deferral Election supersedes any prior deferral elections under the Plan and will remain in effect for future years unless changed through a future election or operation of the Plan. The Plan is unfunded. All deferrals and interest are maintained as general assets of the Company. You should carefully review the enclosed Plan before you elect to defer.</w:t>
      </w:r>
    </w:p>
    <w:p>
      <w:pPr>
        <w:spacing w:after="0" w:line="134"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 xml:space="preserve">If you have any questions regarding the Plan, please call Angela Pla at (847) 484-4455. </w:t>
      </w:r>
      <w:r>
        <w:rPr>
          <w:rFonts w:ascii="Arial" w:cs="Arial" w:eastAsia="Arial" w:hAnsi="Arial"/>
          <w:sz w:val="18"/>
          <w:szCs w:val="18"/>
          <w:b w:val="1"/>
          <w:bCs w:val="1"/>
          <w:color w:val="auto"/>
        </w:rPr>
        <w:t>Please remember that if you would like to participate, this Deferral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Election </w:t>
      </w:r>
      <w:r>
        <w:rPr>
          <w:rFonts w:ascii="Arial" w:cs="Arial" w:eastAsia="Arial" w:hAnsi="Arial"/>
          <w:sz w:val="18"/>
          <w:szCs w:val="18"/>
          <w:b w:val="1"/>
          <w:bCs w:val="1"/>
          <w:u w:val="single" w:color="auto"/>
          <w:color w:val="auto"/>
        </w:rPr>
        <w:t>must</w:t>
      </w:r>
      <w:r>
        <w:rPr>
          <w:rFonts w:ascii="Arial" w:cs="Arial" w:eastAsia="Arial" w:hAnsi="Arial"/>
          <w:sz w:val="18"/>
          <w:szCs w:val="18"/>
          <w:b w:val="1"/>
          <w:bCs w:val="1"/>
          <w:color w:val="auto"/>
        </w:rPr>
        <w:t xml:space="preserve"> be returned by </w:t>
      </w:r>
      <w:r>
        <w:rPr>
          <w:rFonts w:ascii="Arial" w:cs="Arial" w:eastAsia="Arial" w:hAnsi="Arial"/>
          <w:sz w:val="18"/>
          <w:szCs w:val="18"/>
          <w:b w:val="1"/>
          <w:bCs w:val="1"/>
          <w:u w:val="single" w:color="auto"/>
          <w:color w:val="auto"/>
        </w:rPr>
        <w:t>November 1st preceding the year in which the fees are earned</w:t>
      </w:r>
      <w:r>
        <w:rPr>
          <w:rFonts w:ascii="Arial" w:cs="Arial" w:eastAsia="Arial" w:hAnsi="Arial"/>
          <w:sz w:val="18"/>
          <w:szCs w:val="18"/>
          <w:b w:val="1"/>
          <w:bCs w:val="1"/>
          <w:color w:val="auto"/>
        </w:rPr>
        <w: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r>
      <w:tr>
        <w:trPr>
          <w:trHeight w:val="216"/>
        </w:trPr>
        <w:tc>
          <w:tcPr>
            <w:tcW w:w="7780" w:type="dxa"/>
            <w:vAlign w:val="bottom"/>
            <w:gridSpan w:val="3"/>
          </w:tcPr>
          <w:p>
            <w:pPr>
              <w:spacing w:after="0"/>
              <w:rPr>
                <w:sz w:val="20"/>
                <w:szCs w:val="20"/>
                <w:color w:val="auto"/>
              </w:rPr>
            </w:pPr>
            <w:r>
              <w:rPr>
                <w:rFonts w:ascii="Arial" w:cs="Arial" w:eastAsia="Arial" w:hAnsi="Arial"/>
                <w:sz w:val="18"/>
                <w:szCs w:val="18"/>
                <w:color w:val="auto"/>
              </w:rPr>
              <w:t>Director’s Signature</w:t>
            </w:r>
          </w:p>
        </w:tc>
        <w:tc>
          <w:tcPr>
            <w:tcW w:w="3640" w:type="dxa"/>
            <w:vAlign w:val="bottom"/>
          </w:tcPr>
          <w:p>
            <w:pPr>
              <w:ind w:left="120"/>
              <w:spacing w:after="0"/>
              <w:rPr>
                <w:sz w:val="20"/>
                <w:szCs w:val="20"/>
                <w:color w:val="auto"/>
              </w:rPr>
            </w:pPr>
            <w:r>
              <w:rPr>
                <w:rFonts w:ascii="Arial" w:cs="Arial" w:eastAsia="Arial" w:hAnsi="Arial"/>
                <w:sz w:val="18"/>
                <w:szCs w:val="18"/>
                <w:color w:val="auto"/>
              </w:rPr>
              <w:t>Date</w:t>
            </w:r>
          </w:p>
        </w:tc>
      </w:tr>
      <w:tr>
        <w:trPr>
          <w:trHeight w:val="250"/>
        </w:trPr>
        <w:tc>
          <w:tcPr>
            <w:tcW w:w="20" w:type="dxa"/>
            <w:vAlign w:val="bottom"/>
          </w:tcPr>
          <w:p>
            <w:pPr>
              <w:spacing w:after="0"/>
              <w:rPr>
                <w:sz w:val="21"/>
                <w:szCs w:val="21"/>
                <w:color w:val="auto"/>
              </w:rPr>
            </w:pPr>
          </w:p>
        </w:tc>
        <w:tc>
          <w:tcPr>
            <w:tcW w:w="3980" w:type="dxa"/>
            <w:vAlign w:val="bottom"/>
            <w:tcBorders>
              <w:bottom w:val="single" w:sz="8" w:color="auto"/>
            </w:tcBorders>
          </w:tcPr>
          <w:p>
            <w:pPr>
              <w:spacing w:after="0"/>
              <w:rPr>
                <w:sz w:val="21"/>
                <w:szCs w:val="21"/>
                <w:color w:val="auto"/>
              </w:rPr>
            </w:pPr>
          </w:p>
        </w:tc>
        <w:tc>
          <w:tcPr>
            <w:tcW w:w="3780" w:type="dxa"/>
            <w:vAlign w:val="bottom"/>
          </w:tcPr>
          <w:p>
            <w:pPr>
              <w:spacing w:after="0"/>
              <w:rPr>
                <w:sz w:val="21"/>
                <w:szCs w:val="21"/>
                <w:color w:val="auto"/>
              </w:rPr>
            </w:pPr>
          </w:p>
        </w:tc>
        <w:tc>
          <w:tcPr>
            <w:tcW w:w="3640" w:type="dxa"/>
            <w:vAlign w:val="bottom"/>
            <w:tcBorders>
              <w:bottom w:val="single" w:sz="8" w:color="auto"/>
            </w:tcBorders>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Director’s Name (please print)</w:t>
            </w:r>
          </w:p>
        </w:tc>
        <w:tc>
          <w:tcPr>
            <w:tcW w:w="3780" w:type="dxa"/>
            <w:vAlign w:val="bottom"/>
          </w:tcPr>
          <w:p>
            <w:pPr>
              <w:spacing w:after="0"/>
              <w:rPr>
                <w:sz w:val="18"/>
                <w:szCs w:val="18"/>
                <w:color w:val="auto"/>
              </w:rPr>
            </w:pPr>
          </w:p>
        </w:tc>
        <w:tc>
          <w:tcPr>
            <w:tcW w:w="3640" w:type="dxa"/>
            <w:vAlign w:val="bottom"/>
          </w:tcPr>
          <w:p>
            <w:pPr>
              <w:ind w:left="120"/>
              <w:spacing w:after="0"/>
              <w:rPr>
                <w:sz w:val="20"/>
                <w:szCs w:val="20"/>
                <w:color w:val="auto"/>
              </w:rPr>
            </w:pPr>
            <w:r>
              <w:rPr>
                <w:rFonts w:ascii="Arial" w:cs="Arial" w:eastAsia="Arial" w:hAnsi="Arial"/>
                <w:sz w:val="18"/>
                <w:szCs w:val="18"/>
                <w:color w:val="auto"/>
              </w:rPr>
              <w:t>Social Security No.</w:t>
            </w:r>
          </w:p>
        </w:tc>
      </w:tr>
    </w:tbl>
    <w:p>
      <w:pPr>
        <w:sectPr>
          <w:pgSz w:w="11900" w:h="16838" w:orient="portrait"/>
          <w:cols w:equalWidth="0" w:num="1">
            <w:col w:w="11420"/>
          </w:cols>
          <w:pgMar w:left="240" w:top="274" w:right="239" w:bottom="1440" w:gutter="0" w:footer="0" w:header="0"/>
        </w:sectPr>
      </w:pPr>
    </w:p>
    <w:bookmarkStart w:id="181" w:name="page182"/>
    <w:bookmarkEnd w:id="18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FORTUNE BRANDS HOME &amp; SECURITY,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DIRECTORS’ DEFERRED COMPENSATION PLAN</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u w:val="single" w:color="auto"/>
          <w:color w:val="auto"/>
        </w:rPr>
        <w:t>BENEFICIARY DESIGNATION</w:t>
      </w:r>
    </w:p>
    <w:p>
      <w:pPr>
        <w:spacing w:after="0" w:line="165"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In accordance with the terms of the Fortune Brands Home &amp; Security, Inc. Directors’ Deferred Compensation Plan (the “</w:t>
      </w:r>
      <w:r>
        <w:rPr>
          <w:rFonts w:ascii="Arial" w:cs="Arial" w:eastAsia="Arial" w:hAnsi="Arial"/>
          <w:sz w:val="16"/>
          <w:szCs w:val="16"/>
          <w:b w:val="1"/>
          <w:bCs w:val="1"/>
          <w:color w:val="auto"/>
        </w:rPr>
        <w:t>Plan</w:t>
      </w:r>
      <w:r>
        <w:rPr>
          <w:rFonts w:ascii="Arial" w:cs="Arial" w:eastAsia="Arial" w:hAnsi="Arial"/>
          <w:sz w:val="16"/>
          <w:szCs w:val="16"/>
          <w:color w:val="auto"/>
        </w:rPr>
        <w:t>”), the individual whose name appears below, who serves as a Director of Fortune Brands Home &amp; Security, Inc. (the “</w:t>
      </w:r>
      <w:r>
        <w:rPr>
          <w:rFonts w:ascii="Arial" w:cs="Arial" w:eastAsia="Arial" w:hAnsi="Arial"/>
          <w:sz w:val="16"/>
          <w:szCs w:val="16"/>
          <w:b w:val="1"/>
          <w:bCs w:val="1"/>
          <w:color w:val="auto"/>
        </w:rPr>
        <w:t>Company</w:t>
      </w:r>
      <w:r>
        <w:rPr>
          <w:rFonts w:ascii="Arial" w:cs="Arial" w:eastAsia="Arial" w:hAnsi="Arial"/>
          <w:sz w:val="16"/>
          <w:szCs w:val="16"/>
          <w:color w:val="auto"/>
        </w:rPr>
        <w:t>”), hereby designates the individual(s) named below as his or her beneficiary or beneficiaries with respect to his or her Deferral Account (and any other amounts due to him or her) under the Plan. This designation shall supersede any and all previous beneficiary designations made by the Director with respect to his or her Deferral Account under the Plan. Any capitalized term that is not defined will have the meaning set forth in the Plan.</w:t>
      </w:r>
    </w:p>
    <w:p>
      <w:pPr>
        <w:spacing w:after="0" w:line="114" w:lineRule="exact"/>
        <w:rPr>
          <w:sz w:val="20"/>
          <w:szCs w:val="20"/>
          <w:color w:val="auto"/>
        </w:rPr>
      </w:pPr>
    </w:p>
    <w:p>
      <w:pPr>
        <w:ind w:right="380" w:firstLine="921"/>
        <w:spacing w:after="0" w:line="268" w:lineRule="auto"/>
        <w:tabs>
          <w:tab w:leader="none" w:pos="1088"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Primary Beneficiary</w:t>
      </w:r>
      <w:r>
        <w:rPr>
          <w:rFonts w:ascii="Arial" w:cs="Arial" w:eastAsia="Arial" w:hAnsi="Arial"/>
          <w:sz w:val="18"/>
          <w:szCs w:val="18"/>
          <w:color w:val="auto"/>
        </w:rPr>
        <w:t>. The following person, or persons, are designated as primary beneficiary with respect to the percentage of the Director’s unpaid Deferral Account (and any other amounts due to him or her) indicated for each person:</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Name:</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-129540</wp:posOffset>
            </wp:positionV>
            <wp:extent cx="30359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109855</wp:posOffset>
            </wp:positionV>
            <wp:extent cx="30359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03593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6985</wp:posOffset>
            </wp:positionV>
            <wp:extent cx="30359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03593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-129540</wp:posOffset>
            </wp:positionV>
            <wp:extent cx="30359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10795</wp:posOffset>
            </wp:positionV>
            <wp:extent cx="30359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03593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-125730</wp:posOffset>
            </wp:positionV>
            <wp:extent cx="303593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9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-129540</wp:posOffset>
            </wp:positionV>
            <wp:extent cx="30359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109855</wp:posOffset>
            </wp:positionV>
            <wp:extent cx="303593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03593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6985</wp:posOffset>
            </wp:positionV>
            <wp:extent cx="303593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03593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-129540</wp:posOffset>
            </wp:positionV>
            <wp:extent cx="303593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10795</wp:posOffset>
            </wp:positionV>
            <wp:extent cx="303593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03593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-125730</wp:posOffset>
            </wp:positionV>
            <wp:extent cx="303593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9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-129540</wp:posOffset>
            </wp:positionV>
            <wp:extent cx="30359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109855</wp:posOffset>
            </wp:positionV>
            <wp:extent cx="30359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03593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6985</wp:posOffset>
            </wp:positionV>
            <wp:extent cx="30359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03593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-129540</wp:posOffset>
            </wp:positionV>
            <wp:extent cx="30359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10795</wp:posOffset>
            </wp:positionV>
            <wp:extent cx="30359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03593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-125730</wp:posOffset>
            </wp:positionV>
            <wp:extent cx="30359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182" w:name="page183"/>
    <w:bookmarkEnd w:id="182"/>
    <w:p>
      <w:pPr>
        <w:ind w:right="60" w:firstLine="921"/>
        <w:spacing w:after="0" w:line="268" w:lineRule="auto"/>
        <w:tabs>
          <w:tab w:leader="none" w:pos="1088"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Secondary Beneficiary</w:t>
      </w:r>
      <w:r>
        <w:rPr>
          <w:rFonts w:ascii="Arial" w:cs="Arial" w:eastAsia="Arial" w:hAnsi="Arial"/>
          <w:sz w:val="18"/>
          <w:szCs w:val="18"/>
          <w:color w:val="auto"/>
        </w:rPr>
        <w:t>. The following person, or persons, are designated as secondary Beneficiary with respect to the percentage of the Director’s unpaid Deferral Account (and any other amounts due to him or her) indicated for each person:</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Name:</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-129540</wp:posOffset>
            </wp:positionV>
            <wp:extent cx="285559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109855</wp:posOffset>
            </wp:positionV>
            <wp:extent cx="285559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855595"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6985</wp:posOffset>
            </wp:positionV>
            <wp:extent cx="285559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855595"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-129540</wp:posOffset>
            </wp:positionV>
            <wp:extent cx="285559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10795</wp:posOffset>
            </wp:positionV>
            <wp:extent cx="285559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855595"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-125730</wp:posOffset>
            </wp:positionV>
            <wp:extent cx="285559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9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-129540</wp:posOffset>
            </wp:positionV>
            <wp:extent cx="285559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109855</wp:posOffset>
            </wp:positionV>
            <wp:extent cx="285559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855595"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6985</wp:posOffset>
            </wp:positionV>
            <wp:extent cx="285559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855595"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-129540</wp:posOffset>
            </wp:positionV>
            <wp:extent cx="285559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10795</wp:posOffset>
            </wp:positionV>
            <wp:extent cx="285559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855595"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-125730</wp:posOffset>
            </wp:positionV>
            <wp:extent cx="285559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9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-129540</wp:posOffset>
            </wp:positionV>
            <wp:extent cx="285559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109855</wp:posOffset>
            </wp:positionV>
            <wp:extent cx="285559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855595"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6985</wp:posOffset>
            </wp:positionV>
            <wp:extent cx="285559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855595"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-129540</wp:posOffset>
            </wp:positionV>
            <wp:extent cx="285559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60" w:type="dxa"/>
            <w:vAlign w:val="bottom"/>
          </w:tcPr>
          <w:p>
            <w:pPr>
              <w:ind w:left="900"/>
              <w:spacing w:after="0"/>
              <w:rPr>
                <w:sz w:val="20"/>
                <w:szCs w:val="20"/>
                <w:color w:val="auto"/>
              </w:rPr>
            </w:pPr>
            <w:r>
              <w:rPr>
                <w:rFonts w:ascii="Arial" w:cs="Arial" w:eastAsia="Arial" w:hAnsi="Arial"/>
                <w:sz w:val="18"/>
                <w:szCs w:val="18"/>
                <w:color w:val="auto"/>
              </w:rPr>
              <w:t>Percent:</w:t>
            </w:r>
          </w:p>
        </w:tc>
        <w:tc>
          <w:tcPr>
            <w:tcW w:w="1720" w:type="dxa"/>
            <w:vAlign w:val="bottom"/>
            <w:tcBorders>
              <w:top w:val="single" w:sz="8" w:color="auto"/>
              <w:bottom w:val="single" w:sz="8" w:color="auto"/>
            </w:tcBorders>
          </w:tcPr>
          <w:p>
            <w:pPr>
              <w:spacing w:after="0"/>
              <w:rPr>
                <w:sz w:val="18"/>
                <w:szCs w:val="18"/>
                <w:color w:val="auto"/>
              </w:rPr>
            </w:pPr>
          </w:p>
        </w:tc>
        <w:tc>
          <w:tcPr>
            <w:tcW w:w="2780" w:type="dxa"/>
            <w:vAlign w:val="bottom"/>
            <w:tcBorders>
              <w:top w:val="single" w:sz="8" w:color="auto"/>
              <w:bottom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2780" w:type="dxa"/>
            <w:vAlign w:val="bottom"/>
            <w:tcBorders>
              <w:bottom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640" w:type="dxa"/>
            <w:vAlign w:val="bottom"/>
          </w:tcPr>
          <w:p>
            <w:pPr>
              <w:spacing w:after="0"/>
              <w:rPr>
                <w:sz w:val="12"/>
                <w:szCs w:val="12"/>
                <w:color w:val="auto"/>
              </w:rPr>
            </w:pPr>
          </w:p>
        </w:tc>
      </w:tr>
      <w:tr>
        <w:trPr>
          <w:trHeight w:val="277"/>
        </w:trPr>
        <w:tc>
          <w:tcPr>
            <w:tcW w:w="2280" w:type="dxa"/>
            <w:vAlign w:val="bottom"/>
            <w:gridSpan w:val="2"/>
          </w:tcPr>
          <w:p>
            <w:pPr>
              <w:spacing w:after="0"/>
              <w:rPr>
                <w:sz w:val="24"/>
                <w:szCs w:val="24"/>
                <w:color w:val="auto"/>
              </w:rPr>
            </w:pPr>
          </w:p>
        </w:tc>
        <w:tc>
          <w:tcPr>
            <w:tcW w:w="17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Director’s Signature</w:t>
            </w:r>
          </w:p>
        </w:tc>
        <w:tc>
          <w:tcPr>
            <w:tcW w:w="1720" w:type="dxa"/>
            <w:vAlign w:val="bottom"/>
            <w:tcBorders>
              <w:top w:val="single" w:sz="8" w:color="auto"/>
            </w:tcBorders>
          </w:tcPr>
          <w:p>
            <w:pPr>
              <w:spacing w:after="0"/>
              <w:rPr>
                <w:sz w:val="18"/>
                <w:szCs w:val="18"/>
                <w:color w:val="auto"/>
              </w:rPr>
            </w:pPr>
          </w:p>
        </w:tc>
        <w:tc>
          <w:tcPr>
            <w:tcW w:w="2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Date</w:t>
            </w:r>
          </w:p>
        </w:tc>
      </w:tr>
      <w:tr>
        <w:trPr>
          <w:trHeight w:val="250"/>
        </w:trPr>
        <w:tc>
          <w:tcPr>
            <w:tcW w:w="20" w:type="dxa"/>
            <w:vAlign w:val="bottom"/>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2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40" w:type="dxa"/>
            <w:vAlign w:val="bottom"/>
            <w:tcBorders>
              <w:bottom w:val="single" w:sz="8" w:color="auto"/>
            </w:tcBorders>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w w:val="93"/>
              </w:rPr>
              <w:t>Director’s Name (please print)</w:t>
            </w:r>
          </w:p>
        </w:tc>
        <w:tc>
          <w:tcPr>
            <w:tcW w:w="17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40" w:type="dxa"/>
            <w:vAlign w:val="bottom"/>
          </w:tcPr>
          <w:p>
            <w:pPr>
              <w:ind w:left="120"/>
              <w:spacing w:after="0"/>
              <w:rPr>
                <w:sz w:val="20"/>
                <w:szCs w:val="20"/>
                <w:color w:val="auto"/>
              </w:rPr>
            </w:pPr>
            <w:r>
              <w:rPr>
                <w:rFonts w:ascii="Arial" w:cs="Arial" w:eastAsia="Arial" w:hAnsi="Arial"/>
                <w:sz w:val="18"/>
                <w:szCs w:val="18"/>
                <w:color w:val="auto"/>
              </w:rPr>
              <w:t>Social Security No.</w:t>
            </w:r>
          </w:p>
        </w:tc>
      </w:tr>
    </w:tbl>
    <w:p>
      <w:pPr>
        <w:sectPr>
          <w:pgSz w:w="11900" w:h="16838" w:orient="portrait"/>
          <w:cols w:equalWidth="0" w:num="1">
            <w:col w:w="11420"/>
          </w:cols>
          <w:pgMar w:left="240" w:top="280"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10.17</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FORTUNE BRANDS HOME &amp; SECURITY,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LONG-TERM INCENTIVE PLAN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STOCK ELECTION PROGRAM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Purpose of Program</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purpose of this Non-Employee Director Stock Election Program (the “</w:t>
      </w:r>
      <w:r>
        <w:rPr>
          <w:rFonts w:ascii="Arial" w:cs="Arial" w:eastAsia="Arial" w:hAnsi="Arial"/>
          <w:sz w:val="18"/>
          <w:szCs w:val="18"/>
          <w:u w:val="single" w:color="auto"/>
          <w:color w:val="auto"/>
        </w:rPr>
        <w:t>Program</w:t>
      </w:r>
      <w:r>
        <w:rPr>
          <w:rFonts w:ascii="Arial" w:cs="Arial" w:eastAsia="Arial" w:hAnsi="Arial"/>
          <w:sz w:val="18"/>
          <w:szCs w:val="18"/>
          <w:color w:val="auto"/>
        </w:rPr>
        <w:t>”), adopted and administered under the Fortune Brands Home &amp; Security, Inc. 2011 Long-Term Incentive Plan (the “</w:t>
      </w:r>
      <w:r>
        <w:rPr>
          <w:rFonts w:ascii="Arial" w:cs="Arial" w:eastAsia="Arial" w:hAnsi="Arial"/>
          <w:sz w:val="18"/>
          <w:szCs w:val="18"/>
          <w:u w:val="single" w:color="auto"/>
          <w:color w:val="auto"/>
        </w:rPr>
        <w:t>LTIP</w:t>
      </w:r>
      <w:r>
        <w:rPr>
          <w:rFonts w:ascii="Arial" w:cs="Arial" w:eastAsia="Arial" w:hAnsi="Arial"/>
          <w:sz w:val="18"/>
          <w:szCs w:val="18"/>
          <w:color w:val="auto"/>
        </w:rPr>
        <w:t>”), is to enable non-employee directors (as defined below) of Fortune Brands Home &amp; Security, Inc. (the “</w:t>
      </w:r>
      <w:r>
        <w:rPr>
          <w:rFonts w:ascii="Arial" w:cs="Arial" w:eastAsia="Arial" w:hAnsi="Arial"/>
          <w:sz w:val="18"/>
          <w:szCs w:val="18"/>
          <w:u w:val="single" w:color="auto"/>
          <w:color w:val="auto"/>
        </w:rPr>
        <w:t>Company</w:t>
      </w:r>
      <w:r>
        <w:rPr>
          <w:rFonts w:ascii="Arial" w:cs="Arial" w:eastAsia="Arial" w:hAnsi="Arial"/>
          <w:sz w:val="18"/>
          <w:szCs w:val="18"/>
          <w:color w:val="auto"/>
        </w:rPr>
        <w:t>”) to elect to receive shares of common stock of the Company (“</w:t>
      </w:r>
      <w:r>
        <w:rPr>
          <w:rFonts w:ascii="Arial" w:cs="Arial" w:eastAsia="Arial" w:hAnsi="Arial"/>
          <w:sz w:val="18"/>
          <w:szCs w:val="18"/>
          <w:u w:val="single" w:color="auto"/>
          <w:color w:val="auto"/>
        </w:rPr>
        <w:t>Common Stock</w:t>
      </w:r>
      <w:r>
        <w:rPr>
          <w:rFonts w:ascii="Arial" w:cs="Arial" w:eastAsia="Arial" w:hAnsi="Arial"/>
          <w:sz w:val="18"/>
          <w:szCs w:val="18"/>
          <w:color w:val="auto"/>
        </w:rPr>
        <w:t>”) in lieu of the cash retainers payable to them for their service on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Administration of Program</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Program shall be administered by the Nominating and Corporate Governance Committee of the Board (the “</w:t>
      </w:r>
      <w:r>
        <w:rPr>
          <w:rFonts w:ascii="Arial" w:cs="Arial" w:eastAsia="Arial" w:hAnsi="Arial"/>
          <w:sz w:val="16"/>
          <w:szCs w:val="16"/>
          <w:u w:val="single" w:color="auto"/>
          <w:color w:val="auto"/>
        </w:rPr>
        <w:t>Committee</w:t>
      </w:r>
      <w:r>
        <w:rPr>
          <w:rFonts w:ascii="Arial" w:cs="Arial" w:eastAsia="Arial" w:hAnsi="Arial"/>
          <w:sz w:val="16"/>
          <w:szCs w:val="16"/>
          <w:color w:val="auto"/>
        </w:rPr>
        <w:t>”). The Committee shall have the power and authority to administer, construe and interpret the Program, to make rules for administering the Program and to make changes in such rules.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Participation</w:t>
      </w:r>
    </w:p>
    <w:p>
      <w:pPr>
        <w:spacing w:after="0" w:line="9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All non-employee directors shall be eligible to participate in the Program. The term “non-employee director” means a member of the Board who, at the time of performance of the services relevant to payment under the Program, is not an employee of the Company or any of its subsidiaries.</w:t>
      </w:r>
    </w:p>
    <w:p>
      <w:pPr>
        <w:spacing w:after="0" w:line="160" w:lineRule="exact"/>
        <w:rPr>
          <w:sz w:val="20"/>
          <w:szCs w:val="20"/>
          <w:color w:val="auto"/>
        </w:rPr>
      </w:pPr>
    </w:p>
    <w:p>
      <w:pPr>
        <w:ind w:left="180" w:hanging="172"/>
        <w:spacing w:after="0"/>
        <w:tabs>
          <w:tab w:leader="none" w:pos="18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Election to Receive Fees in Common Stock</w:t>
      </w:r>
    </w:p>
    <w:p>
      <w:pPr>
        <w:spacing w:after="0" w:line="96" w:lineRule="exact"/>
        <w:rPr>
          <w:rFonts w:ascii="Arial" w:cs="Arial" w:eastAsia="Arial" w:hAnsi="Arial"/>
          <w:sz w:val="18"/>
          <w:szCs w:val="18"/>
          <w:b w:val="1"/>
          <w:bCs w:val="1"/>
          <w:color w:val="auto"/>
        </w:rPr>
      </w:pPr>
    </w:p>
    <w:p>
      <w:pPr>
        <w:ind w:right="60" w:firstLine="464"/>
        <w:spacing w:after="0" w:line="290" w:lineRule="auto"/>
        <w:tabs>
          <w:tab w:leader="none" w:pos="695" w:val="left"/>
        </w:tabs>
        <w:numPr>
          <w:ilvl w:val="1"/>
          <w:numId w:val="192"/>
        </w:numPr>
        <w:rPr>
          <w:rFonts w:ascii="Arial" w:cs="Arial" w:eastAsia="Arial" w:hAnsi="Arial"/>
          <w:sz w:val="16"/>
          <w:szCs w:val="16"/>
          <w:color w:val="auto"/>
        </w:rPr>
      </w:pPr>
      <w:r>
        <w:rPr>
          <w:rFonts w:ascii="Arial" w:cs="Arial" w:eastAsia="Arial" w:hAnsi="Arial"/>
          <w:sz w:val="16"/>
          <w:szCs w:val="16"/>
          <w:color w:val="auto"/>
        </w:rPr>
        <w:t>The Company generally pays certain fees, including, but not limited to, an annual retainer, committee membership fees and chairperson fees, to non-employee directors in cash. Each non-employee director shall have the right to elect, at any time, subject to the Company’s general policies with respect to “quiet periods” and investment elections during such quiet periods, to receive payment of all such fees in shares of Common Stock, and shall have the right, at any time, to reverse such an election, by filing with the Committee, or such person as the Committee shall designate, a Payment Election Form, as attached hereto as Exhibit A. Any election to receive fees in shares of Common Stock, or any reversal of such an election, will become effective for the next regularly scheduled quarterly payment after the date the Payment Election Form is filed with the Company, except that if the Payment Election Form is filed at the time a director is first elected to the Board, then such election shall be effective for the director’s first payment.</w:t>
      </w:r>
    </w:p>
    <w:p>
      <w:pPr>
        <w:spacing w:after="0" w:line="118" w:lineRule="exact"/>
        <w:rPr>
          <w:rFonts w:ascii="Arial" w:cs="Arial" w:eastAsia="Arial" w:hAnsi="Arial"/>
          <w:sz w:val="16"/>
          <w:szCs w:val="16"/>
          <w:color w:val="auto"/>
        </w:rPr>
      </w:pPr>
    </w:p>
    <w:p>
      <w:pPr>
        <w:ind w:right="80" w:firstLine="464"/>
        <w:spacing w:after="0" w:line="306" w:lineRule="auto"/>
        <w:tabs>
          <w:tab w:leader="none" w:pos="705" w:val="left"/>
        </w:tabs>
        <w:numPr>
          <w:ilvl w:val="1"/>
          <w:numId w:val="192"/>
        </w:numPr>
        <w:rPr>
          <w:rFonts w:ascii="Arial" w:cs="Arial" w:eastAsia="Arial" w:hAnsi="Arial"/>
          <w:sz w:val="16"/>
          <w:szCs w:val="16"/>
          <w:color w:val="auto"/>
        </w:rPr>
      </w:pPr>
      <w:r>
        <w:rPr>
          <w:rFonts w:ascii="Arial" w:cs="Arial" w:eastAsia="Arial" w:hAnsi="Arial"/>
          <w:sz w:val="16"/>
          <w:szCs w:val="16"/>
          <w:color w:val="auto"/>
        </w:rPr>
        <w:t>If an election is made pursuant to Section 4(a) of the Program then, after the election becomes effective, the Company shall pay any amounts due to the non-employee director that are subject to the election in whole shares of Common Stock, except that the value of any fractional share shall be paid in cash. The number of shares of Common Stock to be issued to the non-employee director shall be equal to a fraction, the numerator of which is the amount to be</w:t>
      </w:r>
    </w:p>
    <w:p>
      <w:pPr>
        <w:sectPr>
          <w:pgSz w:w="11900" w:h="16838" w:orient="portrait"/>
          <w:cols w:equalWidth="0" w:num="1">
            <w:col w:w="11420"/>
          </w:cols>
          <w:pgMar w:left="240" w:top="125" w:right="239" w:bottom="1440" w:gutter="0" w:footer="0" w:header="0"/>
        </w:sectPr>
      </w:pPr>
    </w:p>
    <w:bookmarkStart w:id="184" w:name="page185"/>
    <w:bookmarkEnd w:id="184"/>
    <w:p>
      <w:pPr>
        <w:ind w:right="44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paid to the non-employee director and the denominator of which is the closing price of the Common Stock on the New York Stock Exchange (or such other national exchange on which the stock is listed) on the first day of trading at the beginning of the quarter in which the payment is scheduled to be made. To eliminate any fractional shares, to the extent the fraction is not equal to a whole number, it shall be rounded down to the next whole number, which shall be subtracted from the amount to be paid to the non-employee director and the difference shall be paid to the non-employee director in cash on an annual basis.</w:t>
      </w:r>
    </w:p>
    <w:p>
      <w:pPr>
        <w:spacing w:after="0" w:line="173" w:lineRule="exact"/>
        <w:rPr>
          <w:sz w:val="20"/>
          <w:szCs w:val="20"/>
          <w:color w:val="auto"/>
        </w:rPr>
      </w:pPr>
    </w:p>
    <w:p>
      <w:pPr>
        <w:ind w:left="180" w:hanging="172"/>
        <w:spacing w:after="0"/>
        <w:tabs>
          <w:tab w:leader="none" w:pos="18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and Conditions</w:t>
      </w:r>
    </w:p>
    <w:p>
      <w:pPr>
        <w:spacing w:after="0" w:line="96" w:lineRule="exact"/>
        <w:rPr>
          <w:rFonts w:ascii="Arial" w:cs="Arial" w:eastAsia="Arial" w:hAnsi="Arial"/>
          <w:sz w:val="18"/>
          <w:szCs w:val="18"/>
          <w:b w:val="1"/>
          <w:bCs w:val="1"/>
          <w:color w:val="auto"/>
        </w:rPr>
      </w:pPr>
    </w:p>
    <w:p>
      <w:pPr>
        <w:ind w:right="20" w:firstLine="464"/>
        <w:spacing w:after="0" w:line="259" w:lineRule="auto"/>
        <w:tabs>
          <w:tab w:leader="none" w:pos="695"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shares of Common Stock issued to non-employee directors under the Program may consist, in whole or in part, of authorized but unissued shares or shares held in the Company’s treasury. Shares issued under the Program shall be, and hereby are deemed to be, granted pursuant to the LTIP or any other equity compensation plan subsequently adopted by the Company.</w:t>
      </w:r>
    </w:p>
    <w:p>
      <w:pPr>
        <w:spacing w:after="0" w:line="140" w:lineRule="exact"/>
        <w:rPr>
          <w:rFonts w:ascii="Arial" w:cs="Arial" w:eastAsia="Arial" w:hAnsi="Arial"/>
          <w:sz w:val="18"/>
          <w:szCs w:val="18"/>
          <w:color w:val="auto"/>
        </w:rPr>
      </w:pPr>
    </w:p>
    <w:p>
      <w:pPr>
        <w:ind w:firstLine="464"/>
        <w:spacing w:after="0" w:line="291" w:lineRule="auto"/>
        <w:tabs>
          <w:tab w:leader="none" w:pos="705" w:val="left"/>
        </w:tabs>
        <w:numPr>
          <w:ilvl w:val="1"/>
          <w:numId w:val="193"/>
        </w:numPr>
        <w:rPr>
          <w:rFonts w:ascii="Arial" w:cs="Arial" w:eastAsia="Arial" w:hAnsi="Arial"/>
          <w:sz w:val="16"/>
          <w:szCs w:val="16"/>
          <w:color w:val="auto"/>
        </w:rPr>
      </w:pPr>
      <w:r>
        <w:rPr>
          <w:rFonts w:ascii="Arial" w:cs="Arial" w:eastAsia="Arial" w:hAnsi="Arial"/>
          <w:sz w:val="16"/>
          <w:szCs w:val="16"/>
          <w:color w:val="auto"/>
        </w:rPr>
        <w:t>Prior to each issuance to a non-employee director of shares of Common Stock pursuant to the Program, such non-employee director must make representations satisfactory to the Committee to the effect that such shares are to be held for investment purposes and not with a view to or for resale or distribution except in compliance with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 must give a written undertaking to the Company in form and substance satisfactory to the Committee that he or she will not publicly offer or sell or otherwise distribute such shares other than (i) in the manner and to the extent permitted by Rule 144 promulgated by the Securities and Exchange Commission under the Securities Act, (ii) pursuant to any other exemption from the registration provisions of the Securities Act or (iii) pursuant to an effective registration statement thereunder.</w:t>
      </w:r>
    </w:p>
    <w:p>
      <w:pPr>
        <w:spacing w:after="0" w:line="120" w:lineRule="exact"/>
        <w:rPr>
          <w:rFonts w:ascii="Arial" w:cs="Arial" w:eastAsia="Arial" w:hAnsi="Arial"/>
          <w:sz w:val="16"/>
          <w:szCs w:val="16"/>
          <w:color w:val="auto"/>
        </w:rPr>
      </w:pPr>
    </w:p>
    <w:p>
      <w:pPr>
        <w:ind w:right="260" w:firstLine="464"/>
        <w:spacing w:after="0" w:line="259" w:lineRule="auto"/>
        <w:tabs>
          <w:tab w:leader="none" w:pos="695" w:val="left"/>
        </w:tabs>
        <w:numPr>
          <w:ilvl w:val="1"/>
          <w:numId w:val="193"/>
        </w:numPr>
        <w:rPr>
          <w:rFonts w:ascii="Arial" w:cs="Arial" w:eastAsia="Arial" w:hAnsi="Arial"/>
          <w:sz w:val="18"/>
          <w:szCs w:val="18"/>
          <w:color w:val="auto"/>
        </w:rPr>
      </w:pPr>
      <w:r>
        <w:rPr>
          <w:rFonts w:ascii="Arial" w:cs="Arial" w:eastAsia="Arial" w:hAnsi="Arial"/>
          <w:sz w:val="18"/>
          <w:szCs w:val="18"/>
          <w:color w:val="auto"/>
        </w:rPr>
        <w:t>Nothing contained herein shall be deemed to create the right in any non-employee director to remain a member of the Board, to be nominated for reelection or to be reelected as such or, after ceasing to be such a member, to receive any shares of Common Stock under the Program to which he or she is not already entitled with respect to any year.</w:t>
      </w:r>
    </w:p>
    <w:p>
      <w:pPr>
        <w:spacing w:after="0" w:line="215" w:lineRule="exact"/>
        <w:rPr>
          <w:rFonts w:ascii="Arial" w:cs="Arial" w:eastAsia="Arial" w:hAnsi="Arial"/>
          <w:sz w:val="18"/>
          <w:szCs w:val="18"/>
          <w:color w:val="auto"/>
        </w:rPr>
      </w:pPr>
    </w:p>
    <w:p>
      <w:pPr>
        <w:ind w:left="180" w:hanging="172"/>
        <w:spacing w:after="0"/>
        <w:tabs>
          <w:tab w:leader="none" w:pos="18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Stock Adjustments</w:t>
      </w:r>
    </w:p>
    <w:p>
      <w:pPr>
        <w:spacing w:after="0" w:line="96"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In the event of any merger, consolidation, stock or other non-cash dividend, extraordinary cash dividend, split-up, spin-off, combination or exchange of shares, reorganization or recapitalization or change in capitalization, or any other similar corporate event, the Committee may make such adjustments in the number and kind of shares that shall be issued under the Program, as the Committee shall deem appropriate in the circumstances. The determination by the Committee as to the terms of any of the foregoing adjustments shall be conclusive and binding.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Amendment and Termination</w:t>
      </w:r>
    </w:p>
    <w:p>
      <w:pPr>
        <w:spacing w:after="0" w:line="96"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The Board shall have the power to amend or terminate the Program at any time, subject to stockholder approval requirements under applicable laws; provided, however, that, to be effective, any amendment of the Program shall comply with the requirements of the rules and regulations promulgated under Section 16(b) of the Securities Exchange Act of 1934, as amended, to the extent necessary so that the receipt of shares of Common Stock by a non-employee director under the Program shall be exempt from such Section 16(b).</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85" w:name="page186"/>
    <w:bookmarkEnd w:id="185"/>
    <w:p>
      <w:pPr>
        <w:ind w:left="180" w:hanging="172"/>
        <w:spacing w:after="0"/>
        <w:tabs>
          <w:tab w:leader="none" w:pos="18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w:t>
      </w:r>
    </w:p>
    <w:p>
      <w:pPr>
        <w:spacing w:after="0" w:line="96" w:lineRule="exact"/>
        <w:rPr>
          <w:rFonts w:ascii="Arial" w:cs="Arial" w:eastAsia="Arial" w:hAnsi="Arial"/>
          <w:sz w:val="18"/>
          <w:szCs w:val="18"/>
          <w:b w:val="1"/>
          <w:bCs w:val="1"/>
          <w:color w:val="auto"/>
        </w:rPr>
      </w:pPr>
    </w:p>
    <w:p>
      <w:pPr>
        <w:ind w:right="40" w:firstLine="464"/>
        <w:spacing w:after="0" w:line="289" w:lineRule="auto"/>
        <w:tabs>
          <w:tab w:leader="none" w:pos="695" w:val="left"/>
        </w:tabs>
        <w:numPr>
          <w:ilvl w:val="1"/>
          <w:numId w:val="194"/>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Each person who is or has been a member of the Board will be indemnified and held harmless by the Company against and from any loss, cost, liability, or expense that may be imposed upon or reasonably incurred by that person in connection with or resulting from any claim, action, suit, or proceeding to which that person may be a party or in which that person may be involved by reason of any action taken or failure to act under the Program and against and from any and all amounts paid by that person in a settlement approved by the Company, or paid by that person in satisfaction of any judgment in any such action, suit, or proceeding against that person, provided he or she gives the Company an opportunity, at its own expense, to handle and defend the action, suit or proceeding before that person undertakes to handle and defend it. The foregoing right of indemnification will not be exclusive of any other rights of indemnification to which an individual may be otherwise entitled, or any power that the Company may have to indemnify him or her or hold him or her harmless, to the fullest extent permitted under Delaware law.</w:t>
      </w:r>
    </w:p>
    <w:p>
      <w:pPr>
        <w:spacing w:after="0" w:line="118" w:lineRule="exact"/>
        <w:rPr>
          <w:rFonts w:ascii="Arial" w:cs="Arial" w:eastAsia="Arial" w:hAnsi="Arial"/>
          <w:sz w:val="16"/>
          <w:szCs w:val="16"/>
          <w:color w:val="auto"/>
        </w:rPr>
      </w:pPr>
    </w:p>
    <w:p>
      <w:pPr>
        <w:ind w:right="260" w:firstLine="464"/>
        <w:spacing w:after="0" w:line="268" w:lineRule="auto"/>
        <w:tabs>
          <w:tab w:leader="none" w:pos="705" w:val="left"/>
        </w:tabs>
        <w:numPr>
          <w:ilvl w:val="1"/>
          <w:numId w:val="194"/>
        </w:numPr>
        <w:rPr>
          <w:rFonts w:ascii="Arial" w:cs="Arial" w:eastAsia="Arial" w:hAnsi="Arial"/>
          <w:sz w:val="18"/>
          <w:szCs w:val="18"/>
          <w:color w:val="auto"/>
        </w:rPr>
      </w:pPr>
      <w:r>
        <w:rPr>
          <w:rFonts w:ascii="Arial" w:cs="Arial" w:eastAsia="Arial" w:hAnsi="Arial"/>
          <w:sz w:val="18"/>
          <w:szCs w:val="18"/>
          <w:u w:val="single" w:color="auto"/>
          <w:color w:val="auto"/>
        </w:rPr>
        <w:t>Gender and Number</w:t>
      </w:r>
      <w:r>
        <w:rPr>
          <w:rFonts w:ascii="Arial" w:cs="Arial" w:eastAsia="Arial" w:hAnsi="Arial"/>
          <w:sz w:val="18"/>
          <w:szCs w:val="18"/>
          <w:color w:val="auto"/>
        </w:rPr>
        <w:t>. Except where otherwise indicated by the context, any masculine term used herein will also include the feminine; the plural will include the singular and the singular will include the plural.</w:t>
      </w:r>
    </w:p>
    <w:p>
      <w:pPr>
        <w:spacing w:after="0" w:line="131" w:lineRule="exact"/>
        <w:rPr>
          <w:rFonts w:ascii="Arial" w:cs="Arial" w:eastAsia="Arial" w:hAnsi="Arial"/>
          <w:sz w:val="18"/>
          <w:szCs w:val="18"/>
          <w:color w:val="auto"/>
        </w:rPr>
      </w:pPr>
    </w:p>
    <w:p>
      <w:pPr>
        <w:ind w:right="60" w:firstLine="464"/>
        <w:spacing w:after="0" w:line="268" w:lineRule="auto"/>
        <w:tabs>
          <w:tab w:leader="none" w:pos="695" w:val="left"/>
        </w:tabs>
        <w:numPr>
          <w:ilvl w:val="1"/>
          <w:numId w:val="19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Program is held illegal or invalid for any reason, the illegality or invalidity will not affect the remaining parts of the Program, and the Program will be construed and enforced as if the illegal or invalid provision had not been included.</w:t>
      </w:r>
    </w:p>
    <w:p>
      <w:pPr>
        <w:spacing w:after="0" w:line="131" w:lineRule="exact"/>
        <w:rPr>
          <w:rFonts w:ascii="Arial" w:cs="Arial" w:eastAsia="Arial" w:hAnsi="Arial"/>
          <w:sz w:val="18"/>
          <w:szCs w:val="18"/>
          <w:color w:val="auto"/>
        </w:rPr>
      </w:pPr>
    </w:p>
    <w:p>
      <w:pPr>
        <w:ind w:right="180" w:firstLine="464"/>
        <w:spacing w:after="0" w:line="268" w:lineRule="auto"/>
        <w:tabs>
          <w:tab w:leader="none" w:pos="705" w:val="left"/>
        </w:tabs>
        <w:numPr>
          <w:ilvl w:val="1"/>
          <w:numId w:val="194"/>
        </w:numPr>
        <w:rPr>
          <w:rFonts w:ascii="Arial" w:cs="Arial" w:eastAsia="Arial" w:hAnsi="Arial"/>
          <w:sz w:val="18"/>
          <w:szCs w:val="18"/>
          <w:color w:val="auto"/>
        </w:rPr>
      </w:pPr>
      <w:r>
        <w:rPr>
          <w:rFonts w:ascii="Arial" w:cs="Arial" w:eastAsia="Arial" w:hAnsi="Arial"/>
          <w:sz w:val="18"/>
          <w:szCs w:val="18"/>
          <w:u w:val="single" w:color="auto"/>
          <w:color w:val="auto"/>
        </w:rPr>
        <w:t>Requirements of Law</w:t>
      </w:r>
      <w:r>
        <w:rPr>
          <w:rFonts w:ascii="Arial" w:cs="Arial" w:eastAsia="Arial" w:hAnsi="Arial"/>
          <w:sz w:val="18"/>
          <w:szCs w:val="18"/>
          <w:color w:val="auto"/>
        </w:rPr>
        <w:t>. The issuance of payments under the Program will be subject to all applicable laws, rules, and regulations, and to any approvals required by any governmental agencies or national securities exchanges.</w:t>
      </w:r>
    </w:p>
    <w:p>
      <w:pPr>
        <w:spacing w:after="0" w:line="131" w:lineRule="exact"/>
        <w:rPr>
          <w:rFonts w:ascii="Arial" w:cs="Arial" w:eastAsia="Arial" w:hAnsi="Arial"/>
          <w:sz w:val="18"/>
          <w:szCs w:val="18"/>
          <w:color w:val="auto"/>
        </w:rPr>
      </w:pPr>
    </w:p>
    <w:p>
      <w:pPr>
        <w:ind w:firstLine="464"/>
        <w:spacing w:after="0" w:line="259" w:lineRule="auto"/>
        <w:tabs>
          <w:tab w:leader="none" w:pos="695" w:val="left"/>
        </w:tabs>
        <w:numPr>
          <w:ilvl w:val="1"/>
          <w:numId w:val="194"/>
        </w:numPr>
        <w:rPr>
          <w:rFonts w:ascii="Arial" w:cs="Arial" w:eastAsia="Arial" w:hAnsi="Arial"/>
          <w:sz w:val="18"/>
          <w:szCs w:val="18"/>
          <w:color w:val="auto"/>
        </w:rPr>
      </w:pPr>
      <w:r>
        <w:rPr>
          <w:rFonts w:ascii="Arial" w:cs="Arial" w:eastAsia="Arial" w:hAnsi="Arial"/>
          <w:sz w:val="18"/>
          <w:szCs w:val="18"/>
          <w:u w:val="single" w:color="auto"/>
          <w:color w:val="auto"/>
        </w:rPr>
        <w:t>Unfunded Status of the Program</w:t>
      </w:r>
      <w:r>
        <w:rPr>
          <w:rFonts w:ascii="Arial" w:cs="Arial" w:eastAsia="Arial" w:hAnsi="Arial"/>
          <w:sz w:val="18"/>
          <w:szCs w:val="18"/>
          <w:color w:val="auto"/>
        </w:rPr>
        <w:t>. The Program is intended to constitute an “unfunded” plan. With respect to any payments not yet made to a non-employee director by the Company, nothing contained herein will give any rights to a non-employee director that are greater than those of a general creditor of the Company.</w:t>
      </w:r>
    </w:p>
    <w:p>
      <w:pPr>
        <w:spacing w:after="0" w:line="140" w:lineRule="exact"/>
        <w:rPr>
          <w:rFonts w:ascii="Arial" w:cs="Arial" w:eastAsia="Arial" w:hAnsi="Arial"/>
          <w:sz w:val="18"/>
          <w:szCs w:val="18"/>
          <w:color w:val="auto"/>
        </w:rPr>
      </w:pPr>
    </w:p>
    <w:p>
      <w:pPr>
        <w:ind w:right="60" w:firstLine="464"/>
        <w:spacing w:after="0" w:line="268" w:lineRule="auto"/>
        <w:tabs>
          <w:tab w:leader="none" w:pos="676" w:val="left"/>
        </w:tabs>
        <w:numPr>
          <w:ilvl w:val="1"/>
          <w:numId w:val="19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Program will be construed in accordance with and governed by the laws of the State of Delaware, determined without regard to its conflict of law rules.</w:t>
      </w:r>
    </w:p>
    <w:p>
      <w:pPr>
        <w:spacing w:after="0" w:line="206" w:lineRule="exact"/>
        <w:rPr>
          <w:rFonts w:ascii="Arial" w:cs="Arial" w:eastAsia="Arial" w:hAnsi="Arial"/>
          <w:sz w:val="18"/>
          <w:szCs w:val="18"/>
          <w:color w:val="auto"/>
        </w:rPr>
      </w:pPr>
    </w:p>
    <w:p>
      <w:pPr>
        <w:ind w:left="180" w:hanging="172"/>
        <w:spacing w:after="0"/>
        <w:tabs>
          <w:tab w:leader="none" w:pos="18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Program shall be effective as of January 1,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86" w:name="page187"/>
    <w:bookmarkEnd w:id="186"/>
    <w:tbl>
      <w:tblPr>
        <w:tblLayout w:type="fixed"/>
        <w:tblInd w:w="46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60" w:type="dxa"/>
            <w:vAlign w:val="bottom"/>
            <w:gridSpan w:val="3"/>
          </w:tcPr>
          <w:p>
            <w:pPr>
              <w:jc w:val="center"/>
              <w:ind w:right="1580"/>
              <w:spacing w:after="0"/>
              <w:rPr>
                <w:sz w:val="20"/>
                <w:szCs w:val="20"/>
                <w:color w:val="auto"/>
              </w:rPr>
            </w:pPr>
            <w:r>
              <w:rPr>
                <w:rFonts w:ascii="Arial" w:cs="Arial" w:eastAsia="Arial" w:hAnsi="Arial"/>
                <w:sz w:val="18"/>
                <w:szCs w:val="18"/>
                <w:b w:val="1"/>
                <w:bCs w:val="1"/>
                <w:color w:val="auto"/>
                <w:w w:val="97"/>
              </w:rPr>
              <w:t>FORTUNE BRANDS HOME &amp; SECURITY, INC.</w:t>
            </w:r>
          </w:p>
        </w:tc>
      </w:tr>
      <w:tr>
        <w:trPr>
          <w:trHeight w:val="297"/>
        </w:trPr>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60" w:type="dxa"/>
            <w:vAlign w:val="bottom"/>
            <w:gridSpan w:val="3"/>
          </w:tcPr>
          <w:p>
            <w:pPr>
              <w:jc w:val="center"/>
              <w:ind w:right="1580"/>
              <w:spacing w:after="0"/>
              <w:rPr>
                <w:sz w:val="20"/>
                <w:szCs w:val="20"/>
                <w:color w:val="auto"/>
              </w:rPr>
            </w:pPr>
            <w:r>
              <w:rPr>
                <w:rFonts w:ascii="Arial" w:cs="Arial" w:eastAsia="Arial" w:hAnsi="Arial"/>
                <w:sz w:val="18"/>
                <w:szCs w:val="18"/>
                <w:b w:val="1"/>
                <w:bCs w:val="1"/>
                <w:color w:val="auto"/>
                <w:w w:val="99"/>
              </w:rPr>
              <w:t>NON-EMPLOYEE DIRECTOR STOCK ELECTION PROGRAM</w:t>
            </w:r>
          </w:p>
        </w:tc>
      </w:tr>
      <w:tr>
        <w:trPr>
          <w:trHeight w:val="259"/>
        </w:trPr>
        <w:tc>
          <w:tcPr>
            <w:tcW w:w="7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6360" w:type="dxa"/>
            <w:vAlign w:val="bottom"/>
            <w:gridSpan w:val="2"/>
          </w:tcPr>
          <w:p>
            <w:pPr>
              <w:jc w:val="center"/>
              <w:ind w:right="4100"/>
              <w:spacing w:after="0"/>
              <w:rPr>
                <w:sz w:val="20"/>
                <w:szCs w:val="20"/>
                <w:color w:val="auto"/>
              </w:rPr>
            </w:pPr>
            <w:r>
              <w:rPr>
                <w:rFonts w:ascii="Arial" w:cs="Arial" w:eastAsia="Arial" w:hAnsi="Arial"/>
                <w:sz w:val="18"/>
                <w:szCs w:val="18"/>
                <w:color w:val="auto"/>
                <w:w w:val="94"/>
              </w:rPr>
              <w:t>PAYMENT ELECTION FORM</w:t>
            </w:r>
          </w:p>
        </w:tc>
      </w:tr>
      <w:tr>
        <w:trPr>
          <w:trHeight w:val="20"/>
        </w:trPr>
        <w:tc>
          <w:tcPr>
            <w:tcW w:w="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397"/>
        </w:trPr>
        <w:tc>
          <w:tcPr>
            <w:tcW w:w="740" w:type="dxa"/>
            <w:vAlign w:val="bottom"/>
          </w:tcPr>
          <w:p>
            <w:pPr>
              <w:spacing w:after="0"/>
              <w:rPr>
                <w:sz w:val="20"/>
                <w:szCs w:val="20"/>
                <w:color w:val="auto"/>
              </w:rPr>
            </w:pPr>
            <w:r>
              <w:rPr>
                <w:rFonts w:ascii="Arial" w:cs="Arial" w:eastAsia="Arial" w:hAnsi="Arial"/>
                <w:sz w:val="18"/>
                <w:szCs w:val="18"/>
                <w:color w:val="auto"/>
              </w:rPr>
              <w:t>As of</w:t>
            </w: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 20</w:t>
            </w:r>
          </w:p>
        </w:tc>
        <w:tc>
          <w:tcPr>
            <w:tcW w:w="8860" w:type="dxa"/>
            <w:vAlign w:val="bottom"/>
            <w:gridSpan w:val="3"/>
          </w:tcPr>
          <w:p>
            <w:pPr>
              <w:ind w:left="260"/>
              <w:spacing w:after="0"/>
              <w:rPr>
                <w:sz w:val="20"/>
                <w:szCs w:val="20"/>
                <w:color w:val="auto"/>
              </w:rPr>
            </w:pPr>
            <w:r>
              <w:rPr>
                <w:rFonts w:ascii="Arial" w:cs="Arial" w:eastAsia="Arial" w:hAnsi="Arial"/>
                <w:sz w:val="18"/>
                <w:szCs w:val="18"/>
                <w:color w:val="auto"/>
                <w:w w:val="88"/>
              </w:rPr>
              <w:t>, the individual whose name appears below, who is a non-employee director of Fortune Brands Home &amp; Security, Inc. (the</w:t>
            </w:r>
          </w:p>
        </w:tc>
      </w:tr>
    </w:tbl>
    <w:p>
      <w:pPr>
        <w:ind w:right="2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Company</w:t>
      </w:r>
      <w:r>
        <w:rPr>
          <w:rFonts w:ascii="Arial" w:cs="Arial" w:eastAsia="Arial" w:hAnsi="Arial"/>
          <w:sz w:val="18"/>
          <w:szCs w:val="18"/>
          <w:color w:val="auto"/>
        </w:rPr>
        <w:t>”), executes this election (the “</w:t>
      </w:r>
      <w:r>
        <w:rPr>
          <w:rFonts w:ascii="Arial" w:cs="Arial" w:eastAsia="Arial" w:hAnsi="Arial"/>
          <w:sz w:val="18"/>
          <w:szCs w:val="18"/>
          <w:u w:val="single" w:color="auto"/>
          <w:color w:val="auto"/>
        </w:rPr>
        <w:t>Payment Election Form</w:t>
      </w:r>
      <w:r>
        <w:rPr>
          <w:rFonts w:ascii="Arial" w:cs="Arial" w:eastAsia="Arial" w:hAnsi="Arial"/>
          <w:sz w:val="18"/>
          <w:szCs w:val="18"/>
          <w:color w:val="auto"/>
        </w:rPr>
        <w:t>”) with respect to cash retainers payable to him or her described in section 4(a) of the Fortune Brands Home &amp; Security, Inc. Non-Employee Director Stock Election Program (the “</w:t>
      </w:r>
      <w:r>
        <w:rPr>
          <w:rFonts w:ascii="Arial" w:cs="Arial" w:eastAsia="Arial" w:hAnsi="Arial"/>
          <w:sz w:val="18"/>
          <w:szCs w:val="18"/>
          <w:u w:val="single" w:color="auto"/>
          <w:color w:val="auto"/>
        </w:rPr>
        <w:t>Program</w:t>
      </w:r>
      <w:r>
        <w:rPr>
          <w:rFonts w:ascii="Arial" w:cs="Arial" w:eastAsia="Arial" w:hAnsi="Arial"/>
          <w:sz w:val="18"/>
          <w:szCs w:val="18"/>
          <w:color w:val="auto"/>
        </w:rPr>
        <w:t>”). Any term capitalized herein but not defined will have the meaning set forth in the Program.</w:t>
      </w:r>
    </w:p>
    <w:p>
      <w:pPr>
        <w:spacing w:after="0" w:line="144"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In accordance with the terms of the Program and to the extent permitted by the Program, the non-employee director hereby elects to receive all cash retainers described in section 4(a) of the Program payable to him or her, in their entirety, in the following form:</w:t>
      </w:r>
    </w:p>
    <w:p>
      <w:pPr>
        <w:spacing w:after="0" w:line="13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Common Stock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w:t>
      </w:r>
    </w:p>
    <w:p>
      <w:pPr>
        <w:spacing w:after="0" w:line="9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Cash</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election will become effective for the next regularly scheduled quarterly payment date after the date this Payment Election Form is filed with the Company. Unless the Payment Election Form is being filed at the time of my election to the Board of Directors, then such election will become effective for the first payment made to me. This Payment Election Form will, upon becoming effective, supersede any prior Payment Election Form filed by the non-employee director. If no Payment Election Form is filed by the non-employee director, or if a Payment Election Form is internally inconsistent or conflicts with a concurrent Payment Election Form, payment under the Plan will be made to the non-employee director in cash.</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non-employee director has duly executed this Payment Election Form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289877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Non-Employee Director’s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289877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Non-Employee Director’s Name (please print)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ON CHANGE IN ACCOUNTING PRINCIPLES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Fortune Brands Home &amp; Security,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520 Lake Cook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Deerfield, IL 60015-5611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are providing this letter to you for inclusion as an exhibit to your Form 10-K filing pursuant to Item 601 of Regulation S-K.</w:t>
      </w:r>
    </w:p>
    <w:p>
      <w:pPr>
        <w:spacing w:after="0" w:line="17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We have audited the consolidated financial statements included in the Company’s Annual Report on Form 10-K for the year ended December 31, 2011 and issued our report thereon dated February 22, 2012. As discussed further in Note 2 to the consolidated financial statements, the Company changed its method of accounting for defined benefit costs. It should be understood that the preferability of one acceptable method of accounting over another for defined benefit costs has not been addressed in any authoritative accounting literature, and in expressing our concurrence below we have relied on management’s determination that this change in accounting principle is preferable. Based on our reading of management’s stated reasons and justification for this change in accounting principle in the Form 10-K, and our discussions with management as to their judgment about the relevant business planning factors relating to the change, we concur with management that such change represents, in the Company’s circumstances, the adoption of a preferable accounting principle in conformity with Accounting Standards Codification 250, </w:t>
      </w:r>
      <w:r>
        <w:rPr>
          <w:rFonts w:ascii="Arial" w:cs="Arial" w:eastAsia="Arial" w:hAnsi="Arial"/>
          <w:sz w:val="16"/>
          <w:szCs w:val="16"/>
          <w:i w:val="1"/>
          <w:iCs w:val="1"/>
          <w:color w:val="auto"/>
        </w:rPr>
        <w:t>Accounting Changes and Error Corrections</w:t>
      </w:r>
      <w:r>
        <w:rPr>
          <w:rFonts w:ascii="Arial" w:cs="Arial" w:eastAsia="Arial" w:hAnsi="Arial"/>
          <w:sz w:val="16"/>
          <w:szCs w:val="16"/>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ectPr>
          <w:pgSz w:w="11900" w:h="16838" w:orient="portrait"/>
          <w:cols w:equalWidth="0" w:num="1">
            <w:col w:w="11420"/>
          </w:cols>
          <w:pgMar w:left="240" w:top="125"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21</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Subsidiaries of the Company</w:t>
      </w:r>
    </w:p>
    <w:p>
      <w:pPr>
        <w:spacing w:after="0" w:line="90"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The following is a list of subsidiaries as of the date hereof and the state or other jurisdiction of incorporation of each. Except as indicated below, each subsidiary does business under its own name. The names of certain subsidiaries are omitted. Such subsidiaries would not, if considered in the aggregate as a single subsidiary, constitute a significant subsidiary within the meaning of Item 601(b)(21)(ii) of Regulation S-K.</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gridSpan w:val="2"/>
          </w:tcPr>
          <w:p>
            <w:pPr>
              <w:spacing w:after="0"/>
              <w:rPr>
                <w:sz w:val="20"/>
                <w:szCs w:val="20"/>
                <w:color w:val="auto"/>
              </w:rPr>
            </w:pPr>
            <w:r>
              <w:rPr>
                <w:rFonts w:ascii="Arial" w:cs="Arial" w:eastAsia="Arial" w:hAnsi="Arial"/>
                <w:sz w:val="14"/>
                <w:szCs w:val="14"/>
                <w:color w:val="auto"/>
              </w:rPr>
              <w:t>Name of Company</w:t>
            </w:r>
          </w:p>
        </w:tc>
        <w:tc>
          <w:tcPr>
            <w:tcW w:w="960" w:type="dxa"/>
            <w:vAlign w:val="bottom"/>
            <w:gridSpan w:val="2"/>
          </w:tcPr>
          <w:p>
            <w:pPr>
              <w:spacing w:after="0"/>
              <w:rPr>
                <w:sz w:val="20"/>
                <w:szCs w:val="20"/>
                <w:color w:val="auto"/>
              </w:rPr>
            </w:pPr>
            <w:r>
              <w:rPr>
                <w:rFonts w:ascii="Arial" w:cs="Arial" w:eastAsia="Arial" w:hAnsi="Arial"/>
                <w:sz w:val="14"/>
                <w:szCs w:val="14"/>
                <w:color w:val="auto"/>
              </w:rPr>
              <w:t>Incorporation</w:t>
            </w:r>
          </w:p>
        </w:tc>
      </w:tr>
      <w:tr>
        <w:trPr>
          <w:trHeight w:val="201"/>
        </w:trPr>
        <w:tc>
          <w:tcPr>
            <w:tcW w:w="10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5"/>
              </w:rPr>
              <w:t>Fortune Brands</w:t>
            </w:r>
          </w:p>
        </w:tc>
        <w:tc>
          <w:tcPr>
            <w:tcW w:w="4980" w:type="dxa"/>
            <w:vAlign w:val="bottom"/>
          </w:tcPr>
          <w:p>
            <w:pPr>
              <w:ind w:left="60"/>
              <w:spacing w:after="0" w:line="201" w:lineRule="exact"/>
              <w:rPr>
                <w:sz w:val="20"/>
                <w:szCs w:val="20"/>
                <w:color w:val="auto"/>
              </w:rPr>
            </w:pPr>
            <w:r>
              <w:rPr>
                <w:rFonts w:ascii="Arial" w:cs="Arial" w:eastAsia="Arial" w:hAnsi="Arial"/>
                <w:sz w:val="18"/>
                <w:szCs w:val="18"/>
                <w:color w:val="auto"/>
              </w:rPr>
              <w:t>Finance Canada Ltd.</w:t>
            </w:r>
          </w:p>
        </w:tc>
        <w:tc>
          <w:tcPr>
            <w:tcW w:w="7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Canada</w:t>
            </w:r>
          </w:p>
        </w:tc>
        <w:tc>
          <w:tcPr>
            <w:tcW w:w="200" w:type="dxa"/>
            <w:vAlign w:val="bottom"/>
          </w:tcPr>
          <w:p>
            <w:pPr>
              <w:spacing w:after="0"/>
              <w:rPr>
                <w:sz w:val="17"/>
                <w:szCs w:val="17"/>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Fortune Brands Storage &amp; Security LLC</w:t>
            </w:r>
          </w:p>
        </w:tc>
        <w:tc>
          <w:tcPr>
            <w:tcW w:w="9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Master Lock Company LLC</w:t>
            </w:r>
          </w:p>
        </w:tc>
        <w:tc>
          <w:tcPr>
            <w:tcW w:w="9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ALC Holding Company</w:t>
            </w:r>
          </w:p>
        </w:tc>
        <w:tc>
          <w:tcPr>
            <w:tcW w:w="9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American Lock Company</w:t>
            </w:r>
          </w:p>
        </w:tc>
        <w:tc>
          <w:tcPr>
            <w:tcW w:w="9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Master Hardware &amp; Manufacturing Company</w:t>
            </w:r>
          </w:p>
        </w:tc>
        <w:tc>
          <w:tcPr>
            <w:tcW w:w="960" w:type="dxa"/>
            <w:vAlign w:val="bottom"/>
            <w:gridSpan w:val="2"/>
          </w:tcPr>
          <w:p>
            <w:pPr>
              <w:spacing w:after="0"/>
              <w:rPr>
                <w:sz w:val="20"/>
                <w:szCs w:val="20"/>
                <w:color w:val="auto"/>
              </w:rPr>
            </w:pPr>
            <w:r>
              <w:rPr>
                <w:rFonts w:ascii="Arial" w:cs="Arial" w:eastAsia="Arial" w:hAnsi="Arial"/>
                <w:sz w:val="18"/>
                <w:szCs w:val="18"/>
                <w:color w:val="auto"/>
              </w:rPr>
              <w:t>Wisconsin</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Master Lock de Nogales, S.A. de C.V.</w:t>
            </w:r>
          </w:p>
        </w:tc>
        <w:tc>
          <w:tcPr>
            <w:tcW w:w="96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Master Lock Europe, S.A.S.</w:t>
            </w:r>
          </w:p>
        </w:tc>
        <w:tc>
          <w:tcPr>
            <w:tcW w:w="96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Waterloo Industries, Inc.</w:t>
            </w:r>
          </w:p>
        </w:tc>
        <w:tc>
          <w:tcPr>
            <w:tcW w:w="9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Waterloo de Nogales, S.A. de C.V.</w:t>
            </w:r>
          </w:p>
        </w:tc>
        <w:tc>
          <w:tcPr>
            <w:tcW w:w="96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MasterBrand Cabinets, Inc.</w:t>
            </w:r>
          </w:p>
        </w:tc>
        <w:tc>
          <w:tcPr>
            <w:tcW w:w="9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MasterBrand Industries Foreign Sales Corp.</w:t>
            </w:r>
          </w:p>
        </w:tc>
        <w:tc>
          <w:tcPr>
            <w:tcW w:w="960" w:type="dxa"/>
            <w:vAlign w:val="bottom"/>
            <w:gridSpan w:val="2"/>
          </w:tcPr>
          <w:p>
            <w:pPr>
              <w:spacing w:after="0"/>
              <w:rPr>
                <w:sz w:val="20"/>
                <w:szCs w:val="20"/>
                <w:color w:val="auto"/>
              </w:rPr>
            </w:pPr>
            <w:r>
              <w:rPr>
                <w:rFonts w:ascii="Arial" w:cs="Arial" w:eastAsia="Arial" w:hAnsi="Arial"/>
                <w:sz w:val="18"/>
                <w:szCs w:val="18"/>
                <w:color w:val="auto"/>
              </w:rPr>
              <w:t>Barbados</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KC/MBC Holdings Co.</w:t>
            </w:r>
          </w:p>
        </w:tc>
        <w:tc>
          <w:tcPr>
            <w:tcW w:w="9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KCMB Nova Scotia Corp.</w:t>
            </w:r>
          </w:p>
        </w:tc>
        <w:tc>
          <w:tcPr>
            <w:tcW w:w="96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KC Manitoba Ltd.</w:t>
            </w:r>
          </w:p>
        </w:tc>
        <w:tc>
          <w:tcPr>
            <w:tcW w:w="96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Kitchen Craft of Canada</w:t>
            </w:r>
          </w:p>
        </w:tc>
        <w:tc>
          <w:tcPr>
            <w:tcW w:w="96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MBC IP Company</w:t>
            </w:r>
          </w:p>
        </w:tc>
        <w:tc>
          <w:tcPr>
            <w:tcW w:w="9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NHB Industries Limited</w:t>
            </w:r>
          </w:p>
        </w:tc>
        <w:tc>
          <w:tcPr>
            <w:tcW w:w="96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Moen Incorporated</w:t>
            </w:r>
          </w:p>
        </w:tc>
        <w:tc>
          <w:tcPr>
            <w:tcW w:w="9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Omega IP Company</w:t>
            </w:r>
          </w:p>
        </w:tc>
        <w:tc>
          <w:tcPr>
            <w:tcW w:w="9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Moen China, Limited</w:t>
            </w:r>
          </w:p>
        </w:tc>
        <w:tc>
          <w:tcPr>
            <w:tcW w:w="96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Moen (Shanghai) Kitchen &amp; Bath Products Co., Ltd.</w:t>
            </w:r>
          </w:p>
        </w:tc>
        <w:tc>
          <w:tcPr>
            <w:tcW w:w="96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Moen Guangzhou Faucet Co., Ltd.</w:t>
            </w:r>
          </w:p>
        </w:tc>
        <w:tc>
          <w:tcPr>
            <w:tcW w:w="96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Moen, Inc.</w:t>
            </w:r>
          </w:p>
        </w:tc>
        <w:tc>
          <w:tcPr>
            <w:tcW w:w="96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Fortune Brands Windows, Inc.</w:t>
            </w:r>
          </w:p>
        </w:tc>
        <w:tc>
          <w:tcPr>
            <w:tcW w:w="9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Simex, Inc.</w:t>
            </w:r>
          </w:p>
        </w:tc>
        <w:tc>
          <w:tcPr>
            <w:tcW w:w="960" w:type="dxa"/>
            <w:vAlign w:val="bottom"/>
            <w:gridSpan w:val="2"/>
          </w:tcPr>
          <w:p>
            <w:pPr>
              <w:spacing w:after="0"/>
              <w:rPr>
                <w:sz w:val="20"/>
                <w:szCs w:val="20"/>
                <w:color w:val="auto"/>
              </w:rPr>
            </w:pPr>
            <w:r>
              <w:rPr>
                <w:rFonts w:ascii="Arial" w:cs="Arial" w:eastAsia="Arial" w:hAnsi="Arial"/>
                <w:sz w:val="18"/>
                <w:szCs w:val="18"/>
                <w:color w:val="auto"/>
                <w:w w:val="88"/>
              </w:rPr>
              <w:t>West Virginia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Simonton Building Products, Inc.</w:t>
            </w:r>
          </w:p>
        </w:tc>
        <w:tc>
          <w:tcPr>
            <w:tcW w:w="960" w:type="dxa"/>
            <w:vAlign w:val="bottom"/>
            <w:gridSpan w:val="2"/>
          </w:tcPr>
          <w:p>
            <w:pPr>
              <w:spacing w:after="0"/>
              <w:rPr>
                <w:sz w:val="20"/>
                <w:szCs w:val="20"/>
                <w:color w:val="auto"/>
              </w:rPr>
            </w:pPr>
            <w:r>
              <w:rPr>
                <w:rFonts w:ascii="Arial" w:cs="Arial" w:eastAsia="Arial" w:hAnsi="Arial"/>
                <w:sz w:val="18"/>
                <w:szCs w:val="18"/>
                <w:color w:val="auto"/>
                <w:w w:val="88"/>
              </w:rPr>
              <w:t>West Virginia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Simonton Windows, Inc.</w:t>
            </w:r>
          </w:p>
        </w:tc>
        <w:tc>
          <w:tcPr>
            <w:tcW w:w="960" w:type="dxa"/>
            <w:vAlign w:val="bottom"/>
            <w:gridSpan w:val="2"/>
          </w:tcPr>
          <w:p>
            <w:pPr>
              <w:spacing w:after="0"/>
              <w:rPr>
                <w:sz w:val="20"/>
                <w:szCs w:val="20"/>
                <w:color w:val="auto"/>
              </w:rPr>
            </w:pPr>
            <w:r>
              <w:rPr>
                <w:rFonts w:ascii="Arial" w:cs="Arial" w:eastAsia="Arial" w:hAnsi="Arial"/>
                <w:sz w:val="18"/>
                <w:szCs w:val="18"/>
                <w:color w:val="auto"/>
                <w:w w:val="88"/>
              </w:rPr>
              <w:t>West Virginia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Therma-Tru Corp.</w:t>
            </w:r>
          </w:p>
        </w:tc>
        <w:tc>
          <w:tcPr>
            <w:tcW w:w="960" w:type="dxa"/>
            <w:vAlign w:val="bottom"/>
            <w:gridSpan w:val="2"/>
          </w:tcPr>
          <w:p>
            <w:pPr>
              <w:spacing w:after="0"/>
              <w:rPr>
                <w:sz w:val="20"/>
                <w:szCs w:val="20"/>
                <w:color w:val="auto"/>
              </w:rPr>
            </w:pPr>
            <w:r>
              <w:rPr>
                <w:rFonts w:ascii="Arial" w:cs="Arial" w:eastAsia="Arial" w:hAnsi="Arial"/>
                <w:sz w:val="18"/>
                <w:szCs w:val="18"/>
                <w:color w:val="auto"/>
              </w:rPr>
              <w:t>Ohio</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Fypon LLC</w:t>
            </w:r>
          </w:p>
        </w:tc>
        <w:tc>
          <w:tcPr>
            <w:tcW w:w="9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Fypon Chemical Industry (Yantai) Co., Ltd.</w:t>
            </w:r>
          </w:p>
        </w:tc>
        <w:tc>
          <w:tcPr>
            <w:tcW w:w="960" w:type="dxa"/>
            <w:vAlign w:val="bottom"/>
            <w:gridSpan w:val="2"/>
          </w:tcPr>
          <w:p>
            <w:pPr>
              <w:spacing w:after="0"/>
              <w:rPr>
                <w:sz w:val="20"/>
                <w:szCs w:val="20"/>
                <w:color w:val="auto"/>
              </w:rPr>
            </w:pPr>
            <w:r>
              <w:rPr>
                <w:rFonts w:ascii="Arial" w:cs="Arial" w:eastAsia="Arial" w:hAnsi="Arial"/>
                <w:sz w:val="18"/>
                <w:szCs w:val="18"/>
                <w:color w:val="auto"/>
              </w:rPr>
              <w:t>China</w:t>
            </w:r>
          </w:p>
        </w:tc>
      </w:tr>
    </w:tbl>
    <w:p>
      <w:pPr>
        <w:sectPr>
          <w:pgSz w:w="11900" w:h="16838" w:orient="portrait"/>
          <w:cols w:equalWidth="0" w:num="1">
            <w:col w:w="11420"/>
          </w:cols>
          <w:pgMar w:left="240" w:top="125"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23</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333-177164, 333-177163 and 333-177145) of Fortune Brands Home &amp; Security, Inc. of our report dated February 22, 2012 relating to the financial statements and financial statement schedule, which appears in this Form 10-K.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2012</w:t>
      </w:r>
    </w:p>
    <w:p>
      <w:pPr>
        <w:sectPr>
          <w:pgSz w:w="11900" w:h="16838" w:orient="portrait"/>
          <w:cols w:equalWidth="0" w:num="1">
            <w:col w:w="11420"/>
          </w:cols>
          <w:pgMar w:left="240" w:top="125"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24</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of the undersigned, acting in the capacity or capacities stated next to their respective names below, constitute and appoint CHRISTOPHER J. KLEIN and LAUREN S. TASHMA, and each of them severally, as his or her true and lawful attorney-in-fact and agent, with full power of substitution, to sign for and in the name of the undersigned in the capacities indicated below, the Annual Report on Form 10-K of Fortune Brands Home &amp; Security, Inc. for the fiscal year ended December 31, 2011,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may lawfully do or cause to be done by virtue hereof.</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Signature</w:t>
            </w:r>
          </w:p>
        </w:tc>
        <w:tc>
          <w:tcPr>
            <w:tcW w:w="15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Title</w:t>
            </w:r>
          </w:p>
        </w:tc>
        <w:tc>
          <w:tcPr>
            <w:tcW w:w="2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Date</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3660" w:type="dxa"/>
            <w:vAlign w:val="bottom"/>
            <w:gridSpan w:val="3"/>
          </w:tcPr>
          <w:p>
            <w:pPr>
              <w:spacing w:after="0"/>
              <w:rPr>
                <w:sz w:val="20"/>
                <w:szCs w:val="20"/>
                <w:color w:val="auto"/>
              </w:rPr>
            </w:pPr>
            <w:r>
              <w:rPr>
                <w:rFonts w:ascii="Arial" w:cs="Arial" w:eastAsia="Arial" w:hAnsi="Arial"/>
                <w:sz w:val="18"/>
                <w:szCs w:val="18"/>
                <w:color w:val="auto"/>
              </w:rPr>
              <w:t>/s/ Christopher J. Klein</w:t>
            </w:r>
          </w:p>
        </w:tc>
        <w:tc>
          <w:tcPr>
            <w:tcW w:w="5420" w:type="dxa"/>
            <w:vAlign w:val="bottom"/>
            <w:gridSpan w:val="3"/>
          </w:tcPr>
          <w:p>
            <w:pPr>
              <w:jc w:val="center"/>
              <w:ind w:left="972"/>
              <w:spacing w:after="0"/>
              <w:rPr>
                <w:sz w:val="20"/>
                <w:szCs w:val="20"/>
                <w:color w:val="auto"/>
              </w:rPr>
            </w:pPr>
            <w:r>
              <w:rPr>
                <w:rFonts w:ascii="Arial" w:cs="Arial" w:eastAsia="Arial" w:hAnsi="Arial"/>
                <w:sz w:val="18"/>
                <w:szCs w:val="18"/>
                <w:color w:val="auto"/>
                <w:w w:val="91"/>
              </w:rPr>
              <w:t>Chief Executive Officer</w:t>
            </w:r>
          </w:p>
        </w:tc>
        <w:tc>
          <w:tcPr>
            <w:tcW w:w="2340" w:type="dxa"/>
            <w:vAlign w:val="bottom"/>
            <w:gridSpan w:val="3"/>
          </w:tcPr>
          <w:p>
            <w:pPr>
              <w:jc w:val="center"/>
              <w:ind w:left="952"/>
              <w:spacing w:after="0"/>
              <w:rPr>
                <w:sz w:val="20"/>
                <w:szCs w:val="20"/>
                <w:color w:val="auto"/>
              </w:rPr>
            </w:pPr>
            <w:r>
              <w:rPr>
                <w:rFonts w:ascii="Arial" w:cs="Arial" w:eastAsia="Arial" w:hAnsi="Arial"/>
                <w:sz w:val="18"/>
                <w:szCs w:val="18"/>
                <w:color w:val="auto"/>
                <w:w w:val="88"/>
              </w:rPr>
              <w:t>February 21, 2012</w:t>
            </w:r>
          </w:p>
        </w:tc>
        <w:tc>
          <w:tcPr>
            <w:tcW w:w="0" w:type="dxa"/>
            <w:vAlign w:val="bottom"/>
          </w:tcPr>
          <w:p>
            <w:pPr>
              <w:spacing w:after="0"/>
              <w:rPr>
                <w:sz w:val="1"/>
                <w:szCs w:val="1"/>
                <w:color w:val="auto"/>
              </w:rPr>
            </w:pPr>
          </w:p>
        </w:tc>
      </w:tr>
      <w:tr>
        <w:trPr>
          <w:trHeight w:val="22"/>
        </w:trPr>
        <w:tc>
          <w:tcPr>
            <w:tcW w:w="3660" w:type="dxa"/>
            <w:vAlign w:val="bottom"/>
            <w:tcBorders>
              <w:bottom w:val="single" w:sz="8" w:color="auto"/>
            </w:tcBorders>
            <w:gridSpan w:val="3"/>
          </w:tcPr>
          <w:p>
            <w:pPr>
              <w:spacing w:after="0" w:line="20" w:lineRule="exact"/>
              <w:rPr>
                <w:sz w:val="1"/>
                <w:szCs w:val="1"/>
                <w:color w:val="auto"/>
              </w:rPr>
            </w:pPr>
          </w:p>
        </w:tc>
        <w:tc>
          <w:tcPr>
            <w:tcW w:w="5420" w:type="dxa"/>
            <w:vAlign w:val="bottom"/>
            <w:gridSpan w:val="3"/>
            <w:vMerge w:val="restart"/>
          </w:tcPr>
          <w:p>
            <w:pPr>
              <w:jc w:val="center"/>
              <w:ind w:left="972"/>
              <w:spacing w:after="0"/>
              <w:rPr>
                <w:sz w:val="20"/>
                <w:szCs w:val="20"/>
                <w:color w:val="auto"/>
              </w:rPr>
            </w:pPr>
            <w:r>
              <w:rPr>
                <w:rFonts w:ascii="Arial" w:cs="Arial" w:eastAsia="Arial" w:hAnsi="Arial"/>
                <w:sz w:val="18"/>
                <w:szCs w:val="18"/>
                <w:color w:val="auto"/>
                <w:w w:val="91"/>
              </w:rPr>
              <w:t>(principal executive officer)</w:t>
            </w: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3660" w:type="dxa"/>
            <w:vAlign w:val="bottom"/>
            <w:gridSpan w:val="3"/>
          </w:tcPr>
          <w:p>
            <w:pPr>
              <w:jc w:val="center"/>
              <w:spacing w:after="0" w:line="174" w:lineRule="exact"/>
              <w:rPr>
                <w:sz w:val="20"/>
                <w:szCs w:val="20"/>
                <w:color w:val="auto"/>
              </w:rPr>
            </w:pPr>
            <w:r>
              <w:rPr>
                <w:rFonts w:ascii="Arial" w:cs="Arial" w:eastAsia="Arial" w:hAnsi="Arial"/>
                <w:sz w:val="18"/>
                <w:szCs w:val="18"/>
                <w:color w:val="auto"/>
                <w:w w:val="90"/>
              </w:rPr>
              <w:t>Christopher J. Klein</w:t>
            </w:r>
          </w:p>
        </w:tc>
        <w:tc>
          <w:tcPr>
            <w:tcW w:w="5420" w:type="dxa"/>
            <w:vAlign w:val="bottom"/>
            <w:gridSpan w:val="3"/>
            <w:vMerge w:val="continue"/>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420" w:type="dxa"/>
            <w:vAlign w:val="bottom"/>
            <w:gridSpan w:val="3"/>
          </w:tcPr>
          <w:p>
            <w:pPr>
              <w:jc w:val="center"/>
              <w:ind w:left="972"/>
              <w:spacing w:after="0"/>
              <w:rPr>
                <w:sz w:val="20"/>
                <w:szCs w:val="20"/>
                <w:color w:val="auto"/>
              </w:rPr>
            </w:pPr>
            <w:r>
              <w:rPr>
                <w:rFonts w:ascii="Arial" w:cs="Arial" w:eastAsia="Arial" w:hAnsi="Arial"/>
                <w:sz w:val="18"/>
                <w:szCs w:val="18"/>
                <w:color w:val="auto"/>
                <w:w w:val="89"/>
              </w:rPr>
              <w:t>and Director</w:t>
            </w: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3660" w:type="dxa"/>
            <w:vAlign w:val="bottom"/>
            <w:gridSpan w:val="3"/>
          </w:tcPr>
          <w:p>
            <w:pPr>
              <w:spacing w:after="0"/>
              <w:rPr>
                <w:sz w:val="20"/>
                <w:szCs w:val="20"/>
                <w:color w:val="auto"/>
              </w:rPr>
            </w:pPr>
            <w:r>
              <w:rPr>
                <w:rFonts w:ascii="Arial" w:cs="Arial" w:eastAsia="Arial" w:hAnsi="Arial"/>
                <w:sz w:val="18"/>
                <w:szCs w:val="18"/>
                <w:color w:val="auto"/>
              </w:rPr>
              <w:t>/s/ E. Lee Wyatt, Jr.</w:t>
            </w:r>
          </w:p>
        </w:tc>
        <w:tc>
          <w:tcPr>
            <w:tcW w:w="5420" w:type="dxa"/>
            <w:vAlign w:val="bottom"/>
            <w:gridSpan w:val="3"/>
          </w:tcPr>
          <w:p>
            <w:pPr>
              <w:jc w:val="center"/>
              <w:ind w:left="952"/>
              <w:spacing w:after="0"/>
              <w:rPr>
                <w:sz w:val="20"/>
                <w:szCs w:val="20"/>
                <w:color w:val="auto"/>
              </w:rPr>
            </w:pPr>
            <w:r>
              <w:rPr>
                <w:rFonts w:ascii="Arial" w:cs="Arial" w:eastAsia="Arial" w:hAnsi="Arial"/>
                <w:sz w:val="18"/>
                <w:szCs w:val="18"/>
                <w:color w:val="auto"/>
                <w:w w:val="87"/>
              </w:rPr>
              <w:t>Senior Vice President and</w:t>
            </w:r>
          </w:p>
        </w:tc>
        <w:tc>
          <w:tcPr>
            <w:tcW w:w="2340" w:type="dxa"/>
            <w:vAlign w:val="bottom"/>
            <w:gridSpan w:val="3"/>
          </w:tcPr>
          <w:p>
            <w:pPr>
              <w:jc w:val="center"/>
              <w:ind w:left="952"/>
              <w:spacing w:after="0"/>
              <w:rPr>
                <w:sz w:val="20"/>
                <w:szCs w:val="20"/>
                <w:color w:val="auto"/>
              </w:rPr>
            </w:pPr>
            <w:r>
              <w:rPr>
                <w:rFonts w:ascii="Arial" w:cs="Arial" w:eastAsia="Arial" w:hAnsi="Arial"/>
                <w:sz w:val="18"/>
                <w:szCs w:val="18"/>
                <w:color w:val="auto"/>
                <w:w w:val="88"/>
              </w:rPr>
              <w:t>February 21, 2012</w:t>
            </w:r>
          </w:p>
        </w:tc>
        <w:tc>
          <w:tcPr>
            <w:tcW w:w="0" w:type="dxa"/>
            <w:vAlign w:val="bottom"/>
          </w:tcPr>
          <w:p>
            <w:pPr>
              <w:spacing w:after="0"/>
              <w:rPr>
                <w:sz w:val="1"/>
                <w:szCs w:val="1"/>
                <w:color w:val="auto"/>
              </w:rPr>
            </w:pPr>
          </w:p>
        </w:tc>
      </w:tr>
      <w:tr>
        <w:trPr>
          <w:trHeight w:val="22"/>
        </w:trPr>
        <w:tc>
          <w:tcPr>
            <w:tcW w:w="3660" w:type="dxa"/>
            <w:vAlign w:val="bottom"/>
            <w:tcBorders>
              <w:bottom w:val="single" w:sz="8" w:color="auto"/>
            </w:tcBorders>
            <w:gridSpan w:val="3"/>
          </w:tcPr>
          <w:p>
            <w:pPr>
              <w:spacing w:after="0" w:line="20" w:lineRule="exact"/>
              <w:rPr>
                <w:sz w:val="1"/>
                <w:szCs w:val="1"/>
                <w:color w:val="auto"/>
              </w:rPr>
            </w:pPr>
          </w:p>
        </w:tc>
        <w:tc>
          <w:tcPr>
            <w:tcW w:w="5420" w:type="dxa"/>
            <w:vAlign w:val="bottom"/>
            <w:gridSpan w:val="3"/>
            <w:vMerge w:val="restart"/>
          </w:tcPr>
          <w:p>
            <w:pPr>
              <w:jc w:val="center"/>
              <w:ind w:left="972"/>
              <w:spacing w:after="0"/>
              <w:rPr>
                <w:sz w:val="20"/>
                <w:szCs w:val="20"/>
                <w:color w:val="auto"/>
              </w:rPr>
            </w:pPr>
            <w:r>
              <w:rPr>
                <w:rFonts w:ascii="Arial" w:cs="Arial" w:eastAsia="Arial" w:hAnsi="Arial"/>
                <w:sz w:val="18"/>
                <w:szCs w:val="18"/>
                <w:color w:val="auto"/>
                <w:w w:val="92"/>
              </w:rPr>
              <w:t>Chief Financial Officer</w:t>
            </w: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3660" w:type="dxa"/>
            <w:vAlign w:val="bottom"/>
            <w:gridSpan w:val="3"/>
          </w:tcPr>
          <w:p>
            <w:pPr>
              <w:jc w:val="center"/>
              <w:spacing w:after="0" w:line="174" w:lineRule="exact"/>
              <w:rPr>
                <w:sz w:val="20"/>
                <w:szCs w:val="20"/>
                <w:color w:val="auto"/>
              </w:rPr>
            </w:pPr>
            <w:r>
              <w:rPr>
                <w:rFonts w:ascii="Arial" w:cs="Arial" w:eastAsia="Arial" w:hAnsi="Arial"/>
                <w:sz w:val="18"/>
                <w:szCs w:val="18"/>
                <w:color w:val="auto"/>
                <w:w w:val="86"/>
              </w:rPr>
              <w:t>Lee Wyatt, Jr.</w:t>
            </w:r>
          </w:p>
        </w:tc>
        <w:tc>
          <w:tcPr>
            <w:tcW w:w="5420" w:type="dxa"/>
            <w:vAlign w:val="bottom"/>
            <w:gridSpan w:val="3"/>
            <w:vMerge w:val="continue"/>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420" w:type="dxa"/>
            <w:vAlign w:val="bottom"/>
            <w:gridSpan w:val="3"/>
          </w:tcPr>
          <w:p>
            <w:pPr>
              <w:jc w:val="center"/>
              <w:ind w:left="952"/>
              <w:spacing w:after="0"/>
              <w:rPr>
                <w:sz w:val="20"/>
                <w:szCs w:val="20"/>
                <w:color w:val="auto"/>
              </w:rPr>
            </w:pPr>
            <w:r>
              <w:rPr>
                <w:rFonts w:ascii="Arial" w:cs="Arial" w:eastAsia="Arial" w:hAnsi="Arial"/>
                <w:sz w:val="18"/>
                <w:szCs w:val="18"/>
                <w:color w:val="auto"/>
                <w:w w:val="93"/>
              </w:rPr>
              <w:t>(principal financial officer)</w:t>
            </w: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Edward A. Wiertel</w:t>
            </w:r>
          </w:p>
        </w:tc>
        <w:tc>
          <w:tcPr>
            <w:tcW w:w="5420" w:type="dxa"/>
            <w:vAlign w:val="bottom"/>
            <w:gridSpan w:val="3"/>
          </w:tcPr>
          <w:p>
            <w:pPr>
              <w:jc w:val="center"/>
              <w:ind w:left="972"/>
              <w:spacing w:after="0"/>
              <w:rPr>
                <w:sz w:val="20"/>
                <w:szCs w:val="20"/>
                <w:color w:val="auto"/>
              </w:rPr>
            </w:pPr>
            <w:r>
              <w:rPr>
                <w:rFonts w:ascii="Arial" w:cs="Arial" w:eastAsia="Arial" w:hAnsi="Arial"/>
                <w:sz w:val="18"/>
                <w:szCs w:val="18"/>
                <w:color w:val="auto"/>
                <w:w w:val="87"/>
              </w:rPr>
              <w:t>Senior Vice President – Finance</w:t>
            </w:r>
          </w:p>
        </w:tc>
        <w:tc>
          <w:tcPr>
            <w:tcW w:w="2340" w:type="dxa"/>
            <w:vAlign w:val="bottom"/>
            <w:gridSpan w:val="3"/>
          </w:tcPr>
          <w:p>
            <w:pPr>
              <w:jc w:val="center"/>
              <w:ind w:left="952"/>
              <w:spacing w:after="0"/>
              <w:rPr>
                <w:sz w:val="20"/>
                <w:szCs w:val="20"/>
                <w:color w:val="auto"/>
              </w:rPr>
            </w:pPr>
            <w:r>
              <w:rPr>
                <w:rFonts w:ascii="Arial" w:cs="Arial" w:eastAsia="Arial" w:hAnsi="Arial"/>
                <w:sz w:val="18"/>
                <w:szCs w:val="18"/>
                <w:color w:val="auto"/>
                <w:w w:val="88"/>
              </w:rPr>
              <w:t>February 21, 2012</w:t>
            </w:r>
          </w:p>
        </w:tc>
        <w:tc>
          <w:tcPr>
            <w:tcW w:w="0" w:type="dxa"/>
            <w:vAlign w:val="bottom"/>
          </w:tcPr>
          <w:p>
            <w:pPr>
              <w:spacing w:after="0"/>
              <w:rPr>
                <w:sz w:val="1"/>
                <w:szCs w:val="1"/>
                <w:color w:val="auto"/>
              </w:rPr>
            </w:pPr>
          </w:p>
        </w:tc>
      </w:tr>
      <w:tr>
        <w:trPr>
          <w:trHeight w:val="218"/>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1"/>
              </w:rPr>
              <w:t>Edward A. Wiertel</w:t>
            </w:r>
          </w:p>
        </w:tc>
        <w:tc>
          <w:tcPr>
            <w:tcW w:w="5420" w:type="dxa"/>
            <w:vAlign w:val="bottom"/>
            <w:gridSpan w:val="3"/>
          </w:tcPr>
          <w:p>
            <w:pPr>
              <w:jc w:val="center"/>
              <w:ind w:left="952"/>
              <w:spacing w:after="0" w:line="202" w:lineRule="exact"/>
              <w:rPr>
                <w:sz w:val="20"/>
                <w:szCs w:val="20"/>
                <w:color w:val="auto"/>
              </w:rPr>
            </w:pPr>
            <w:r>
              <w:rPr>
                <w:rFonts w:ascii="Arial" w:cs="Arial" w:eastAsia="Arial" w:hAnsi="Arial"/>
                <w:sz w:val="18"/>
                <w:szCs w:val="18"/>
                <w:color w:val="auto"/>
                <w:w w:val="92"/>
              </w:rPr>
              <w:t>(principal accouting officer)</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Ann F. Hackett</w:t>
            </w:r>
          </w:p>
        </w:tc>
        <w:tc>
          <w:tcPr>
            <w:tcW w:w="5420" w:type="dxa"/>
            <w:vAlign w:val="bottom"/>
            <w:gridSpan w:val="3"/>
          </w:tcPr>
          <w:p>
            <w:pPr>
              <w:jc w:val="center"/>
              <w:ind w:left="952"/>
              <w:spacing w:after="0"/>
              <w:rPr>
                <w:sz w:val="20"/>
                <w:szCs w:val="20"/>
                <w:color w:val="auto"/>
              </w:rPr>
            </w:pPr>
            <w:r>
              <w:rPr>
                <w:rFonts w:ascii="Arial" w:cs="Arial" w:eastAsia="Arial" w:hAnsi="Arial"/>
                <w:sz w:val="18"/>
                <w:szCs w:val="18"/>
                <w:color w:val="auto"/>
                <w:w w:val="91"/>
              </w:rPr>
              <w:t>Director</w:t>
            </w:r>
          </w:p>
        </w:tc>
        <w:tc>
          <w:tcPr>
            <w:tcW w:w="2340" w:type="dxa"/>
            <w:vAlign w:val="bottom"/>
            <w:gridSpan w:val="3"/>
          </w:tcPr>
          <w:p>
            <w:pPr>
              <w:jc w:val="center"/>
              <w:ind w:left="952"/>
              <w:spacing w:after="0"/>
              <w:rPr>
                <w:sz w:val="20"/>
                <w:szCs w:val="20"/>
                <w:color w:val="auto"/>
              </w:rPr>
            </w:pPr>
            <w:r>
              <w:rPr>
                <w:rFonts w:ascii="Arial" w:cs="Arial" w:eastAsia="Arial" w:hAnsi="Arial"/>
                <w:sz w:val="18"/>
                <w:szCs w:val="18"/>
                <w:color w:val="auto"/>
                <w:w w:val="88"/>
              </w:rPr>
              <w:t>February 21, 2012</w:t>
            </w:r>
          </w:p>
        </w:tc>
        <w:tc>
          <w:tcPr>
            <w:tcW w:w="0" w:type="dxa"/>
            <w:vAlign w:val="bottom"/>
          </w:tcPr>
          <w:p>
            <w:pPr>
              <w:spacing w:after="0"/>
              <w:rPr>
                <w:sz w:val="1"/>
                <w:szCs w:val="1"/>
                <w:color w:val="auto"/>
              </w:rPr>
            </w:pPr>
          </w:p>
        </w:tc>
      </w:tr>
      <w:tr>
        <w:trPr>
          <w:trHeight w:val="21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88"/>
              </w:rPr>
              <w:t>Ann F. Hackett</w:t>
            </w:r>
          </w:p>
        </w:tc>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Richard A. Goldstein</w:t>
            </w:r>
          </w:p>
        </w:tc>
        <w:tc>
          <w:tcPr>
            <w:tcW w:w="5420" w:type="dxa"/>
            <w:vAlign w:val="bottom"/>
            <w:gridSpan w:val="3"/>
          </w:tcPr>
          <w:p>
            <w:pPr>
              <w:jc w:val="center"/>
              <w:ind w:left="952"/>
              <w:spacing w:after="0"/>
              <w:rPr>
                <w:sz w:val="20"/>
                <w:szCs w:val="20"/>
                <w:color w:val="auto"/>
              </w:rPr>
            </w:pPr>
            <w:r>
              <w:rPr>
                <w:rFonts w:ascii="Arial" w:cs="Arial" w:eastAsia="Arial" w:hAnsi="Arial"/>
                <w:sz w:val="18"/>
                <w:szCs w:val="18"/>
                <w:color w:val="auto"/>
                <w:w w:val="91"/>
              </w:rPr>
              <w:t>Director</w:t>
            </w:r>
          </w:p>
        </w:tc>
        <w:tc>
          <w:tcPr>
            <w:tcW w:w="2340" w:type="dxa"/>
            <w:vAlign w:val="bottom"/>
            <w:gridSpan w:val="3"/>
          </w:tcPr>
          <w:p>
            <w:pPr>
              <w:jc w:val="center"/>
              <w:ind w:left="952"/>
              <w:spacing w:after="0"/>
              <w:rPr>
                <w:sz w:val="20"/>
                <w:szCs w:val="20"/>
                <w:color w:val="auto"/>
              </w:rPr>
            </w:pPr>
            <w:r>
              <w:rPr>
                <w:rFonts w:ascii="Arial" w:cs="Arial" w:eastAsia="Arial" w:hAnsi="Arial"/>
                <w:sz w:val="18"/>
                <w:szCs w:val="18"/>
                <w:color w:val="auto"/>
                <w:w w:val="88"/>
              </w:rPr>
              <w:t>February 21, 2012</w:t>
            </w:r>
          </w:p>
        </w:tc>
        <w:tc>
          <w:tcPr>
            <w:tcW w:w="0" w:type="dxa"/>
            <w:vAlign w:val="bottom"/>
          </w:tcPr>
          <w:p>
            <w:pPr>
              <w:spacing w:after="0"/>
              <w:rPr>
                <w:sz w:val="1"/>
                <w:szCs w:val="1"/>
                <w:color w:val="auto"/>
              </w:rPr>
            </w:pPr>
          </w:p>
        </w:tc>
      </w:tr>
      <w:tr>
        <w:trPr>
          <w:trHeight w:val="21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0"/>
              </w:rPr>
              <w:t>Richard A. Goldstein</w:t>
            </w:r>
          </w:p>
        </w:tc>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John G. Morikis</w:t>
            </w:r>
          </w:p>
        </w:tc>
        <w:tc>
          <w:tcPr>
            <w:tcW w:w="5420" w:type="dxa"/>
            <w:vAlign w:val="bottom"/>
            <w:gridSpan w:val="3"/>
          </w:tcPr>
          <w:p>
            <w:pPr>
              <w:jc w:val="center"/>
              <w:ind w:left="952"/>
              <w:spacing w:after="0"/>
              <w:rPr>
                <w:sz w:val="20"/>
                <w:szCs w:val="20"/>
                <w:color w:val="auto"/>
              </w:rPr>
            </w:pPr>
            <w:r>
              <w:rPr>
                <w:rFonts w:ascii="Arial" w:cs="Arial" w:eastAsia="Arial" w:hAnsi="Arial"/>
                <w:sz w:val="18"/>
                <w:szCs w:val="18"/>
                <w:color w:val="auto"/>
                <w:w w:val="91"/>
              </w:rPr>
              <w:t>Director</w:t>
            </w:r>
          </w:p>
        </w:tc>
        <w:tc>
          <w:tcPr>
            <w:tcW w:w="2340" w:type="dxa"/>
            <w:vAlign w:val="bottom"/>
            <w:gridSpan w:val="3"/>
          </w:tcPr>
          <w:p>
            <w:pPr>
              <w:jc w:val="center"/>
              <w:ind w:left="952"/>
              <w:spacing w:after="0"/>
              <w:rPr>
                <w:sz w:val="20"/>
                <w:szCs w:val="20"/>
                <w:color w:val="auto"/>
              </w:rPr>
            </w:pPr>
            <w:r>
              <w:rPr>
                <w:rFonts w:ascii="Arial" w:cs="Arial" w:eastAsia="Arial" w:hAnsi="Arial"/>
                <w:sz w:val="18"/>
                <w:szCs w:val="18"/>
                <w:color w:val="auto"/>
                <w:w w:val="88"/>
              </w:rPr>
              <w:t>February 21, 2012</w:t>
            </w:r>
          </w:p>
        </w:tc>
        <w:tc>
          <w:tcPr>
            <w:tcW w:w="0" w:type="dxa"/>
            <w:vAlign w:val="bottom"/>
          </w:tcPr>
          <w:p>
            <w:pPr>
              <w:spacing w:after="0"/>
              <w:rPr>
                <w:sz w:val="1"/>
                <w:szCs w:val="1"/>
                <w:color w:val="auto"/>
              </w:rPr>
            </w:pPr>
          </w:p>
        </w:tc>
      </w:tr>
      <w:tr>
        <w:trPr>
          <w:trHeight w:val="21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2"/>
              </w:rPr>
              <w:t>John G. Morikis</w:t>
            </w:r>
          </w:p>
        </w:tc>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 D. David Mackay</w:t>
            </w:r>
          </w:p>
        </w:tc>
        <w:tc>
          <w:tcPr>
            <w:tcW w:w="5420" w:type="dxa"/>
            <w:vAlign w:val="bottom"/>
            <w:gridSpan w:val="3"/>
          </w:tcPr>
          <w:p>
            <w:pPr>
              <w:jc w:val="center"/>
              <w:ind w:left="952"/>
              <w:spacing w:after="0"/>
              <w:rPr>
                <w:sz w:val="20"/>
                <w:szCs w:val="20"/>
                <w:color w:val="auto"/>
              </w:rPr>
            </w:pPr>
            <w:r>
              <w:rPr>
                <w:rFonts w:ascii="Arial" w:cs="Arial" w:eastAsia="Arial" w:hAnsi="Arial"/>
                <w:sz w:val="18"/>
                <w:szCs w:val="18"/>
                <w:color w:val="auto"/>
                <w:w w:val="91"/>
              </w:rPr>
              <w:t>Director</w:t>
            </w:r>
          </w:p>
        </w:tc>
        <w:tc>
          <w:tcPr>
            <w:tcW w:w="2340" w:type="dxa"/>
            <w:vAlign w:val="bottom"/>
            <w:gridSpan w:val="3"/>
          </w:tcPr>
          <w:p>
            <w:pPr>
              <w:jc w:val="center"/>
              <w:ind w:left="952"/>
              <w:spacing w:after="0"/>
              <w:rPr>
                <w:sz w:val="20"/>
                <w:szCs w:val="20"/>
                <w:color w:val="auto"/>
              </w:rPr>
            </w:pPr>
            <w:r>
              <w:rPr>
                <w:rFonts w:ascii="Arial" w:cs="Arial" w:eastAsia="Arial" w:hAnsi="Arial"/>
                <w:sz w:val="18"/>
                <w:szCs w:val="18"/>
                <w:color w:val="auto"/>
                <w:w w:val="88"/>
              </w:rPr>
              <w:t>February 21, 2012</w:t>
            </w:r>
          </w:p>
        </w:tc>
        <w:tc>
          <w:tcPr>
            <w:tcW w:w="0" w:type="dxa"/>
            <w:vAlign w:val="bottom"/>
          </w:tcPr>
          <w:p>
            <w:pPr>
              <w:spacing w:after="0"/>
              <w:rPr>
                <w:sz w:val="1"/>
                <w:szCs w:val="1"/>
                <w:color w:val="auto"/>
              </w:rPr>
            </w:pPr>
          </w:p>
        </w:tc>
      </w:tr>
      <w:tr>
        <w:trPr>
          <w:trHeight w:val="21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3"/>
              </w:rPr>
              <w:t>A. D. David Mackay</w:t>
            </w:r>
          </w:p>
        </w:tc>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91" w:name="page192"/>
    <w:bookmarkEnd w:id="19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3"/>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 Thomas</w:t>
            </w:r>
          </w:p>
        </w:tc>
        <w:tc>
          <w:tcPr>
            <w:tcW w:w="4280" w:type="dxa"/>
            <w:vAlign w:val="bottom"/>
          </w:tcPr>
          <w:p>
            <w:pPr>
              <w:ind w:left="1500"/>
              <w:spacing w:after="0"/>
              <w:rPr>
                <w:sz w:val="20"/>
                <w:szCs w:val="20"/>
                <w:color w:val="auto"/>
              </w:rPr>
            </w:pPr>
            <w:r>
              <w:rPr>
                <w:rFonts w:ascii="Arial" w:cs="Arial" w:eastAsia="Arial" w:hAnsi="Arial"/>
                <w:sz w:val="18"/>
                <w:szCs w:val="18"/>
                <w:color w:val="auto"/>
              </w:rPr>
              <w:t>Director</w:t>
            </w:r>
          </w:p>
        </w:tc>
        <w:tc>
          <w:tcPr>
            <w:tcW w:w="3480" w:type="dxa"/>
            <w:vAlign w:val="bottom"/>
          </w:tcPr>
          <w:p>
            <w:pPr>
              <w:ind w:left="2180"/>
              <w:spacing w:after="0"/>
              <w:rPr>
                <w:sz w:val="20"/>
                <w:szCs w:val="20"/>
                <w:color w:val="auto"/>
              </w:rPr>
            </w:pPr>
            <w:r>
              <w:rPr>
                <w:rFonts w:ascii="Arial" w:cs="Arial" w:eastAsia="Arial" w:hAnsi="Arial"/>
                <w:sz w:val="18"/>
                <w:szCs w:val="18"/>
                <w:color w:val="auto"/>
                <w:w w:val="86"/>
              </w:rPr>
              <w:t>February 21, 2012</w:t>
            </w:r>
          </w:p>
        </w:tc>
      </w:tr>
      <w:tr>
        <w:trPr>
          <w:trHeight w:val="217"/>
        </w:trPr>
        <w:tc>
          <w:tcPr>
            <w:tcW w:w="3660" w:type="dxa"/>
            <w:vAlign w:val="bottom"/>
          </w:tcPr>
          <w:p>
            <w:pPr>
              <w:jc w:val="center"/>
              <w:spacing w:after="0"/>
              <w:rPr>
                <w:sz w:val="20"/>
                <w:szCs w:val="20"/>
                <w:color w:val="auto"/>
              </w:rPr>
            </w:pPr>
            <w:r>
              <w:rPr>
                <w:rFonts w:ascii="Arial" w:cs="Arial" w:eastAsia="Arial" w:hAnsi="Arial"/>
                <w:sz w:val="18"/>
                <w:szCs w:val="18"/>
                <w:color w:val="auto"/>
                <w:w w:val="90"/>
              </w:rPr>
              <w:t>David M. Thomas</w:t>
            </w:r>
          </w:p>
        </w:tc>
        <w:tc>
          <w:tcPr>
            <w:tcW w:w="428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31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V. Waters, III</w:t>
            </w:r>
          </w:p>
        </w:tc>
        <w:tc>
          <w:tcPr>
            <w:tcW w:w="4280" w:type="dxa"/>
            <w:vAlign w:val="bottom"/>
          </w:tcPr>
          <w:p>
            <w:pPr>
              <w:ind w:left="1500"/>
              <w:spacing w:after="0"/>
              <w:rPr>
                <w:sz w:val="20"/>
                <w:szCs w:val="20"/>
                <w:color w:val="auto"/>
              </w:rPr>
            </w:pPr>
            <w:r>
              <w:rPr>
                <w:rFonts w:ascii="Arial" w:cs="Arial" w:eastAsia="Arial" w:hAnsi="Arial"/>
                <w:sz w:val="18"/>
                <w:szCs w:val="18"/>
                <w:color w:val="auto"/>
              </w:rPr>
              <w:t>Director</w:t>
            </w:r>
          </w:p>
        </w:tc>
        <w:tc>
          <w:tcPr>
            <w:tcW w:w="3480" w:type="dxa"/>
            <w:vAlign w:val="bottom"/>
          </w:tcPr>
          <w:p>
            <w:pPr>
              <w:ind w:left="2180"/>
              <w:spacing w:after="0"/>
              <w:rPr>
                <w:sz w:val="20"/>
                <w:szCs w:val="20"/>
                <w:color w:val="auto"/>
              </w:rPr>
            </w:pPr>
            <w:r>
              <w:rPr>
                <w:rFonts w:ascii="Arial" w:cs="Arial" w:eastAsia="Arial" w:hAnsi="Arial"/>
                <w:sz w:val="18"/>
                <w:szCs w:val="18"/>
                <w:color w:val="auto"/>
                <w:w w:val="86"/>
              </w:rPr>
              <w:t>February 21, 2012</w:t>
            </w:r>
          </w:p>
        </w:tc>
      </w:tr>
      <w:tr>
        <w:trPr>
          <w:trHeight w:val="217"/>
        </w:trPr>
        <w:tc>
          <w:tcPr>
            <w:tcW w:w="3660" w:type="dxa"/>
            <w:vAlign w:val="bottom"/>
          </w:tcPr>
          <w:p>
            <w:pPr>
              <w:jc w:val="center"/>
              <w:spacing w:after="0"/>
              <w:rPr>
                <w:sz w:val="20"/>
                <w:szCs w:val="20"/>
                <w:color w:val="auto"/>
              </w:rPr>
            </w:pPr>
            <w:r>
              <w:rPr>
                <w:rFonts w:ascii="Arial" w:cs="Arial" w:eastAsia="Arial" w:hAnsi="Arial"/>
                <w:sz w:val="18"/>
                <w:szCs w:val="18"/>
                <w:color w:val="auto"/>
                <w:w w:val="89"/>
              </w:rPr>
              <w:t>Ronald V. Waters, III</w:t>
            </w:r>
          </w:p>
        </w:tc>
        <w:tc>
          <w:tcPr>
            <w:tcW w:w="428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31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Norman H. Wesley</w:t>
            </w:r>
          </w:p>
        </w:tc>
        <w:tc>
          <w:tcPr>
            <w:tcW w:w="4280" w:type="dxa"/>
            <w:vAlign w:val="bottom"/>
          </w:tcPr>
          <w:p>
            <w:pPr>
              <w:ind w:left="1500"/>
              <w:spacing w:after="0"/>
              <w:rPr>
                <w:sz w:val="20"/>
                <w:szCs w:val="20"/>
                <w:color w:val="auto"/>
              </w:rPr>
            </w:pPr>
            <w:r>
              <w:rPr>
                <w:rFonts w:ascii="Arial" w:cs="Arial" w:eastAsia="Arial" w:hAnsi="Arial"/>
                <w:sz w:val="18"/>
                <w:szCs w:val="18"/>
                <w:color w:val="auto"/>
              </w:rPr>
              <w:t>Director</w:t>
            </w:r>
          </w:p>
        </w:tc>
        <w:tc>
          <w:tcPr>
            <w:tcW w:w="3480" w:type="dxa"/>
            <w:vAlign w:val="bottom"/>
          </w:tcPr>
          <w:p>
            <w:pPr>
              <w:ind w:left="2180"/>
              <w:spacing w:after="0"/>
              <w:rPr>
                <w:sz w:val="20"/>
                <w:szCs w:val="20"/>
                <w:color w:val="auto"/>
              </w:rPr>
            </w:pPr>
            <w:r>
              <w:rPr>
                <w:rFonts w:ascii="Arial" w:cs="Arial" w:eastAsia="Arial" w:hAnsi="Arial"/>
                <w:sz w:val="18"/>
                <w:szCs w:val="18"/>
                <w:color w:val="auto"/>
                <w:w w:val="86"/>
              </w:rPr>
              <w:t>February 21, 2012</w:t>
            </w:r>
          </w:p>
        </w:tc>
      </w:tr>
      <w:tr>
        <w:trPr>
          <w:trHeight w:val="217"/>
        </w:trPr>
        <w:tc>
          <w:tcPr>
            <w:tcW w:w="3660" w:type="dxa"/>
            <w:vAlign w:val="bottom"/>
          </w:tcPr>
          <w:p>
            <w:pPr>
              <w:jc w:val="center"/>
              <w:spacing w:after="0"/>
              <w:rPr>
                <w:sz w:val="20"/>
                <w:szCs w:val="20"/>
                <w:color w:val="auto"/>
              </w:rPr>
            </w:pPr>
            <w:r>
              <w:rPr>
                <w:rFonts w:ascii="Arial" w:cs="Arial" w:eastAsia="Arial" w:hAnsi="Arial"/>
                <w:sz w:val="18"/>
                <w:szCs w:val="18"/>
                <w:color w:val="auto"/>
                <w:w w:val="90"/>
              </w:rPr>
              <w:t>Norman H. Wesley</w:t>
            </w:r>
          </w:p>
        </w:tc>
        <w:tc>
          <w:tcPr>
            <w:tcW w:w="4280" w:type="dxa"/>
            <w:vAlign w:val="bottom"/>
          </w:tcPr>
          <w:p>
            <w:pPr>
              <w:spacing w:after="0"/>
              <w:rPr>
                <w:sz w:val="18"/>
                <w:szCs w:val="18"/>
                <w:color w:val="auto"/>
              </w:rPr>
            </w:pPr>
          </w:p>
        </w:tc>
        <w:tc>
          <w:tcPr>
            <w:tcW w:w="3480" w:type="dxa"/>
            <w:vAlign w:val="bottom"/>
          </w:tcPr>
          <w:p>
            <w:pPr>
              <w:spacing w:after="0"/>
              <w:rPr>
                <w:sz w:val="18"/>
                <w:szCs w:val="18"/>
                <w:color w:val="auto"/>
              </w:rPr>
            </w:pPr>
          </w:p>
        </w:tc>
      </w:tr>
    </w:tbl>
    <w:p>
      <w:pPr>
        <w:sectPr>
          <w:pgSz w:w="11900" w:h="16838" w:orient="portrait"/>
          <w:cols w:equalWidth="0" w:num="1">
            <w:col w:w="11420"/>
          </w:cols>
          <w:pgMar w:left="240" w:top="847"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J. Klein, certify that:</w:t>
      </w:r>
    </w:p>
    <w:p>
      <w:pPr>
        <w:spacing w:after="0" w:line="90" w:lineRule="exact"/>
        <w:rPr>
          <w:sz w:val="20"/>
          <w:szCs w:val="20"/>
          <w:color w:val="auto"/>
        </w:rPr>
      </w:pPr>
    </w:p>
    <w:p>
      <w:pPr>
        <w:ind w:left="460" w:hanging="452"/>
        <w:spacing w:after="0"/>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2011 of Fortune Brands Home &amp; Security,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J.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Christopher J. Klein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E. Lee Wyatt, Jr., certify that:</w:t>
      </w:r>
    </w:p>
    <w:p>
      <w:pPr>
        <w:spacing w:after="0" w:line="90" w:lineRule="exact"/>
        <w:rPr>
          <w:sz w:val="20"/>
          <w:szCs w:val="20"/>
          <w:color w:val="auto"/>
        </w:rPr>
      </w:pPr>
    </w:p>
    <w:p>
      <w:pPr>
        <w:ind w:left="460" w:hanging="452"/>
        <w:spacing w:after="0"/>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2011 of Fortune Brands Home &amp; Security,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9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 Lee Wyatt,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 Lee Wyatt, Jr.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125"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CEO/CFO CERTIFICATE REQUIRED PURSUANT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18 U.S.C. SECTION 1350,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Each of the undersigned, the Chief Executive Officer and the Senior Vice President and Chief Financial Officer of Fortune Brands Home &amp; Security, Inc. (the “Company”), hereby certifies pursuant to 18 U.S.C. §1350, as adopted pursuant to Section 906 of the Sarbanes-Oxley Act of 2002, that the Annual Report of the Company on Form 10-K for the period ended December 31, 2011, as filed with the Securities and Exchange Commission on the date hereof (the “Report”), fully complies with the requirements of section 13(a) or 15(d) of the Securities Exchange Act of 1934 and that the information contained in the Report fairly presents, in all material respects, the financial condition and the results of operations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J.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Christopher J. Klein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 Lee Wyatt,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 Lee Wyatt, Jr.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 Chief Financial Officer</w:t>
      </w:r>
    </w:p>
    <w:p>
      <w:pPr>
        <w:spacing w:after="0" w:line="17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Fortune Brands Home &amp; Security, Inc. and will be retained by Fortune Brands Home &amp; Security, Inc.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A78F7F"/>
    <w:multiLevelType w:val="hybridMultilevel"/>
    <w:lvl w:ilvl="0">
      <w:lvlJc w:val="left"/>
      <w:lvlText w:val="&gt;"/>
      <w:numFmt w:val="bullet"/>
      <w:start w:val="1"/>
    </w:lvl>
  </w:abstractNum>
  <w:abstractNum w:abstractNumId="1">
    <w:nsid w:val="7672BD23"/>
    <w:multiLevelType w:val="hybridMultilevel"/>
    <w:lvl w:ilvl="0">
      <w:lvlJc w:val="left"/>
      <w:lvlText w:val="&gt;"/>
      <w:numFmt w:val="bullet"/>
      <w:start w:val="1"/>
    </w:lvl>
  </w:abstractNum>
  <w:abstractNum w:abstractNumId="2">
    <w:nsid w:val="6FC75AF8"/>
    <w:multiLevelType w:val="hybridMultilevel"/>
    <w:lvl w:ilvl="0">
      <w:lvlJc w:val="left"/>
      <w:lvlText w:val="(%1)"/>
      <w:numFmt w:val="lowerLetter"/>
      <w:start w:val="1"/>
    </w:lvl>
  </w:abstractNum>
  <w:abstractNum w:abstractNumId="3">
    <w:nsid w:val="6A5F7029"/>
    <w:multiLevelType w:val="hybridMultilevel"/>
    <w:lvl w:ilvl="0">
      <w:lvlJc w:val="left"/>
      <w:lvlText w:val="&gt;"/>
      <w:numFmt w:val="bullet"/>
      <w:start w:val="1"/>
    </w:lvl>
  </w:abstractNum>
  <w:abstractNum w:abstractNumId="4">
    <w:nsid w:val="7D5E18F8"/>
    <w:multiLevelType w:val="hybridMultilevel"/>
    <w:lvl w:ilvl="0">
      <w:lvlJc w:val="left"/>
      <w:lvlText w:val="&gt;"/>
      <w:numFmt w:val="bullet"/>
      <w:start w:val="1"/>
    </w:lvl>
  </w:abstractNum>
  <w:abstractNum w:abstractNumId="5">
    <w:nsid w:val="5F3534A4"/>
    <w:multiLevelType w:val="hybridMultilevel"/>
    <w:lvl w:ilvl="0">
      <w:lvlJc w:val="left"/>
      <w:lvlText w:val="&gt;"/>
      <w:numFmt w:val="bullet"/>
      <w:start w:val="1"/>
    </w:lvl>
  </w:abstractNum>
  <w:abstractNum w:abstractNumId="6">
    <w:nsid w:val="73A1821B"/>
    <w:multiLevelType w:val="hybridMultilevel"/>
    <w:lvl w:ilvl="0">
      <w:lvlJc w:val="left"/>
      <w:lvlText w:val="&gt;"/>
      <w:numFmt w:val="bullet"/>
      <w:start w:val="1"/>
    </w:lvl>
  </w:abstractNum>
  <w:abstractNum w:abstractNumId="7">
    <w:nsid w:val="7DE67713"/>
    <w:multiLevelType w:val="hybridMultilevel"/>
    <w:lvl w:ilvl="0">
      <w:lvlJc w:val="left"/>
      <w:lvlText w:val="(%1)"/>
      <w:numFmt w:val="lowerLetter"/>
      <w:start w:val="1"/>
    </w:lvl>
  </w:abstractNum>
  <w:abstractNum w:abstractNumId="8">
    <w:nsid w:val="555C55B5"/>
    <w:multiLevelType w:val="hybridMultilevel"/>
    <w:lvl w:ilvl="0">
      <w:lvlJc w:val="left"/>
      <w:lvlText w:val="(%1)"/>
      <w:numFmt w:val="decimal"/>
      <w:start w:val="1"/>
    </w:lvl>
  </w:abstractNum>
  <w:abstractNum w:abstractNumId="9">
    <w:nsid w:val="3FA62ACA"/>
    <w:multiLevelType w:val="hybridMultilevel"/>
    <w:lvl w:ilvl="0">
      <w:lvlJc w:val="left"/>
      <w:lvlText w:val="(%1)"/>
      <w:numFmt w:val="lowerLetter"/>
      <w:start w:val="1"/>
    </w:lvl>
  </w:abstractNum>
  <w:abstractNum w:abstractNumId="10">
    <w:nsid w:val="14FCE74E"/>
    <w:multiLevelType w:val="hybridMultilevel"/>
    <w:lvl w:ilvl="0">
      <w:lvlJc w:val="left"/>
      <w:lvlText w:val="&gt;"/>
      <w:numFmt w:val="bullet"/>
      <w:start w:val="1"/>
    </w:lvl>
  </w:abstractNum>
  <w:abstractNum w:abstractNumId="11">
    <w:nsid w:val="6A3DD3E8"/>
    <w:multiLevelType w:val="hybridMultilevel"/>
    <w:lvl w:ilvl="0">
      <w:lvlJc w:val="left"/>
      <w:lvlText w:val="&gt;"/>
      <w:numFmt w:val="bullet"/>
      <w:start w:val="1"/>
    </w:lvl>
  </w:abstractNum>
  <w:abstractNum w:abstractNumId="12">
    <w:nsid w:val="71C91298"/>
    <w:multiLevelType w:val="hybridMultilevel"/>
    <w:lvl w:ilvl="0">
      <w:lvlJc w:val="left"/>
      <w:lvlText w:val="(%1)"/>
      <w:numFmt w:val="lowerLetter"/>
      <w:start w:val="1"/>
    </w:lvl>
  </w:abstractNum>
  <w:abstractNum w:abstractNumId="13">
    <w:nsid w:val="9DAF632"/>
    <w:multiLevelType w:val="hybridMultilevel"/>
    <w:lvl w:ilvl="0">
      <w:lvlJc w:val="left"/>
      <w:lvlText w:val="&gt;"/>
      <w:numFmt w:val="bullet"/>
      <w:start w:val="1"/>
    </w:lvl>
  </w:abstractNum>
  <w:abstractNum w:abstractNumId="14">
    <w:nsid w:val="53299938"/>
    <w:multiLevelType w:val="hybridMultilevel"/>
    <w:lvl w:ilvl="0">
      <w:lvlJc w:val="left"/>
      <w:lvlText w:val="&gt;"/>
      <w:numFmt w:val="bullet"/>
      <w:start w:val="1"/>
    </w:lvl>
  </w:abstractNum>
  <w:abstractNum w:abstractNumId="15">
    <w:nsid w:val="1FBFE8E0"/>
    <w:multiLevelType w:val="hybridMultilevel"/>
    <w:lvl w:ilvl="0">
      <w:lvlJc w:val="left"/>
      <w:lvlText w:val="&gt;"/>
      <w:numFmt w:val="bullet"/>
      <w:start w:val="1"/>
    </w:lvl>
  </w:abstractNum>
  <w:abstractNum w:abstractNumId="16">
    <w:nsid w:val="5092CA79"/>
    <w:multiLevelType w:val="hybridMultilevel"/>
    <w:lvl w:ilvl="0">
      <w:lvlJc w:val="left"/>
      <w:lvlText w:val="&gt;"/>
      <w:numFmt w:val="bullet"/>
      <w:start w:val="1"/>
    </w:lvl>
  </w:abstractNum>
  <w:abstractNum w:abstractNumId="17">
    <w:nsid w:val="1D545C4D"/>
    <w:multiLevelType w:val="hybridMultilevel"/>
    <w:lvl w:ilvl="0">
      <w:lvlJc w:val="left"/>
      <w:lvlText w:val="(%1)"/>
      <w:numFmt w:val="lowerLetter"/>
      <w:start w:val="1"/>
    </w:lvl>
  </w:abstractNum>
  <w:abstractNum w:abstractNumId="18">
    <w:nsid w:val="59ADEA3D"/>
    <w:multiLevelType w:val="hybridMultilevel"/>
    <w:lvl w:ilvl="0">
      <w:lvlJc w:val="left"/>
      <w:lvlText w:val="%1."/>
      <w:numFmt w:val="decimal"/>
      <w:start w:val="350"/>
    </w:lvl>
  </w:abstractNum>
  <w:abstractNum w:abstractNumId="19">
    <w:nsid w:val="288F1A34"/>
    <w:multiLevelType w:val="hybridMultilevel"/>
    <w:lvl w:ilvl="0">
      <w:lvlJc w:val="left"/>
      <w:lvlText w:val="(%1)"/>
      <w:numFmt w:val="lowerLetter"/>
      <w:start w:val="1"/>
    </w:lvl>
  </w:abstractNum>
  <w:abstractNum w:abstractNumId="20">
    <w:nsid w:val="2A155DBC"/>
    <w:multiLevelType w:val="hybridMultilevel"/>
    <w:lvl w:ilvl="0">
      <w:lvlJc w:val="left"/>
      <w:lvlText w:val="(%1)"/>
      <w:numFmt w:val="lowerLetter"/>
      <w:start w:val="1"/>
    </w:lvl>
  </w:abstractNum>
  <w:abstractNum w:abstractNumId="21">
    <w:nsid w:val="1D9F6E5F"/>
    <w:multiLevelType w:val="hybridMultilevel"/>
    <w:lvl w:ilvl="0">
      <w:lvlJc w:val="left"/>
      <w:lvlText w:val="(%1)"/>
      <w:numFmt w:val="lowerLetter"/>
      <w:start w:val="1"/>
    </w:lvl>
  </w:abstractNum>
  <w:abstractNum w:abstractNumId="22">
    <w:nsid w:val="97E1B4E"/>
    <w:multiLevelType w:val="hybridMultilevel"/>
    <w:lvl w:ilvl="0">
      <w:lvlJc w:val="left"/>
      <w:lvlText w:val="(%1)"/>
      <w:numFmt w:val="lowerLetter"/>
      <w:start w:val="1"/>
    </w:lvl>
  </w:abstractNum>
  <w:abstractNum w:abstractNumId="23">
    <w:nsid w:val="51088277"/>
    <w:multiLevelType w:val="hybridMultilevel"/>
    <w:lvl w:ilvl="0">
      <w:lvlJc w:val="left"/>
      <w:lvlText w:val="%1."/>
      <w:numFmt w:val="decimal"/>
      <w:start w:val="1"/>
    </w:lvl>
  </w:abstractNum>
  <w:abstractNum w:abstractNumId="24">
    <w:nsid w:val="1CA0C5FA"/>
    <w:multiLevelType w:val="hybridMultilevel"/>
    <w:lvl w:ilvl="0">
      <w:lvlJc w:val="left"/>
      <w:lvlText w:val="%1."/>
      <w:numFmt w:val="decimal"/>
      <w:start w:val="2"/>
    </w:lvl>
  </w:abstractNum>
  <w:abstractNum w:abstractNumId="25">
    <w:nsid w:val="53584BCB"/>
    <w:multiLevelType w:val="hybridMultilevel"/>
    <w:lvl w:ilvl="0">
      <w:lvlJc w:val="left"/>
      <w:lvlText w:val="%1."/>
      <w:numFmt w:val="decimal"/>
      <w:start w:val="3"/>
    </w:lvl>
  </w:abstractNum>
  <w:abstractNum w:abstractNumId="26">
    <w:nsid w:val="415E286C"/>
    <w:multiLevelType w:val="hybridMultilevel"/>
    <w:lvl w:ilvl="0">
      <w:lvlJc w:val="left"/>
      <w:lvlText w:val="%1."/>
      <w:numFmt w:val="decimal"/>
      <w:start w:val="4"/>
    </w:lvl>
  </w:abstractNum>
  <w:abstractNum w:abstractNumId="27">
    <w:nsid w:val="7C58FD05"/>
    <w:multiLevelType w:val="hybridMultilevel"/>
    <w:lvl w:ilvl="0">
      <w:lvlJc w:val="left"/>
      <w:lvlText w:val="%1."/>
      <w:numFmt w:val="decimal"/>
      <w:start w:val="5"/>
    </w:lvl>
  </w:abstractNum>
  <w:abstractNum w:abstractNumId="28">
    <w:nsid w:val="23D86AAC"/>
    <w:multiLevelType w:val="hybridMultilevel"/>
    <w:lvl w:ilvl="0">
      <w:lvlJc w:val="left"/>
      <w:lvlText w:val="(%1)"/>
      <w:numFmt w:val="lowerLetter"/>
      <w:start w:val="1"/>
    </w:lvl>
  </w:abstractNum>
  <w:abstractNum w:abstractNumId="29">
    <w:nsid w:val="45E6D486"/>
    <w:multiLevelType w:val="hybridMultilevel"/>
    <w:lvl w:ilvl="0">
      <w:lvlJc w:val="left"/>
      <w:lvlText w:val="%1."/>
      <w:numFmt w:val="decimal"/>
      <w:start w:val="6"/>
    </w:lvl>
  </w:abstractNum>
  <w:abstractNum w:abstractNumId="30">
    <w:nsid w:val="5C10FE21"/>
    <w:multiLevelType w:val="hybridMultilevel"/>
    <w:lvl w:ilvl="0">
      <w:lvlJc w:val="left"/>
      <w:lvlText w:val="%1."/>
      <w:numFmt w:val="decimal"/>
      <w:start w:val="7"/>
    </w:lvl>
  </w:abstractNum>
  <w:abstractNum w:abstractNumId="31">
    <w:nsid w:val="E7FFA2B"/>
    <w:multiLevelType w:val="hybridMultilevel"/>
    <w:lvl w:ilvl="0">
      <w:lvlJc w:val="left"/>
      <w:lvlText w:val="%1."/>
      <w:numFmt w:val="decimal"/>
      <w:start w:val="8"/>
    </w:lvl>
  </w:abstractNum>
  <w:abstractNum w:abstractNumId="32">
    <w:nsid w:val="3C5991AA"/>
    <w:multiLevelType w:val="hybridMultilevel"/>
    <w:lvl w:ilvl="0">
      <w:lvlJc w:val="left"/>
      <w:lvlText w:val="%1."/>
      <w:numFmt w:val="decimal"/>
      <w:start w:val="9"/>
    </w:lvl>
  </w:abstractNum>
  <w:abstractNum w:abstractNumId="33">
    <w:nsid w:val="4BD8591A"/>
    <w:multiLevelType w:val="hybridMultilevel"/>
    <w:lvl w:ilvl="0">
      <w:lvlJc w:val="left"/>
      <w:lvlText w:val="%1."/>
      <w:numFmt w:val="decimal"/>
      <w:start w:val="10"/>
    </w:lvl>
  </w:abstractNum>
  <w:abstractNum w:abstractNumId="34">
    <w:nsid w:val="78DF6A55"/>
    <w:multiLevelType w:val="hybridMultilevel"/>
    <w:lvl w:ilvl="0">
      <w:lvlJc w:val="left"/>
      <w:lvlText w:val="%1."/>
      <w:numFmt w:val="decimal"/>
      <w:start w:val="11"/>
    </w:lvl>
  </w:abstractNum>
  <w:abstractNum w:abstractNumId="35">
    <w:nsid w:val="39B7AAA2"/>
    <w:multiLevelType w:val="hybridMultilevel"/>
    <w:lvl w:ilvl="0">
      <w:lvlJc w:val="left"/>
      <w:lvlText w:val="(%1)"/>
      <w:numFmt w:val="lowerLetter"/>
      <w:start w:val="1"/>
    </w:lvl>
  </w:abstractNum>
  <w:abstractNum w:abstractNumId="36">
    <w:nsid w:val="2B0D8DBE"/>
    <w:multiLevelType w:val="hybridMultilevel"/>
    <w:lvl w:ilvl="0">
      <w:lvlJc w:val="left"/>
      <w:lvlText w:val="(%1)"/>
      <w:numFmt w:val="lowerLetter"/>
      <w:start w:val="1"/>
    </w:lvl>
  </w:abstractNum>
  <w:abstractNum w:abstractNumId="37">
    <w:nsid w:val="6C80EC70"/>
    <w:multiLevelType w:val="hybridMultilevel"/>
    <w:lvl w:ilvl="0">
      <w:lvlJc w:val="left"/>
      <w:lvlText w:val="%1."/>
      <w:numFmt w:val="decimal"/>
      <w:start w:val="12"/>
    </w:lvl>
  </w:abstractNum>
  <w:abstractNum w:abstractNumId="38">
    <w:nsid w:val="379E21B5"/>
    <w:multiLevelType w:val="hybridMultilevel"/>
    <w:lvl w:ilvl="0">
      <w:lvlJc w:val="left"/>
      <w:lvlText w:val="%1."/>
      <w:numFmt w:val="decimal"/>
      <w:start w:val="13"/>
    </w:lvl>
  </w:abstractNum>
  <w:abstractNum w:abstractNumId="39">
    <w:nsid w:val="69E373"/>
    <w:multiLevelType w:val="hybridMultilevel"/>
    <w:lvl w:ilvl="0">
      <w:lvlJc w:val="left"/>
      <w:lvlText w:val="%1."/>
      <w:numFmt w:val="decimal"/>
      <w:start w:val="14"/>
    </w:lvl>
  </w:abstractNum>
  <w:abstractNum w:abstractNumId="40">
    <w:nsid w:val="2C27173B"/>
    <w:multiLevelType w:val="hybridMultilevel"/>
    <w:lvl w:ilvl="0">
      <w:lvlJc w:val="left"/>
      <w:lvlText w:val="(%1)"/>
      <w:numFmt w:val="lowerLetter"/>
      <w:start w:val="1"/>
    </w:lvl>
  </w:abstractNum>
  <w:abstractNum w:abstractNumId="41">
    <w:nsid w:val="4C9B0904"/>
    <w:multiLevelType w:val="hybridMultilevel"/>
    <w:lvl w:ilvl="0">
      <w:lvlJc w:val="left"/>
      <w:lvlText w:val="(%1)"/>
      <w:numFmt w:val="lowerLetter"/>
      <w:start w:val="1"/>
    </w:lvl>
  </w:abstractNum>
  <w:abstractNum w:abstractNumId="42">
    <w:nsid w:val="6AA7B75C"/>
    <w:multiLevelType w:val="hybridMultilevel"/>
    <w:lvl w:ilvl="0">
      <w:lvlJc w:val="left"/>
      <w:lvlText w:val="(%1)"/>
      <w:numFmt w:val="lowerLetter"/>
      <w:start w:val="1"/>
    </w:lvl>
  </w:abstractNum>
  <w:abstractNum w:abstractNumId="43">
    <w:nsid w:val="1DF029D3"/>
    <w:multiLevelType w:val="hybridMultilevel"/>
    <w:lvl w:ilvl="0">
      <w:lvlJc w:val="left"/>
      <w:lvlText w:val="(%1)"/>
      <w:numFmt w:val="lowerLetter"/>
      <w:start w:val="1"/>
    </w:lvl>
  </w:abstractNum>
  <w:abstractNum w:abstractNumId="44">
    <w:nsid w:val="5675FF36"/>
    <w:multiLevelType w:val="hybridMultilevel"/>
    <w:lvl w:ilvl="0">
      <w:lvlJc w:val="left"/>
      <w:lvlText w:val="(%1)"/>
      <w:numFmt w:val="lowerLetter"/>
      <w:start w:val="1"/>
    </w:lvl>
  </w:abstractNum>
  <w:abstractNum w:abstractNumId="45">
    <w:nsid w:val="3DD15094"/>
    <w:multiLevelType w:val="hybridMultilevel"/>
    <w:lvl w:ilvl="0">
      <w:lvlJc w:val="left"/>
      <w:lvlText w:val="%1."/>
      <w:numFmt w:val="decimal"/>
      <w:start w:val="15"/>
    </w:lvl>
  </w:abstractNum>
  <w:abstractNum w:abstractNumId="46">
    <w:nsid w:val="3DB012B3"/>
    <w:multiLevelType w:val="hybridMultilevel"/>
    <w:lvl w:ilvl="0">
      <w:lvlJc w:val="left"/>
      <w:lvlText w:val="%1."/>
      <w:numFmt w:val="decimal"/>
      <w:start w:val="16"/>
    </w:lvl>
  </w:abstractNum>
  <w:abstractNum w:abstractNumId="47">
    <w:nsid w:val="2708C9AF"/>
    <w:multiLevelType w:val="hybridMultilevel"/>
    <w:lvl w:ilvl="0">
      <w:lvlJc w:val="left"/>
      <w:lvlText w:val="%1."/>
      <w:numFmt w:val="decimal"/>
      <w:start w:val="17"/>
    </w:lvl>
  </w:abstractNum>
  <w:abstractNum w:abstractNumId="48">
    <w:nsid w:val="5B25ACE2"/>
    <w:multiLevelType w:val="hybridMultilevel"/>
    <w:lvl w:ilvl="0">
      <w:lvlJc w:val="left"/>
      <w:lvlText w:val="(%1)"/>
      <w:numFmt w:val="lowerLetter"/>
      <w:start w:val="2"/>
    </w:lvl>
  </w:abstractNum>
  <w:abstractNum w:abstractNumId="49">
    <w:nsid w:val="175DFCF0"/>
    <w:multiLevelType w:val="hybridMultilevel"/>
    <w:lvl w:ilvl="0">
      <w:lvlJc w:val="left"/>
      <w:lvlText w:val="%1."/>
      <w:numFmt w:val="decimal"/>
      <w:start w:val="20"/>
    </w:lvl>
  </w:abstractNum>
  <w:abstractNum w:abstractNumId="50">
    <w:nsid w:val="4F97E3E4"/>
    <w:multiLevelType w:val="hybridMultilevel"/>
    <w:lvl w:ilvl="0">
      <w:lvlJc w:val="left"/>
      <w:lvlText w:val="%1."/>
      <w:numFmt w:val="decimal"/>
      <w:start w:val="21"/>
    </w:lvl>
  </w:abstractNum>
  <w:abstractNum w:abstractNumId="51">
    <w:nsid w:val="53B0A9E"/>
    <w:multiLevelType w:val="hybridMultilevel"/>
    <w:lvl w:ilvl="0">
      <w:lvlJc w:val="left"/>
      <w:lvlText w:val="%1."/>
      <w:numFmt w:val="decimal"/>
      <w:start w:val="22"/>
    </w:lvl>
  </w:abstractNum>
  <w:abstractNum w:abstractNumId="52">
    <w:nsid w:val="34FD6B4F"/>
    <w:multiLevelType w:val="hybridMultilevel"/>
    <w:lvl w:ilvl="0">
      <w:lvlJc w:val="left"/>
      <w:lvlText w:val="(%1)"/>
      <w:numFmt w:val="decimal"/>
      <w:start w:val="1"/>
    </w:lvl>
  </w:abstractNum>
  <w:abstractNum w:abstractNumId="53">
    <w:nsid w:val="5915FF32"/>
    <w:multiLevelType w:val="hybridMultilevel"/>
    <w:lvl w:ilvl="0">
      <w:lvlJc w:val="left"/>
      <w:lvlText w:val="(%1)"/>
      <w:numFmt w:val="lowerLetter"/>
      <w:start w:val="1"/>
    </w:lvl>
  </w:abstractNum>
  <w:abstractNum w:abstractNumId="54">
    <w:nsid w:val="56438D15"/>
    <w:multiLevelType w:val="hybridMultilevel"/>
    <w:lvl w:ilvl="0">
      <w:lvlJc w:val="left"/>
      <w:lvlText w:val="(%1)"/>
      <w:numFmt w:val="decimal"/>
      <w:start w:val="1"/>
    </w:lvl>
  </w:abstractNum>
  <w:abstractNum w:abstractNumId="55">
    <w:nsid w:val="519E3149"/>
    <w:multiLevelType w:val="hybridMultilevel"/>
    <w:lvl w:ilvl="0">
      <w:lvlJc w:val="left"/>
      <w:lvlText w:val="%1."/>
      <w:numFmt w:val="decimal"/>
      <w:start w:val="18"/>
    </w:lvl>
  </w:abstractNum>
  <w:abstractNum w:abstractNumId="56">
    <w:nsid w:val="2C6E4AFD"/>
    <w:multiLevelType w:val="hybridMultilevel"/>
    <w:lvl w:ilvl="0">
      <w:lvlJc w:val="left"/>
      <w:lvlText w:val="%1."/>
      <w:numFmt w:val="decimal"/>
      <w:start w:val="21"/>
    </w:lvl>
  </w:abstractNum>
  <w:abstractNum w:abstractNumId="57">
    <w:nsid w:val="17A1B582"/>
    <w:multiLevelType w:val="hybridMultilevel"/>
    <w:lvl w:ilvl="0">
      <w:lvlJc w:val="left"/>
      <w:lvlText w:val="%1."/>
      <w:numFmt w:val="decimal"/>
      <w:start w:val="23"/>
    </w:lvl>
  </w:abstractNum>
  <w:abstractNum w:abstractNumId="58">
    <w:nsid w:val="4DF72E4E"/>
    <w:multiLevelType w:val="hybridMultilevel"/>
    <w:lvl w:ilvl="0">
      <w:lvlJc w:val="left"/>
      <w:lvlText w:val="%1."/>
      <w:numFmt w:val="decimal"/>
      <w:start w:val="32"/>
    </w:lvl>
  </w:abstractNum>
  <w:abstractNum w:abstractNumId="59">
    <w:nsid w:val="5046B5A9"/>
    <w:multiLevelType w:val="hybridMultilevel"/>
    <w:lvl w:ilvl="0">
      <w:lvlJc w:val="left"/>
      <w:lvlText w:val="%1."/>
      <w:numFmt w:val="decimal"/>
      <w:start w:val="101"/>
    </w:lvl>
  </w:abstractNum>
  <w:abstractNum w:abstractNumId="60">
    <w:nsid w:val="5D888A08"/>
    <w:multiLevelType w:val="hybridMultilevel"/>
    <w:lvl w:ilvl="0">
      <w:lvlJc w:val="left"/>
      <w:lvlText w:val="†"/>
      <w:numFmt w:val="bullet"/>
      <w:start w:val="1"/>
    </w:lvl>
  </w:abstractNum>
  <w:abstractNum w:abstractNumId="61">
    <w:nsid w:val="2A082C70"/>
    <w:multiLevelType w:val="hybridMultilevel"/>
    <w:lvl w:ilvl="0">
      <w:lvlJc w:val="left"/>
      <w:lvlText w:val="(%1)"/>
      <w:numFmt w:val="lowerLetter"/>
      <w:start w:val="1"/>
    </w:lvl>
  </w:abstractNum>
  <w:abstractNum w:abstractNumId="62">
    <w:nsid w:val="5EC6AFD4"/>
    <w:multiLevelType w:val="hybridMultilevel"/>
    <w:lvl w:ilvl="0">
      <w:lvlJc w:val="left"/>
      <w:lvlText w:val="%1."/>
      <w:numFmt w:val="decimal"/>
      <w:start w:val="1"/>
    </w:lvl>
  </w:abstractNum>
  <w:abstractNum w:abstractNumId="63">
    <w:nsid w:val="19E21BB2"/>
    <w:multiLevelType w:val="hybridMultilevel"/>
    <w:lvl w:ilvl="0">
      <w:lvlJc w:val="left"/>
      <w:lvlText w:val="(%1)"/>
      <w:numFmt w:val="lowerLetter"/>
      <w:start w:val="1"/>
    </w:lvl>
  </w:abstractNum>
  <w:abstractNum w:abstractNumId="64">
    <w:nsid w:val="75E0858A"/>
    <w:multiLevelType w:val="hybridMultilevel"/>
    <w:lvl w:ilvl="0">
      <w:lvlJc w:val="left"/>
      <w:lvlText w:val="%1."/>
      <w:numFmt w:val="decimal"/>
      <w:start w:val="2"/>
    </w:lvl>
  </w:abstractNum>
  <w:abstractNum w:abstractNumId="65">
    <w:nsid w:val="57A61A29"/>
    <w:multiLevelType w:val="hybridMultilevel"/>
    <w:lvl w:ilvl="0">
      <w:lvlJc w:val="left"/>
      <w:lvlText w:val="%1."/>
      <w:numFmt w:val="decimal"/>
      <w:start w:val="3"/>
    </w:lvl>
  </w:abstractNum>
  <w:abstractNum w:abstractNumId="66">
    <w:nsid w:val="5399C654"/>
    <w:multiLevelType w:val="hybridMultilevel"/>
    <w:lvl w:ilvl="0">
      <w:lvlJc w:val="left"/>
      <w:lvlText w:val="%1."/>
      <w:numFmt w:val="decimal"/>
      <w:start w:val="5"/>
    </w:lvl>
  </w:abstractNum>
  <w:abstractNum w:abstractNumId="67">
    <w:nsid w:val="20EE1348"/>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7"/>
    </w:lvl>
  </w:abstractNum>
  <w:abstractNum w:abstractNumId="68">
    <w:nsid w:val="4427069A"/>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69">
    <w:nsid w:val="B37E80A"/>
    <w:multiLevelType w:val="hybridMultilevel"/>
    <w:lvl w:ilvl="0">
      <w:lvlJc w:val="left"/>
      <w:lvlText w:val="(%1)"/>
      <w:numFmt w:val="lowerLetter"/>
      <w:start w:val="61"/>
    </w:lvl>
    <w:lvl w:ilvl="1">
      <w:lvlJc w:val="left"/>
      <w:lvlText w:val="(%2)"/>
      <w:numFmt w:val="lowerLetter"/>
      <w:start w:val="3"/>
    </w:lvl>
    <w:lvl w:ilvl="2">
      <w:lvlJc w:val="left"/>
      <w:lvlText w:val="%3"/>
      <w:numFmt w:val="decimal"/>
      <w:start w:val="1"/>
    </w:lvl>
  </w:abstractNum>
  <w:abstractNum w:abstractNumId="70">
    <w:nsid w:val="2157F6BC"/>
    <w:multiLevelType w:val="hybridMultilevel"/>
    <w:lvl w:ilvl="0">
      <w:lvlJc w:val="left"/>
      <w:lvlText w:val="%1."/>
      <w:numFmt w:val="decimal"/>
      <w:start w:val="11"/>
    </w:lvl>
  </w:abstractNum>
  <w:abstractNum w:abstractNumId="71">
    <w:nsid w:val="704E1DD5"/>
    <w:multiLevelType w:val="hybridMultilevel"/>
    <w:lvl w:ilvl="0">
      <w:lvlJc w:val="left"/>
      <w:lvlText w:val="%1."/>
      <w:numFmt w:val="decimal"/>
      <w:start w:val="12"/>
    </w:lvl>
  </w:abstractNum>
  <w:abstractNum w:abstractNumId="72">
    <w:nsid w:val="57D2F10E"/>
    <w:multiLevelType w:val="hybridMultilevel"/>
    <w:lvl w:ilvl="0">
      <w:lvlJc w:val="left"/>
      <w:lvlText w:val="%1."/>
      <w:numFmt w:val="decimal"/>
      <w:start w:val="15"/>
    </w:lvl>
  </w:abstractNum>
  <w:abstractNum w:abstractNumId="73">
    <w:nsid w:val="BFFAE18"/>
    <w:multiLevelType w:val="hybridMultilevel"/>
    <w:lvl w:ilvl="0">
      <w:lvlJc w:val="left"/>
      <w:lvlText w:val="%1."/>
      <w:numFmt w:val="decimal"/>
      <w:start w:val="1"/>
    </w:lvl>
  </w:abstractNum>
  <w:abstractNum w:abstractNumId="74">
    <w:nsid w:val="E3E47A8"/>
    <w:multiLevelType w:val="hybridMultilevel"/>
    <w:lvl w:ilvl="0">
      <w:lvlJc w:val="left"/>
      <w:lvlText w:val="(%1)"/>
      <w:numFmt w:val="lowerLetter"/>
      <w:start w:val="1"/>
    </w:lvl>
  </w:abstractNum>
  <w:abstractNum w:abstractNumId="75">
    <w:nsid w:val="2E48F044"/>
    <w:multiLevelType w:val="hybridMultilevel"/>
    <w:lvl w:ilvl="0">
      <w:lvlJc w:val="left"/>
      <w:lvlText w:val="(%1)"/>
      <w:numFmt w:val="lowerLetter"/>
      <w:start w:val="3"/>
    </w:lvl>
  </w:abstractNum>
  <w:abstractNum w:abstractNumId="76">
    <w:nsid w:val="49D0FEAC"/>
    <w:multiLevelType w:val="hybridMultilevel"/>
    <w:lvl w:ilvl="0">
      <w:lvlJc w:val="left"/>
      <w:lvlText w:val="(%1)"/>
      <w:numFmt w:val="lowerRoman"/>
      <w:start w:val="1"/>
    </w:lvl>
  </w:abstractNum>
  <w:abstractNum w:abstractNumId="77">
    <w:nsid w:val="4BEE5A5B"/>
    <w:multiLevelType w:val="hybridMultilevel"/>
    <w:lvl w:ilvl="0">
      <w:lvlJc w:val="left"/>
      <w:lvlText w:val="(%1)"/>
      <w:numFmt w:val="lowerRoman"/>
      <w:start w:val="3"/>
    </w:lvl>
  </w:abstractNum>
  <w:abstractNum w:abstractNumId="78">
    <w:nsid w:val="5551B9F3"/>
    <w:multiLevelType w:val="hybridMultilevel"/>
    <w:lvl w:ilvl="0">
      <w:lvlJc w:val="left"/>
      <w:lvlText w:val="%1."/>
      <w:numFmt w:val="decimal"/>
      <w:start w:val="3"/>
    </w:lvl>
  </w:abstractNum>
  <w:abstractNum w:abstractNumId="79">
    <w:nsid w:val="24F6AB8E"/>
    <w:multiLevelType w:val="hybridMultilevel"/>
    <w:lvl w:ilvl="0">
      <w:lvlJc w:val="left"/>
      <w:lvlText w:val="(%1)"/>
      <w:numFmt w:val="lowerLetter"/>
      <w:start w:val="2"/>
    </w:lvl>
  </w:abstractNum>
  <w:abstractNum w:abstractNumId="80">
    <w:nsid w:val="634C574C"/>
    <w:multiLevelType w:val="hybridMultilevel"/>
    <w:lvl w:ilvl="0">
      <w:lvlJc w:val="left"/>
      <w:lvlText w:val="%1"/>
      <w:numFmt w:val="lowerLetter"/>
      <w:start w:val="1"/>
    </w:lvl>
    <w:lvl w:ilvl="1">
      <w:lvlJc w:val="left"/>
      <w:lvlText w:val="(%2)"/>
      <w:numFmt w:val="lowerLetter"/>
      <w:start w:val="1"/>
    </w:lvl>
  </w:abstractNum>
  <w:abstractNum w:abstractNumId="81">
    <w:nsid w:val="24E99DD7"/>
    <w:multiLevelType w:val="hybridMultilevel"/>
    <w:lvl w:ilvl="0">
      <w:lvlJc w:val="left"/>
      <w:lvlText w:val="(%1)"/>
      <w:numFmt w:val="lowerLetter"/>
      <w:start w:val="61"/>
    </w:lvl>
    <w:lvl w:ilvl="1">
      <w:lvlJc w:val="left"/>
      <w:lvlText w:val="%2"/>
      <w:numFmt w:val="lowerLetter"/>
      <w:start w:val="1"/>
    </w:lvl>
  </w:abstractNum>
  <w:abstractNum w:abstractNumId="82">
    <w:nsid w:val="2A31B62D"/>
    <w:multiLevelType w:val="hybridMultilevel"/>
    <w:lvl w:ilvl="0">
      <w:lvlJc w:val="left"/>
      <w:lvlText w:val="%1."/>
      <w:numFmt w:val="decimal"/>
      <w:start w:val="4"/>
    </w:lvl>
  </w:abstractNum>
  <w:abstractNum w:abstractNumId="83">
    <w:nsid w:val="1849C29B"/>
    <w:multiLevelType w:val="hybridMultilevel"/>
    <w:lvl w:ilvl="0">
      <w:lvlJc w:val="left"/>
      <w:lvlText w:val="%1."/>
      <w:numFmt w:val="decimal"/>
      <w:start w:val="1"/>
    </w:lvl>
    <w:lvl w:ilvl="1">
      <w:lvlJc w:val="left"/>
      <w:lvlText w:val="(%2)"/>
      <w:numFmt w:val="lowerLetter"/>
      <w:start w:val="1"/>
    </w:lvl>
  </w:abstractNum>
  <w:abstractNum w:abstractNumId="84">
    <w:nsid w:val="7DFF9D09"/>
    <w:multiLevelType w:val="hybridMultilevel"/>
    <w:lvl w:ilvl="0">
      <w:lvlJc w:val="left"/>
      <w:lvlText w:val="%1"/>
      <w:numFmt w:val="decimal"/>
      <w:start w:val="1"/>
    </w:lvl>
    <w:lvl w:ilvl="1">
      <w:lvlJc w:val="left"/>
      <w:lvlText w:val="(%2)"/>
      <w:numFmt w:val="lowerLetter"/>
      <w:start w:val="6"/>
    </w:lvl>
  </w:abstractNum>
  <w:abstractNum w:abstractNumId="85">
    <w:nsid w:val="754342"/>
    <w:multiLevelType w:val="hybridMultilevel"/>
    <w:lvl w:ilvl="0">
      <w:lvlJc w:val="left"/>
      <w:lvlText w:val="%1."/>
      <w:numFmt w:val="decimal"/>
      <w:start w:val="3"/>
    </w:lvl>
    <w:lvl w:ilvl="1">
      <w:lvlJc w:val="left"/>
      <w:lvlText w:val="(%2)"/>
      <w:numFmt w:val="lowerLetter"/>
      <w:start w:val="1"/>
    </w:lvl>
  </w:abstractNum>
  <w:abstractNum w:abstractNumId="86">
    <w:nsid w:val="69E7F3E5"/>
    <w:multiLevelType w:val="hybridMultilevel"/>
    <w:lvl w:ilvl="0">
      <w:lvlJc w:val="left"/>
      <w:lvlText w:val="%1"/>
      <w:numFmt w:val="decimal"/>
      <w:start w:val="1"/>
    </w:lvl>
    <w:lvl w:ilvl="1">
      <w:lvlJc w:val="left"/>
      <w:lvlText w:val="(%2)"/>
      <w:numFmt w:val="lowerLetter"/>
      <w:start w:val="2"/>
    </w:lvl>
  </w:abstractNum>
  <w:abstractNum w:abstractNumId="87">
    <w:nsid w:val="2A6DE806"/>
    <w:multiLevelType w:val="hybridMultilevel"/>
    <w:lvl w:ilvl="0">
      <w:lvlJc w:val="left"/>
      <w:lvlText w:val="%1."/>
      <w:numFmt w:val="decimal"/>
      <w:start w:val="7"/>
    </w:lvl>
    <w:lvl w:ilvl="1">
      <w:lvlJc w:val="left"/>
      <w:lvlText w:val="%2"/>
      <w:numFmt w:val="lowerLetter"/>
      <w:start w:val="1"/>
    </w:lvl>
  </w:abstractNum>
  <w:abstractNum w:abstractNumId="88">
    <w:nsid w:val="1816F8C4"/>
    <w:multiLevelType w:val="hybridMultilevel"/>
    <w:lvl w:ilvl="0">
      <w:lvlJc w:val="left"/>
      <w:lvlText w:val="%1."/>
      <w:numFmt w:val="decimal"/>
      <w:start w:val="11"/>
    </w:lvl>
  </w:abstractNum>
  <w:abstractNum w:abstractNumId="89">
    <w:nsid w:val="37DF2233"/>
    <w:multiLevelType w:val="hybridMultilevel"/>
    <w:lvl w:ilvl="0">
      <w:lvlJc w:val="left"/>
      <w:lvlText w:val="%1."/>
      <w:numFmt w:val="decimal"/>
      <w:start w:val="11"/>
    </w:lvl>
  </w:abstractNum>
  <w:abstractNum w:abstractNumId="90">
    <w:nsid w:val="7AB49DAF"/>
    <w:multiLevelType w:val="hybridMultilevel"/>
    <w:lvl w:ilvl="0">
      <w:lvlJc w:val="left"/>
      <w:lvlText w:val="%1"/>
      <w:numFmt w:val="lowerLetter"/>
      <w:start w:val="1"/>
    </w:lvl>
    <w:lvl w:ilvl="1">
      <w:lvlJc w:val="left"/>
      <w:lvlText w:val="%2."/>
      <w:numFmt w:val="decimal"/>
      <w:start w:val="14"/>
    </w:lvl>
  </w:abstractNum>
  <w:abstractNum w:abstractNumId="91">
    <w:nsid w:val="759F82CD"/>
    <w:multiLevelType w:val="hybridMultilevel"/>
    <w:lvl w:ilvl="0">
      <w:lvlJc w:val="left"/>
      <w:lvlText w:val="(%1)"/>
      <w:numFmt w:val="lowerLetter"/>
      <w:start w:val="4"/>
    </w:lvl>
    <w:lvl w:ilvl="1">
      <w:lvlJc w:val="left"/>
      <w:lvlText w:val="%2."/>
      <w:numFmt w:val="decimal"/>
      <w:start w:val="16"/>
    </w:lvl>
  </w:abstractNum>
  <w:abstractNum w:abstractNumId="92">
    <w:nsid w:val="61E74EA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3">
    <w:nsid w:val="597B4D84"/>
    <w:multiLevelType w:val="hybridMultilevel"/>
    <w:lvl w:ilvl="0">
      <w:lvlJc w:val="left"/>
      <w:lvlText w:val="(%1)"/>
      <w:numFmt w:val="lowerRoman"/>
      <w:start w:val="8"/>
    </w:lvl>
  </w:abstractNum>
  <w:abstractNum w:abstractNumId="94">
    <w:nsid w:val="F819E7F"/>
    <w:multiLevelType w:val="hybridMultilevel"/>
    <w:lvl w:ilvl="0">
      <w:lvlJc w:val="left"/>
      <w:lvlText w:val="(%1)"/>
      <w:numFmt w:val="upperLetter"/>
      <w:start w:val="3"/>
    </w:lvl>
    <w:lvl w:ilvl="1">
      <w:lvlJc w:val="left"/>
      <w:lvlText w:val="(%2)"/>
      <w:numFmt w:val="lowerLetter"/>
      <w:start w:val="2"/>
    </w:lvl>
    <w:lvl w:ilvl="2">
      <w:lvlJc w:val="left"/>
      <w:lvlText w:val="(%3)"/>
      <w:numFmt w:val="lowerRoman"/>
      <w:start w:val="1"/>
    </w:lvl>
  </w:abstractNum>
  <w:abstractNum w:abstractNumId="95">
    <w:nsid w:val="57C7D42D"/>
    <w:multiLevelType w:val="hybridMultilevel"/>
    <w:lvl w:ilvl="0">
      <w:lvlJc w:val="left"/>
      <w:lvlText w:val="%1"/>
      <w:numFmt w:val="lowerLetter"/>
      <w:start w:val="1"/>
    </w:lvl>
    <w:lvl w:ilvl="1">
      <w:lvlJc w:val="left"/>
      <w:lvlText w:val="(%2)"/>
      <w:numFmt w:val="lowerLetter"/>
      <w:start w:val="61"/>
    </w:lvl>
  </w:abstractNum>
  <w:abstractNum w:abstractNumId="96">
    <w:nsid w:val="312167AD"/>
    <w:multiLevelType w:val="hybridMultilevel"/>
    <w:lvl w:ilvl="0">
      <w:lvlJc w:val="left"/>
      <w:lvlText w:val="(%1)"/>
      <w:numFmt w:val="lowerLetter"/>
      <w:start w:val="3"/>
    </w:lvl>
    <w:lvl w:ilvl="1">
      <w:lvlJc w:val="left"/>
      <w:lvlText w:val="%2"/>
      <w:numFmt w:val="lowerLetter"/>
      <w:start w:val="1"/>
    </w:lvl>
  </w:abstractNum>
  <w:abstractNum w:abstractNumId="97">
    <w:nsid w:val="631B64D4"/>
    <w:multiLevelType w:val="hybridMultilevel"/>
    <w:lvl w:ilvl="0">
      <w:lvlJc w:val="left"/>
      <w:lvlText w:val="(%1)"/>
      <w:numFmt w:val="lowerRoman"/>
      <w:start w:val="1"/>
    </w:lvl>
  </w:abstractNum>
  <w:abstractNum w:abstractNumId="98">
    <w:nsid w:val="78B5E776"/>
    <w:multiLevelType w:val="hybridMultilevel"/>
    <w:lvl w:ilvl="0">
      <w:lvlJc w:val="left"/>
      <w:lvlText w:val="(%1)"/>
      <w:numFmt w:val="lowerLetter"/>
      <w:start w:val="7"/>
    </w:lvl>
    <w:lvl w:ilvl="1">
      <w:lvlJc w:val="left"/>
      <w:lvlText w:val="(%2)"/>
      <w:numFmt w:val="lowerRoman"/>
      <w:start w:val="1"/>
    </w:lvl>
  </w:abstractNum>
  <w:abstractNum w:abstractNumId="99">
    <w:nsid w:val="75486E47"/>
    <w:multiLevelType w:val="hybridMultilevel"/>
    <w:lvl w:ilvl="0">
      <w:lvlJc w:val="left"/>
      <w:lvlText w:val="%1."/>
      <w:numFmt w:val="decimal"/>
      <w:start w:val="2"/>
    </w:lvl>
    <w:lvl w:ilvl="1">
      <w:lvlJc w:val="left"/>
      <w:lvlText w:val="(%2)"/>
      <w:numFmt w:val="lowerLetter"/>
      <w:start w:val="1"/>
    </w:lvl>
  </w:abstractNum>
  <w:abstractNum w:abstractNumId="100">
    <w:nsid w:val="6E534CD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1">
    <w:nsid w:val="1A0DDE32"/>
    <w:multiLevelType w:val="hybridMultilevel"/>
    <w:lvl w:ilvl="0">
      <w:lvlJc w:val="left"/>
      <w:lvlText w:val="(%1)"/>
      <w:numFmt w:val="lowerLetter"/>
      <w:start w:val="3"/>
    </w:lvl>
    <w:lvl w:ilvl="1">
      <w:lvlJc w:val="left"/>
      <w:lvlText w:val="(%2)"/>
      <w:numFmt w:val="lowerRoman"/>
      <w:start w:val="1"/>
    </w:lvl>
  </w:abstractNum>
  <w:abstractNum w:abstractNumId="102">
    <w:nsid w:val="65968C1C"/>
    <w:multiLevelType w:val="hybridMultilevel"/>
    <w:lvl w:ilvl="0">
      <w:lvlJc w:val="left"/>
      <w:lvlText w:val="%1"/>
      <w:numFmt w:val="decimal"/>
      <w:start w:val="1"/>
    </w:lvl>
    <w:lvl w:ilvl="1">
      <w:lvlJc w:val="left"/>
      <w:lvlText w:val="(%2)"/>
      <w:numFmt w:val="lowerLetter"/>
      <w:start w:val="6"/>
    </w:lvl>
  </w:abstractNum>
  <w:abstractNum w:abstractNumId="103">
    <w:nsid w:val="46263DEC"/>
    <w:multiLevelType w:val="hybridMultilevel"/>
    <w:lvl w:ilvl="0">
      <w:lvlJc w:val="left"/>
      <w:lvlText w:val="%1."/>
      <w:numFmt w:val="decimal"/>
      <w:start w:val="4"/>
    </w:lvl>
    <w:lvl w:ilvl="1">
      <w:lvlJc w:val="left"/>
      <w:lvlText w:val="%2"/>
      <w:numFmt w:val="lowerLetter"/>
      <w:start w:val="1"/>
    </w:lvl>
  </w:abstractNum>
  <w:abstractNum w:abstractNumId="104">
    <w:nsid w:val="260D8C4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05">
    <w:nsid w:val="73D4D3C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06">
    <w:nsid w:val="746F2E30"/>
    <w:multiLevelType w:val="hybridMultilevel"/>
    <w:lvl w:ilvl="0">
      <w:lvlJc w:val="left"/>
      <w:lvlText w:val="(%1)"/>
      <w:numFmt w:val="lowerRoman"/>
      <w:start w:val="2"/>
    </w:lvl>
  </w:abstractNum>
  <w:abstractNum w:abstractNumId="107">
    <w:nsid w:val="6FDE8AF6"/>
    <w:multiLevelType w:val="hybridMultilevel"/>
    <w:lvl w:ilvl="0">
      <w:lvlJc w:val="left"/>
      <w:lvlText w:val="(%1)"/>
      <w:numFmt w:val="lowerLetter"/>
      <w:start w:val="4"/>
    </w:lvl>
    <w:lvl w:ilvl="1">
      <w:lvlJc w:val="left"/>
      <w:lvlText w:val="(%2)"/>
      <w:numFmt w:val="lowerRoman"/>
      <w:start w:val="1"/>
    </w:lvl>
  </w:abstractNum>
  <w:abstractNum w:abstractNumId="108">
    <w:nsid w:val="3FC32E20"/>
    <w:multiLevelType w:val="hybridMultilevel"/>
    <w:lvl w:ilvl="0">
      <w:lvlJc w:val="left"/>
      <w:lvlText w:val="%1."/>
      <w:numFmt w:val="decimal"/>
      <w:start w:val="7"/>
    </w:lvl>
  </w:abstractNum>
  <w:abstractNum w:abstractNumId="109">
    <w:nsid w:val="49C0E823"/>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abstractNum>
  <w:abstractNum w:abstractNumId="110">
    <w:nsid w:val="14D53685"/>
    <w:multiLevelType w:val="hybridMultilevel"/>
    <w:lvl w:ilvl="0">
      <w:lvlJc w:val="left"/>
      <w:lvlText w:val="(%1)"/>
      <w:numFmt w:val="decimal"/>
      <w:start w:val="30"/>
    </w:lvl>
    <w:lvl w:ilvl="1">
      <w:lvlJc w:val="left"/>
      <w:lvlText w:val="%2."/>
      <w:numFmt w:val="decimal"/>
      <w:start w:val="10"/>
    </w:lvl>
    <w:lvl w:ilvl="2">
      <w:lvlJc w:val="left"/>
      <w:lvlText w:val="%3"/>
      <w:numFmt w:val="lowerLetter"/>
      <w:start w:val="1"/>
    </w:lvl>
  </w:abstractNum>
  <w:abstractNum w:abstractNumId="111">
    <w:nsid w:val="230F856C"/>
    <w:multiLevelType w:val="hybridMultilevel"/>
    <w:lvl w:ilvl="0">
      <w:lvlJc w:val="left"/>
      <w:lvlText w:val="%1."/>
      <w:numFmt w:val="decimal"/>
      <w:start w:val="11"/>
    </w:lvl>
    <w:lvl w:ilvl="1">
      <w:lvlJc w:val="left"/>
      <w:lvlText w:val="(%2)"/>
      <w:numFmt w:val="lowerLetter"/>
      <w:start w:val="1"/>
    </w:lvl>
  </w:abstractNum>
  <w:abstractNum w:abstractNumId="112">
    <w:nsid w:val="6EAA85FB"/>
    <w:multiLevelType w:val="hybridMultilevel"/>
    <w:lvl w:ilvl="0">
      <w:lvlJc w:val="left"/>
      <w:lvlText w:val="%1."/>
      <w:numFmt w:val="decimal"/>
      <w:start w:val="1"/>
    </w:lvl>
  </w:abstractNum>
  <w:abstractNum w:abstractNumId="113">
    <w:nsid w:val="3F06ECB2"/>
    <w:multiLevelType w:val="hybridMultilevel"/>
    <w:lvl w:ilvl="0">
      <w:lvlJc w:val="left"/>
      <w:lvlText w:val="%1."/>
      <w:numFmt w:val="decimal"/>
      <w:start w:val="1"/>
    </w:lvl>
    <w:lvl w:ilvl="1">
      <w:lvlJc w:val="left"/>
      <w:lvlText w:val=","/>
      <w:numFmt w:val="bullet"/>
      <w:start w:val="1"/>
    </w:lvl>
  </w:abstractNum>
  <w:abstractNum w:abstractNumId="114">
    <w:nsid w:val="3B594807"/>
    <w:multiLevelType w:val="hybridMultilevel"/>
    <w:lvl w:ilvl="0">
      <w:lvlJc w:val="left"/>
      <w:lvlText w:val="%1."/>
      <w:numFmt w:val="decimal"/>
      <w:start w:val="3"/>
    </w:lvl>
  </w:abstractNum>
  <w:abstractNum w:abstractNumId="115">
    <w:nsid w:val="6CAA2304"/>
    <w:multiLevelType w:val="hybridMultilevel"/>
    <w:lvl w:ilvl="0">
      <w:lvlJc w:val="left"/>
      <w:lvlText w:val="%1."/>
      <w:numFmt w:val="decimal"/>
      <w:start w:val="4"/>
    </w:lvl>
  </w:abstractNum>
  <w:abstractNum w:abstractNumId="116">
    <w:nsid w:val="3F7C2FF4"/>
    <w:multiLevelType w:val="hybridMultilevel"/>
    <w:lvl w:ilvl="0">
      <w:lvlJc w:val="left"/>
      <w:lvlText w:val="%1."/>
      <w:numFmt w:val="decimal"/>
      <w:start w:val="5"/>
    </w:lvl>
  </w:abstractNum>
  <w:abstractNum w:abstractNumId="117">
    <w:nsid w:val="25413BEC"/>
    <w:multiLevelType w:val="hybridMultilevel"/>
    <w:lvl w:ilvl="0">
      <w:lvlJc w:val="left"/>
      <w:lvlText w:val="%1."/>
      <w:numFmt w:val="lowerLetter"/>
      <w:start w:val="2"/>
    </w:lvl>
    <w:lvl w:ilvl="1">
      <w:lvlJc w:val="left"/>
      <w:lvlText w:val="%2."/>
      <w:numFmt w:val="lowerLetter"/>
      <w:start w:val="3"/>
    </w:lvl>
  </w:abstractNum>
  <w:abstractNum w:abstractNumId="118">
    <w:nsid w:val="17180B0B"/>
    <w:multiLevelType w:val="hybridMultilevel"/>
    <w:lvl w:ilvl="0">
      <w:lvlJc w:val="left"/>
      <w:lvlText w:val="%1."/>
      <w:numFmt w:val="lowerLetter"/>
      <w:start w:val="5"/>
    </w:lvl>
  </w:abstractNum>
  <w:abstractNum w:abstractNumId="119">
    <w:nsid w:val="579328B9"/>
    <w:multiLevelType w:val="hybridMultilevel"/>
    <w:lvl w:ilvl="0">
      <w:lvlJc w:val="left"/>
      <w:lvlText w:val="%1."/>
      <w:numFmt w:val="decimal"/>
      <w:start w:val="6"/>
    </w:lvl>
  </w:abstractNum>
  <w:abstractNum w:abstractNumId="120">
    <w:nsid w:val="5D205E20"/>
    <w:multiLevelType w:val="hybridMultilevel"/>
    <w:lvl w:ilvl="0">
      <w:lvlJc w:val="left"/>
      <w:lvlText w:val="%1."/>
      <w:numFmt w:val="decimal"/>
      <w:start w:val="7"/>
    </w:lvl>
  </w:abstractNum>
  <w:abstractNum w:abstractNumId="121">
    <w:nsid w:val="11CCA8BA"/>
    <w:multiLevelType w:val="hybridMultilevel"/>
    <w:lvl w:ilvl="0">
      <w:lvlJc w:val="left"/>
      <w:lvlText w:val="%1."/>
      <w:numFmt w:val="decimal"/>
      <w:start w:val="8"/>
    </w:lvl>
  </w:abstractNum>
  <w:abstractNum w:abstractNumId="122">
    <w:nsid w:val="4D32AB86"/>
    <w:multiLevelType w:val="hybridMultilevel"/>
    <w:lvl w:ilvl="0">
      <w:lvlJc w:val="left"/>
      <w:lvlText w:val="%1."/>
      <w:numFmt w:val="decimal"/>
      <w:start w:val="9"/>
    </w:lvl>
  </w:abstractNum>
  <w:abstractNum w:abstractNumId="123">
    <w:nsid w:val="3F07ACC3"/>
    <w:multiLevelType w:val="hybridMultilevel"/>
    <w:lvl w:ilvl="0">
      <w:lvlJc w:val="left"/>
      <w:lvlText w:val="%1."/>
      <w:numFmt w:val="decimal"/>
      <w:start w:val="11"/>
    </w:lvl>
  </w:abstractNum>
  <w:abstractNum w:abstractNumId="124">
    <w:nsid w:val="6B47F63E"/>
    <w:multiLevelType w:val="hybridMultilevel"/>
    <w:lvl w:ilvl="0">
      <w:lvlJc w:val="left"/>
      <w:lvlText w:val="%1."/>
      <w:numFmt w:val="decimal"/>
      <w:start w:val="12"/>
    </w:lvl>
    <w:lvl w:ilvl="1">
      <w:lvlJc w:val="left"/>
      <w:lvlText w:val="%2."/>
      <w:numFmt w:val="lowerLetter"/>
      <w:start w:val="1"/>
    </w:lvl>
  </w:abstractNum>
  <w:abstractNum w:abstractNumId="125">
    <w:nsid w:val="5CB44A05"/>
    <w:multiLevelType w:val="hybridMultilevel"/>
    <w:lvl w:ilvl="0">
      <w:lvlJc w:val="left"/>
      <w:lvlText w:val="%1."/>
      <w:numFmt w:val="decimal"/>
      <w:start w:val="13"/>
    </w:lvl>
  </w:abstractNum>
  <w:abstractNum w:abstractNumId="126">
    <w:nsid w:val="16CF80F1"/>
    <w:multiLevelType w:val="hybridMultilevel"/>
    <w:lvl w:ilvl="0">
      <w:lvlJc w:val="left"/>
      <w:lvlText w:val="(%1)"/>
      <w:numFmt w:val="lowerRoman"/>
      <w:start w:val="2"/>
    </w:lvl>
  </w:abstractNum>
  <w:abstractNum w:abstractNumId="127">
    <w:nsid w:val="1C695DEC"/>
    <w:multiLevelType w:val="hybridMultilevel"/>
    <w:lvl w:ilvl="0">
      <w:lvlJc w:val="left"/>
      <w:lvlText w:val="%1."/>
      <w:numFmt w:val="decimal"/>
      <w:start w:val="14"/>
    </w:lvl>
  </w:abstractNum>
  <w:abstractNum w:abstractNumId="128">
    <w:nsid w:val="3FCFAED9"/>
    <w:multiLevelType w:val="hybridMultilevel"/>
    <w:lvl w:ilvl="0">
      <w:lvlJc w:val="left"/>
      <w:lvlText w:val="%1."/>
      <w:numFmt w:val="decimal"/>
      <w:start w:val="15"/>
    </w:lvl>
  </w:abstractNum>
  <w:abstractNum w:abstractNumId="129">
    <w:nsid w:val="F856867"/>
    <w:multiLevelType w:val="hybridMultilevel"/>
    <w:lvl w:ilvl="0">
      <w:lvlJc w:val="left"/>
      <w:lvlText w:val="%1."/>
      <w:numFmt w:val="decimal"/>
      <w:start w:val="16"/>
    </w:lvl>
  </w:abstractNum>
  <w:abstractNum w:abstractNumId="130">
    <w:nsid w:val="11B1CC33"/>
    <w:multiLevelType w:val="hybridMultilevel"/>
    <w:lvl w:ilvl="0">
      <w:lvlJc w:val="left"/>
      <w:lvlText w:val="%1."/>
      <w:numFmt w:val="decimal"/>
      <w:start w:val="17"/>
    </w:lvl>
  </w:abstractNum>
  <w:abstractNum w:abstractNumId="131">
    <w:nsid w:val="2E22FBB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2">
    <w:nsid w:val="29934699"/>
    <w:multiLevelType w:val="hybridMultilevel"/>
    <w:lvl w:ilvl="0">
      <w:lvlJc w:val="left"/>
      <w:lvlText w:val="(%1)"/>
      <w:numFmt w:val="lowerRoman"/>
      <w:start w:val="7"/>
    </w:lvl>
  </w:abstractNum>
  <w:abstractNum w:abstractNumId="133">
    <w:nsid w:val="77485850"/>
    <w:multiLevelType w:val="hybridMultilevel"/>
    <w:lvl w:ilvl="0">
      <w:lvlJc w:val="left"/>
      <w:lvlText w:val="(%1)"/>
      <w:numFmt w:val="upperLetter"/>
      <w:start w:val="3"/>
    </w:lvl>
    <w:lvl w:ilvl="1">
      <w:lvlJc w:val="left"/>
      <w:lvlText w:val="(%2)"/>
      <w:numFmt w:val="decimal"/>
    </w:lvl>
    <w:lvl w:ilvl="2">
      <w:lvlJc w:val="left"/>
      <w:lvlText w:val="(%3)"/>
      <w:numFmt w:val="lowerLetter"/>
      <w:start w:val="2"/>
    </w:lvl>
    <w:lvl w:ilvl="3">
      <w:lvlJc w:val="left"/>
      <w:lvlText w:val="(%4)"/>
      <w:numFmt w:val="upperLetter"/>
      <w:start w:val="1"/>
    </w:lvl>
  </w:abstractNum>
  <w:abstractNum w:abstractNumId="134">
    <w:nsid w:val="744939A3"/>
    <w:multiLevelType w:val="hybridMultilevel"/>
    <w:lvl w:ilvl="0">
      <w:lvlJc w:val="left"/>
      <w:lvlText w:val="(%1)"/>
      <w:numFmt w:val="decimal"/>
      <w:start w:val="2"/>
    </w:lvl>
    <w:lvl w:ilvl="1">
      <w:lvlJc w:val="left"/>
      <w:lvlText w:val="(%2)"/>
      <w:numFmt w:val="upperLetter"/>
      <w:start w:val="1"/>
    </w:lvl>
  </w:abstractNum>
  <w:abstractNum w:abstractNumId="135">
    <w:nsid w:val="4FA0D2E3"/>
    <w:multiLevelType w:val="hybridMultilevel"/>
    <w:lvl w:ilvl="0">
      <w:lvlJc w:val="left"/>
      <w:lvlText w:val="%1"/>
      <w:numFmt w:val="lowerLetter"/>
      <w:start w:val="1"/>
    </w:lvl>
    <w:lvl w:ilvl="1">
      <w:lvlJc w:val="left"/>
      <w:lvlText w:val="(%2)"/>
      <w:numFmt w:val="upperLetter"/>
      <w:start w:val="3"/>
    </w:lvl>
  </w:abstractNum>
  <w:abstractNum w:abstractNumId="136">
    <w:nsid w:val="6B1D2C14"/>
    <w:multiLevelType w:val="hybridMultilevel"/>
    <w:lvl w:ilvl="0">
      <w:lvlJc w:val="left"/>
      <w:lvlText w:val="(%1)"/>
      <w:numFmt w:val="lowerLetter"/>
      <w:start w:val="3"/>
    </w:lvl>
    <w:lvl w:ilvl="1">
      <w:lvlJc w:val="left"/>
      <w:lvlText w:val="%2"/>
      <w:numFmt w:val="upperLetter"/>
      <w:start w:val="1"/>
    </w:lvl>
  </w:abstractNum>
  <w:abstractNum w:abstractNumId="137">
    <w:nsid w:val="68B867D3"/>
    <w:multiLevelType w:val="hybridMultilevel"/>
    <w:lvl w:ilvl="0">
      <w:lvlJc w:val="left"/>
      <w:lvlText w:val="(%1)"/>
      <w:numFmt w:val="lowerLetter"/>
      <w:start w:val="6"/>
    </w:lvl>
    <w:lvl w:ilvl="1">
      <w:lvlJc w:val="left"/>
      <w:lvlText w:val="(%2)"/>
      <w:numFmt w:val="lowerRoman"/>
      <w:start w:val="1"/>
    </w:lvl>
  </w:abstractNum>
  <w:abstractNum w:abstractNumId="138">
    <w:nsid w:val="3F7F5DD9"/>
    <w:multiLevelType w:val="hybridMultilevel"/>
    <w:lvl w:ilvl="0">
      <w:lvlJc w:val="left"/>
      <w:lvlText w:val="(%1)"/>
      <w:numFmt w:val="lowerLetter"/>
      <w:start w:val="7"/>
    </w:lvl>
    <w:lvl w:ilvl="1">
      <w:lvlJc w:val="left"/>
      <w:lvlText w:val="(%2)"/>
      <w:numFmt w:val="lowerRoman"/>
      <w:start w:val="1"/>
    </w:lvl>
  </w:abstractNum>
  <w:abstractNum w:abstractNumId="139">
    <w:nsid w:val="2AE05A34"/>
    <w:multiLevelType w:val="hybridMultilevel"/>
    <w:lvl w:ilvl="0">
      <w:lvlJc w:val="left"/>
      <w:lvlText w:val="%1."/>
      <w:numFmt w:val="decimal"/>
      <w:start w:val="2"/>
    </w:lvl>
    <w:lvl w:ilvl="1">
      <w:lvlJc w:val="left"/>
      <w:lvlText w:val="(%2)"/>
      <w:numFmt w:val="lowerLetter"/>
      <w:start w:val="1"/>
    </w:lvl>
  </w:abstractNum>
  <w:abstractNum w:abstractNumId="140">
    <w:nsid w:val="32794FF7"/>
    <w:multiLevelType w:val="hybridMultilevel"/>
    <w:lvl w:ilvl="0">
      <w:lvlJc w:val="left"/>
      <w:lvlText w:val="(%1)"/>
      <w:numFmt w:val="lowerLetter"/>
      <w:start w:val="2"/>
    </w:lvl>
  </w:abstractNum>
  <w:abstractNum w:abstractNumId="141">
    <w:nsid w:val="5454945E"/>
    <w:multiLevelType w:val="hybridMultilevel"/>
    <w:lvl w:ilvl="0">
      <w:lvlJc w:val="left"/>
      <w:lvlText w:val="%1."/>
      <w:numFmt w:val="decimal"/>
      <w:start w:val="3"/>
    </w:lvl>
  </w:abstractNum>
  <w:abstractNum w:abstractNumId="142">
    <w:nsid w:val="4DEFDFA0"/>
    <w:multiLevelType w:val="hybridMultilevel"/>
    <w:lvl w:ilvl="0">
      <w:lvlJc w:val="left"/>
      <w:lvlText w:val="(%1)"/>
      <w:numFmt w:val="lowerLetter"/>
      <w:start w:val="1"/>
    </w:lvl>
    <w:lvl w:ilvl="1">
      <w:lvlJc w:val="left"/>
      <w:lvlText w:val="(%2)"/>
      <w:numFmt w:val="lowerRoman"/>
      <w:start w:val="1"/>
    </w:lvl>
  </w:abstractNum>
  <w:abstractNum w:abstractNumId="143">
    <w:nsid w:val="2123D5F2"/>
    <w:multiLevelType w:val="hybridMultilevel"/>
    <w:lvl w:ilvl="0">
      <w:lvlJc w:val="left"/>
      <w:lvlText w:val="(%1)"/>
      <w:numFmt w:val="lowerLetter"/>
      <w:start w:val="3"/>
    </w:lvl>
    <w:lvl w:ilvl="1">
      <w:lvlJc w:val="left"/>
      <w:lvlText w:val="(%2)"/>
      <w:numFmt w:val="lowerRoman"/>
      <w:start w:val="1"/>
    </w:lvl>
  </w:abstractNum>
  <w:abstractNum w:abstractNumId="144">
    <w:nsid w:val="135B8110"/>
    <w:multiLevelType w:val="hybridMultilevel"/>
    <w:lvl w:ilvl="0">
      <w:lvlJc w:val="left"/>
      <w:lvlText w:val="%1"/>
      <w:numFmt w:val="decimal"/>
      <w:start w:val="1"/>
    </w:lvl>
    <w:lvl w:ilvl="1">
      <w:lvlJc w:val="left"/>
      <w:lvlText w:val="(%2)"/>
      <w:numFmt w:val="lowerLetter"/>
      <w:start w:val="5"/>
    </w:lvl>
  </w:abstractNum>
  <w:abstractNum w:abstractNumId="145">
    <w:nsid w:val="94927A8"/>
    <w:multiLevelType w:val="hybridMultilevel"/>
    <w:lvl w:ilvl="0">
      <w:lvlJc w:val="left"/>
      <w:lvlText w:val="%1."/>
      <w:numFmt w:val="decimal"/>
      <w:start w:val="4"/>
    </w:lvl>
    <w:lvl w:ilvl="1">
      <w:lvlJc w:val="left"/>
      <w:lvlText w:val="%2"/>
      <w:numFmt w:val="lowerLetter"/>
      <w:start w:val="1"/>
    </w:lvl>
  </w:abstractNum>
  <w:abstractNum w:abstractNumId="146">
    <w:nsid w:val="DCDF8F6"/>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147">
    <w:nsid w:val="52D7B105"/>
    <w:multiLevelType w:val="hybridMultilevel"/>
    <w:lvl w:ilvl="0">
      <w:lvlJc w:val="left"/>
      <w:lvlText w:val="(%1)"/>
      <w:numFmt w:val="lowerRoman"/>
      <w:start w:val="2"/>
    </w:lvl>
  </w:abstractNum>
  <w:abstractNum w:abstractNumId="148">
    <w:nsid w:val="2E8A6394"/>
    <w:multiLevelType w:val="hybridMultilevel"/>
    <w:lvl w:ilvl="0">
      <w:lvlJc w:val="left"/>
      <w:lvlText w:val="(%1)"/>
      <w:numFmt w:val="lowerLetter"/>
      <w:start w:val="2"/>
    </w:lvl>
    <w:lvl w:ilvl="1">
      <w:lvlJc w:val="left"/>
      <w:lvlText w:val="(%2)"/>
      <w:numFmt w:val="lowerLetter"/>
      <w:start w:val="9"/>
    </w:lvl>
  </w:abstractNum>
  <w:abstractNum w:abstractNumId="149">
    <w:nsid w:val="24E60401"/>
    <w:multiLevelType w:val="hybridMultilevel"/>
    <w:lvl w:ilvl="0">
      <w:lvlJc w:val="left"/>
      <w:lvlText w:val="%1"/>
      <w:numFmt w:val="lowerRoman"/>
      <w:start w:val="1"/>
    </w:lvl>
    <w:lvl w:ilvl="1">
      <w:lvlJc w:val="left"/>
      <w:lvlText w:val="(%2)"/>
      <w:numFmt w:val="upperLetter"/>
      <w:start w:val="1"/>
    </w:lvl>
  </w:abstractNum>
  <w:abstractNum w:abstractNumId="150">
    <w:nsid w:val="2A6AD9BE"/>
    <w:multiLevelType w:val="hybridMultilevel"/>
    <w:lvl w:ilvl="0">
      <w:lvlJc w:val="left"/>
      <w:lvlText w:val="(%1)"/>
      <w:numFmt w:val="lowerRoman"/>
      <w:start w:val="2"/>
    </w:lvl>
    <w:lvl w:ilvl="1">
      <w:lvlJc w:val="left"/>
      <w:lvlText w:val="%2"/>
      <w:numFmt w:val="upperLetter"/>
      <w:start w:val="1"/>
    </w:lvl>
  </w:abstractNum>
  <w:abstractNum w:abstractNumId="151">
    <w:nsid w:val="BAAC1B4"/>
    <w:multiLevelType w:val="hybridMultilevel"/>
    <w:lvl w:ilvl="0">
      <w:lvlJc w:val="left"/>
      <w:lvlText w:val="(%1)"/>
      <w:numFmt w:val="lowerLetter"/>
      <w:start w:val="4"/>
    </w:lvl>
    <w:lvl w:ilvl="1">
      <w:lvlJc w:val="left"/>
      <w:lvlText w:val="(%2)"/>
      <w:numFmt w:val="lowerRoman"/>
      <w:start w:val="1"/>
    </w:lvl>
  </w:abstractNum>
  <w:abstractNum w:abstractNumId="152">
    <w:nsid w:val="36B2ACBC"/>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153">
    <w:nsid w:val="779D8544"/>
    <w:multiLevelType w:val="hybridMultilevel"/>
    <w:lvl w:ilvl="0">
      <w:lvlJc w:val="left"/>
      <w:lvlText w:val="(%1)"/>
      <w:numFmt w:val="decimal"/>
      <w:start w:val="30"/>
    </w:lvl>
    <w:lvl w:ilvl="1">
      <w:lvlJc w:val="left"/>
      <w:lvlText w:val="%2."/>
      <w:numFmt w:val="decimal"/>
      <w:start w:val="10"/>
    </w:lvl>
    <w:lvl w:ilvl="2">
      <w:lvlJc w:val="left"/>
      <w:lvlText w:val="%3"/>
      <w:numFmt w:val="lowerLetter"/>
      <w:start w:val="1"/>
    </w:lvl>
  </w:abstractNum>
  <w:abstractNum w:abstractNumId="154">
    <w:nsid w:val="4AB26E78"/>
    <w:multiLevelType w:val="hybridMultilevel"/>
    <w:lvl w:ilvl="0">
      <w:lvlJc w:val="left"/>
      <w:lvlText w:val="%1."/>
      <w:numFmt w:val="decimal"/>
      <w:start w:val="11"/>
    </w:lvl>
    <w:lvl w:ilvl="1">
      <w:lvlJc w:val="left"/>
      <w:lvlText w:val="(%2)"/>
      <w:numFmt w:val="lowerLetter"/>
      <w:start w:val="1"/>
    </w:lvl>
  </w:abstractNum>
  <w:abstractNum w:abstractNumId="155">
    <w:nsid w:val="21FAA2FA"/>
    <w:multiLevelType w:val="hybridMultilevel"/>
    <w:lvl w:ilvl="0">
      <w:lvlJc w:val="left"/>
      <w:lvlText w:val="%1."/>
      <w:numFmt w:val="decimal"/>
      <w:start w:val="1"/>
    </w:lvl>
  </w:abstractNum>
  <w:abstractNum w:abstractNumId="156">
    <w:nsid w:val="5451CF49"/>
    <w:multiLevelType w:val="hybridMultilevel"/>
    <w:lvl w:ilvl="0">
      <w:lvlJc w:val="left"/>
      <w:lvlText w:val="%1."/>
      <w:numFmt w:val="decimal"/>
      <w:start w:val="2"/>
    </w:lvl>
  </w:abstractNum>
  <w:abstractNum w:abstractNumId="157">
    <w:nsid w:val="6181EF69"/>
    <w:multiLevelType w:val="hybridMultilevel"/>
    <w:lvl w:ilvl="0">
      <w:lvlJc w:val="left"/>
      <w:lvlText w:val="%1."/>
      <w:numFmt w:val="decimal"/>
      <w:start w:val="3"/>
    </w:lvl>
  </w:abstractNum>
  <w:abstractNum w:abstractNumId="158">
    <w:nsid w:val="3E6400E6"/>
    <w:multiLevelType w:val="hybridMultilevel"/>
    <w:lvl w:ilvl="0">
      <w:lvlJc w:val="left"/>
      <w:lvlText w:val="%1."/>
      <w:numFmt w:val="decimal"/>
      <w:start w:val="4"/>
    </w:lvl>
  </w:abstractNum>
  <w:abstractNum w:abstractNumId="159">
    <w:nsid w:val="14217E23"/>
    <w:multiLevelType w:val="hybridMultilevel"/>
    <w:lvl w:ilvl="0">
      <w:lvlJc w:val="left"/>
      <w:lvlText w:val="%1."/>
      <w:numFmt w:val="decimal"/>
      <w:start w:val="5"/>
    </w:lvl>
  </w:abstractNum>
  <w:abstractNum w:abstractNumId="160">
    <w:nsid w:val="710757D0"/>
    <w:multiLevelType w:val="hybridMultilevel"/>
    <w:lvl w:ilvl="0">
      <w:lvlJc w:val="left"/>
      <w:lvlText w:val="%1."/>
      <w:numFmt w:val="lowerLetter"/>
      <w:start w:val="2"/>
    </w:lvl>
    <w:lvl w:ilvl="1">
      <w:lvlJc w:val="left"/>
      <w:lvlText w:val="%2."/>
      <w:numFmt w:val="lowerLetter"/>
      <w:start w:val="3"/>
    </w:lvl>
  </w:abstractNum>
  <w:abstractNum w:abstractNumId="161">
    <w:nsid w:val="5015CD1A"/>
    <w:multiLevelType w:val="hybridMultilevel"/>
    <w:lvl w:ilvl="0">
      <w:lvlJc w:val="left"/>
      <w:lvlText w:val="%1."/>
      <w:numFmt w:val="decimal"/>
      <w:start w:val="6"/>
    </w:lvl>
  </w:abstractNum>
  <w:abstractNum w:abstractNumId="162">
    <w:nsid w:val="424479DA"/>
    <w:multiLevelType w:val="hybridMultilevel"/>
    <w:lvl w:ilvl="0">
      <w:lvlJc w:val="left"/>
      <w:lvlText w:val="%1."/>
      <w:numFmt w:val="decimal"/>
      <w:start w:val="7"/>
    </w:lvl>
  </w:abstractNum>
  <w:abstractNum w:abstractNumId="163">
    <w:nsid w:val="1A9A9E69"/>
    <w:multiLevelType w:val="hybridMultilevel"/>
    <w:lvl w:ilvl="0">
      <w:lvlJc w:val="left"/>
      <w:lvlText w:val="%1."/>
      <w:numFmt w:val="decimal"/>
      <w:start w:val="8"/>
    </w:lvl>
  </w:abstractNum>
  <w:abstractNum w:abstractNumId="164">
    <w:nsid w:val="475E256A"/>
    <w:multiLevelType w:val="hybridMultilevel"/>
    <w:lvl w:ilvl="0">
      <w:lvlJc w:val="left"/>
      <w:lvlText w:val="%1."/>
      <w:numFmt w:val="decimal"/>
      <w:start w:val="9"/>
    </w:lvl>
  </w:abstractNum>
  <w:abstractNum w:abstractNumId="165">
    <w:nsid w:val="368DB37E"/>
    <w:multiLevelType w:val="hybridMultilevel"/>
    <w:lvl w:ilvl="0">
      <w:lvlJc w:val="left"/>
      <w:lvlText w:val="%1."/>
      <w:numFmt w:val="decimal"/>
      <w:start w:val="11"/>
    </w:lvl>
  </w:abstractNum>
  <w:abstractNum w:abstractNumId="166">
    <w:nsid w:val="6A3B714C"/>
    <w:multiLevelType w:val="hybridMultilevel"/>
    <w:lvl w:ilvl="0">
      <w:lvlJc w:val="left"/>
      <w:lvlText w:val="%1."/>
      <w:numFmt w:val="decimal"/>
      <w:start w:val="12"/>
    </w:lvl>
    <w:lvl w:ilvl="1">
      <w:lvlJc w:val="left"/>
      <w:lvlText w:val="%2."/>
      <w:numFmt w:val="lowerLetter"/>
      <w:start w:val="1"/>
    </w:lvl>
  </w:abstractNum>
  <w:abstractNum w:abstractNumId="167">
    <w:nsid w:val="327B517E"/>
    <w:multiLevelType w:val="hybridMultilevel"/>
    <w:lvl w:ilvl="0">
      <w:lvlJc w:val="left"/>
      <w:lvlText w:val="%1."/>
      <w:numFmt w:val="decimal"/>
      <w:start w:val="13"/>
    </w:lvl>
  </w:abstractNum>
  <w:abstractNum w:abstractNumId="168">
    <w:nsid w:val="1F461B51"/>
    <w:multiLevelType w:val="hybridMultilevel"/>
    <w:lvl w:ilvl="0">
      <w:lvlJc w:val="left"/>
      <w:lvlText w:val="(%1)"/>
      <w:numFmt w:val="lowerRoman"/>
      <w:start w:val="2"/>
    </w:lvl>
  </w:abstractNum>
  <w:abstractNum w:abstractNumId="169">
    <w:nsid w:val="29BACF25"/>
    <w:multiLevelType w:val="hybridMultilevel"/>
    <w:lvl w:ilvl="0">
      <w:lvlJc w:val="left"/>
      <w:lvlText w:val="%1."/>
      <w:numFmt w:val="decimal"/>
      <w:start w:val="14"/>
    </w:lvl>
  </w:abstractNum>
  <w:abstractNum w:abstractNumId="170">
    <w:nsid w:val="5D5BABB3"/>
    <w:multiLevelType w:val="hybridMultilevel"/>
    <w:lvl w:ilvl="0">
      <w:lvlJc w:val="left"/>
      <w:lvlText w:val="%1."/>
      <w:numFmt w:val="decimal"/>
      <w:start w:val="15"/>
    </w:lvl>
  </w:abstractNum>
  <w:abstractNum w:abstractNumId="171">
    <w:nsid w:val="51BF6B48"/>
    <w:multiLevelType w:val="hybridMultilevel"/>
    <w:lvl w:ilvl="0">
      <w:lvlJc w:val="left"/>
      <w:lvlText w:val="%1."/>
      <w:numFmt w:val="decimal"/>
      <w:start w:val="16"/>
    </w:lvl>
  </w:abstractNum>
  <w:abstractNum w:abstractNumId="172">
    <w:nsid w:val="7E0F6384"/>
    <w:multiLevelType w:val="hybridMultilevel"/>
    <w:lvl w:ilvl="0">
      <w:lvlJc w:val="left"/>
      <w:lvlText w:val="%1."/>
      <w:numFmt w:val="decimal"/>
      <w:start w:val="17"/>
    </w:lvl>
  </w:abstractNum>
  <w:abstractNum w:abstractNumId="173">
    <w:nsid w:val="2B4B8B53"/>
    <w:multiLevelType w:val="hybridMultilevel"/>
    <w:lvl w:ilvl="0">
      <w:lvlJc w:val="left"/>
      <w:lvlText w:val="%1."/>
      <w:numFmt w:val="upperLetter"/>
      <w:start w:val="1"/>
    </w:lvl>
  </w:abstractNum>
  <w:abstractNum w:abstractNumId="174">
    <w:nsid w:val="72E3413A"/>
    <w:multiLevelType w:val="hybridMultilevel"/>
    <w:lvl w:ilvl="0">
      <w:lvlJc w:val="left"/>
      <w:lvlText w:val="%1."/>
      <w:numFmt w:val="upperLetter"/>
      <w:start w:val="1"/>
    </w:lvl>
    <w:lvl w:ilvl="1">
      <w:lvlJc w:val="left"/>
      <w:lvlText w:val="•"/>
      <w:numFmt w:val="bullet"/>
      <w:start w:val="1"/>
    </w:lvl>
  </w:abstractNum>
  <w:abstractNum w:abstractNumId="175">
    <w:nsid w:val="116AE494"/>
    <w:multiLevelType w:val="hybridMultilevel"/>
    <w:lvl w:ilvl="0">
      <w:lvlJc w:val="left"/>
      <w:lvlText w:val="%1."/>
      <w:numFmt w:val="upperLetter"/>
      <w:start w:val="1"/>
    </w:lvl>
  </w:abstractNum>
  <w:abstractNum w:abstractNumId="176">
    <w:nsid w:val="3494B2FB"/>
    <w:multiLevelType w:val="hybridMultilevel"/>
    <w:lvl w:ilvl="0">
      <w:lvlJc w:val="left"/>
      <w:lvlText w:val="%1."/>
      <w:numFmt w:val="upperLetter"/>
      <w:start w:val="2"/>
    </w:lvl>
  </w:abstractNum>
  <w:abstractNum w:abstractNumId="177">
    <w:nsid w:val="B13A31"/>
    <w:multiLevelType w:val="hybridMultilevel"/>
    <w:lvl w:ilvl="0">
      <w:lvlJc w:val="left"/>
      <w:lvlText w:val="%1."/>
      <w:numFmt w:val="upperLetter"/>
      <w:start w:val="1"/>
    </w:lvl>
  </w:abstractNum>
  <w:abstractNum w:abstractNumId="178">
    <w:nsid w:val="64429599"/>
    <w:multiLevelType w:val="hybridMultilevel"/>
    <w:lvl w:ilvl="0">
      <w:lvlJc w:val="left"/>
      <w:lvlText w:val="%1."/>
      <w:numFmt w:val="upperLetter"/>
      <w:start w:val="2"/>
    </w:lvl>
  </w:abstractNum>
  <w:abstractNum w:abstractNumId="179">
    <w:nsid w:val="631F1690"/>
    <w:multiLevelType w:val="hybridMultilevel"/>
    <w:lvl w:ilvl="0">
      <w:lvlJc w:val="left"/>
      <w:lvlText w:val="•"/>
      <w:numFmt w:val="bullet"/>
      <w:start w:val="1"/>
    </w:lvl>
  </w:abstractNum>
  <w:abstractNum w:abstractNumId="180">
    <w:nsid w:val="25973E32"/>
    <w:multiLevelType w:val="hybridMultilevel"/>
    <w:lvl w:ilvl="0">
      <w:lvlJc w:val="left"/>
      <w:lvlText w:val="%1."/>
      <w:numFmt w:val="decimal"/>
      <w:start w:val="1"/>
    </w:lvl>
    <w:lvl w:ilvl="1">
      <w:lvlJc w:val="left"/>
      <w:lvlText w:val="(%2)"/>
      <w:numFmt w:val="lowerLetter"/>
      <w:start w:val="1"/>
    </w:lvl>
  </w:abstractNum>
  <w:abstractNum w:abstractNumId="181">
    <w:nsid w:val="EAD6F57"/>
    <w:multiLevelType w:val="hybridMultilevel"/>
    <w:lvl w:ilvl="0">
      <w:lvlJc w:val="left"/>
      <w:lvlText w:val="(%1)"/>
      <w:numFmt w:val="lowerLetter"/>
      <w:start w:val="3"/>
    </w:lvl>
  </w:abstractNum>
  <w:abstractNum w:abstractNumId="182">
    <w:nsid w:val="6EC9D844"/>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83">
    <w:nsid w:val="5C49EAE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84">
    <w:nsid w:val="64AF49B"/>
    <w:multiLevelType w:val="hybridMultilevel"/>
    <w:lvl w:ilvl="0">
      <w:lvlJc w:val="left"/>
      <w:lvlText w:val="%1"/>
      <w:numFmt w:val="decimal"/>
      <w:start w:val="1"/>
    </w:lvl>
    <w:lvl w:ilvl="1">
      <w:lvlJc w:val="left"/>
      <w:lvlText w:val="(%2)"/>
      <w:numFmt w:val="lowerLetter"/>
      <w:start w:val="2"/>
    </w:lvl>
  </w:abstractNum>
  <w:abstractNum w:abstractNumId="185">
    <w:nsid w:val="397C46BC"/>
    <w:multiLevelType w:val="hybridMultilevel"/>
    <w:lvl w:ilvl="0">
      <w:lvlJc w:val="left"/>
      <w:lvlText w:val="%1."/>
      <w:numFmt w:val="decimal"/>
      <w:start w:val="6"/>
    </w:lvl>
    <w:lvl w:ilvl="1">
      <w:lvlJc w:val="left"/>
      <w:lvlText w:val="(%2)"/>
      <w:numFmt w:val="lowerLetter"/>
      <w:start w:val="1"/>
    </w:lvl>
  </w:abstractNum>
  <w:abstractNum w:abstractNumId="186">
    <w:nsid w:val="7E448DE9"/>
    <w:multiLevelType w:val="hybridMultilevel"/>
    <w:lvl w:ilvl="0">
      <w:lvlJc w:val="left"/>
      <w:lvlText w:val="%1"/>
      <w:numFmt w:val="decimal"/>
      <w:start w:val="1"/>
    </w:lvl>
    <w:lvl w:ilvl="1">
      <w:lvlJc w:val="left"/>
      <w:lvlText w:val="(%2)"/>
      <w:numFmt w:val="lowerLetter"/>
      <w:start w:val="2"/>
    </w:lvl>
  </w:abstractNum>
  <w:abstractNum w:abstractNumId="187">
    <w:nsid w:val="5A9CC3E5"/>
    <w:multiLevelType w:val="hybridMultilevel"/>
    <w:lvl w:ilvl="0">
      <w:lvlJc w:val="left"/>
      <w:lvlText w:val="%1."/>
      <w:numFmt w:val="decimal"/>
      <w:start w:val="8"/>
    </w:lvl>
    <w:lvl w:ilvl="1">
      <w:lvlJc w:val="left"/>
      <w:lvlText w:val="%2"/>
      <w:numFmt w:val="lowerLetter"/>
      <w:start w:val="1"/>
    </w:lvl>
  </w:abstractNum>
  <w:abstractNum w:abstractNumId="188">
    <w:nsid w:val="1AFE3625"/>
    <w:multiLevelType w:val="hybridMultilevel"/>
    <w:lvl w:ilvl="0">
      <w:lvlJc w:val="left"/>
      <w:lvlText w:val="%1."/>
      <w:numFmt w:val="decimal"/>
      <w:start w:val="11"/>
    </w:lvl>
  </w:abstractNum>
  <w:abstractNum w:abstractNumId="189">
    <w:nsid w:val="3CA88ECF"/>
    <w:multiLevelType w:val="hybridMultilevel"/>
    <w:lvl w:ilvl="0">
      <w:lvlJc w:val="left"/>
      <w:lvlText w:val="%1."/>
      <w:numFmt w:val="decimal"/>
      <w:start w:val="1"/>
    </w:lvl>
  </w:abstractNum>
  <w:abstractNum w:abstractNumId="190">
    <w:nsid w:val="6EBE4208"/>
    <w:multiLevelType w:val="hybridMultilevel"/>
    <w:lvl w:ilvl="0">
      <w:lvlJc w:val="left"/>
      <w:lvlText w:val="%1."/>
      <w:numFmt w:val="decimal"/>
      <w:start w:val="2"/>
    </w:lvl>
  </w:abstractNum>
  <w:abstractNum w:abstractNumId="191">
    <w:nsid w:val="C058DF5"/>
    <w:multiLevelType w:val="hybridMultilevel"/>
    <w:lvl w:ilvl="0">
      <w:lvlJc w:val="left"/>
      <w:lvlText w:val="%1."/>
      <w:numFmt w:val="decimal"/>
      <w:start w:val="4"/>
    </w:lvl>
    <w:lvl w:ilvl="1">
      <w:lvlJc w:val="left"/>
      <w:lvlText w:val="(%2)"/>
      <w:numFmt w:val="lowerLetter"/>
      <w:start w:val="1"/>
    </w:lvl>
  </w:abstractNum>
  <w:abstractNum w:abstractNumId="192">
    <w:nsid w:val="CBE5BE9"/>
    <w:multiLevelType w:val="hybridMultilevel"/>
    <w:lvl w:ilvl="0">
      <w:lvlJc w:val="left"/>
      <w:lvlText w:val="%1."/>
      <w:numFmt w:val="decimal"/>
      <w:start w:val="5"/>
    </w:lvl>
    <w:lvl w:ilvl="1">
      <w:lvlJc w:val="left"/>
      <w:lvlText w:val="(%2)"/>
      <w:numFmt w:val="lowerLetter"/>
      <w:start w:val="1"/>
    </w:lvl>
  </w:abstractNum>
  <w:abstractNum w:abstractNumId="193">
    <w:nsid w:val="3102BBE2"/>
    <w:multiLevelType w:val="hybridMultilevel"/>
    <w:lvl w:ilvl="0">
      <w:lvlJc w:val="left"/>
      <w:lvlText w:val="%1."/>
      <w:numFmt w:val="decimal"/>
      <w:start w:val="8"/>
    </w:lvl>
    <w:lvl w:ilvl="1">
      <w:lvlJc w:val="left"/>
      <w:lvlText w:val="(%2)"/>
      <w:numFmt w:val="lowerLetter"/>
      <w:start w:val="1"/>
    </w:lvl>
  </w:abstractNum>
  <w:abstractNum w:abstractNumId="194">
    <w:nsid w:val="26A02C5E"/>
    <w:multiLevelType w:val="hybridMultilevel"/>
    <w:lvl w:ilvl="0">
      <w:lvlJc w:val="left"/>
      <w:lvlText w:val="%1."/>
      <w:numFmt w:val="decimal"/>
      <w:start w:val="1"/>
    </w:lvl>
    <w:lvl w:ilvl="1">
      <w:lvlJc w:val="left"/>
      <w:lvlText w:val="%2)"/>
      <w:numFmt w:val="lowerLetter"/>
      <w:start w:val="1"/>
    </w:lvl>
  </w:abstractNum>
  <w:abstractNum w:abstractNumId="195">
    <w:nsid w:val="541C815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2019-12-09T19:22:15Z</dcterms:created>
  <dcterms:modified xsi:type="dcterms:W3CDTF">2019-12-09T19:22:15Z</dcterms:modified>
</cp:coreProperties>
</file>