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4" w:lineRule="exact"/>
        <w:rPr>
          <w:sz w:val="24"/>
          <w:szCs w:val="24"/>
          <w:color w:val="auto"/>
        </w:rPr>
      </w:pPr>
    </w:p>
    <w:p>
      <w:pPr>
        <w:jc w:val="center"/>
        <w:ind w:right="-471"/>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471"/>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7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57" w:lineRule="exact"/>
        <w:rPr>
          <w:sz w:val="24"/>
          <w:szCs w:val="24"/>
          <w:color w:val="auto"/>
        </w:rPr>
      </w:pPr>
    </w:p>
    <w:p>
      <w:pPr>
        <w:ind w:left="4131"/>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336" w:lineRule="exact"/>
        <w:rPr>
          <w:sz w:val="24"/>
          <w:szCs w:val="24"/>
          <w:color w:val="auto"/>
        </w:rPr>
      </w:pPr>
    </w:p>
    <w:p>
      <w:pPr>
        <w:ind w:left="511" w:right="559" w:hanging="511"/>
        <w:spacing w:after="0" w:line="262" w:lineRule="auto"/>
        <w:tabs>
          <w:tab w:leader="none" w:pos="434"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05" w:lineRule="exact"/>
        <w:rPr>
          <w:sz w:val="24"/>
          <w:szCs w:val="24"/>
          <w:color w:val="auto"/>
        </w:rPr>
      </w:pPr>
    </w:p>
    <w:p>
      <w:pPr>
        <w:ind w:left="511"/>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81" w:lineRule="exact"/>
        <w:rPr>
          <w:sz w:val="24"/>
          <w:szCs w:val="24"/>
          <w:color w:val="auto"/>
        </w:rPr>
      </w:pPr>
    </w:p>
    <w:p>
      <w:pPr>
        <w:ind w:left="11"/>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395" w:lineRule="exact"/>
        <w:rPr>
          <w:sz w:val="24"/>
          <w:szCs w:val="24"/>
          <w:color w:val="auto"/>
        </w:rPr>
      </w:pPr>
    </w:p>
    <w:p>
      <w:pPr>
        <w:ind w:left="511" w:right="119" w:hanging="511"/>
        <w:spacing w:after="0" w:line="262" w:lineRule="auto"/>
        <w:tabs>
          <w:tab w:leader="none" w:pos="434"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15(d) OF THE SECURITIES EXCHANGE ACT OF 1934</w:t>
      </w:r>
    </w:p>
    <w:p>
      <w:pPr>
        <w:spacing w:after="0" w:line="105" w:lineRule="exact"/>
        <w:rPr>
          <w:sz w:val="24"/>
          <w:szCs w:val="24"/>
          <w:color w:val="auto"/>
        </w:rPr>
      </w:pPr>
    </w:p>
    <w:p>
      <w:pPr>
        <w:ind w:left="511"/>
        <w:spacing w:after="0"/>
        <w:tabs>
          <w:tab w:leader="none" w:pos="3051" w:val="left"/>
        </w:tabs>
        <w:rPr>
          <w:sz w:val="20"/>
          <w:szCs w:val="20"/>
          <w:color w:val="auto"/>
        </w:rPr>
      </w:pPr>
      <w:r>
        <w:rPr>
          <w:rFonts w:ascii="Times New Roman" w:cs="Times New Roman" w:eastAsia="Times New Roman" w:hAnsi="Times New Roman"/>
          <w:sz w:val="18"/>
          <w:szCs w:val="18"/>
          <w:b w:val="1"/>
          <w:bCs w:val="1"/>
          <w:color w:val="auto"/>
        </w:rPr>
        <w:t>For the transition period from</w:t>
        <w:tab/>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1830705</wp:posOffset>
            </wp:positionH>
            <wp:positionV relativeFrom="paragraph">
              <wp:posOffset>-5080</wp:posOffset>
            </wp:positionV>
            <wp:extent cx="920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0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left="3751"/>
        <w:spacing w:after="0"/>
        <w:rPr>
          <w:sz w:val="20"/>
          <w:szCs w:val="20"/>
          <w:color w:val="auto"/>
        </w:rPr>
      </w:pPr>
      <w:r>
        <w:rPr>
          <w:rFonts w:ascii="Times New Roman" w:cs="Times New Roman" w:eastAsia="Times New Roman" w:hAnsi="Times New Roman"/>
          <w:sz w:val="18"/>
          <w:szCs w:val="18"/>
          <w:b w:val="1"/>
          <w:bCs w:val="1"/>
          <w:color w:val="auto"/>
        </w:rPr>
        <w:t>Commission file number 1-35166</w:t>
      </w:r>
    </w:p>
    <w:p>
      <w:pPr>
        <w:spacing w:after="0" w:line="324" w:lineRule="exact"/>
        <w:rPr>
          <w:sz w:val="24"/>
          <w:szCs w:val="24"/>
          <w:color w:val="auto"/>
        </w:rPr>
      </w:pPr>
    </w:p>
    <w:p>
      <w:pPr>
        <w:ind w:left="511" w:hanging="509"/>
        <w:spacing w:after="0"/>
        <w:tabs>
          <w:tab w:leader="none" w:pos="5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title of the plan and the address of the plan, if different from that of the issuer named below:</w:t>
      </w:r>
    </w:p>
    <w:p>
      <w:pPr>
        <w:spacing w:after="0" w:line="158" w:lineRule="exact"/>
        <w:rPr>
          <w:sz w:val="24"/>
          <w:szCs w:val="24"/>
          <w:color w:val="auto"/>
        </w:rPr>
      </w:pPr>
    </w:p>
    <w:p>
      <w:pPr>
        <w:ind w:left="1631"/>
        <w:spacing w:after="0"/>
        <w:rPr>
          <w:sz w:val="20"/>
          <w:szCs w:val="20"/>
          <w:color w:val="auto"/>
        </w:rPr>
      </w:pPr>
      <w:r>
        <w:rPr>
          <w:rFonts w:ascii="Times New Roman" w:cs="Times New Roman" w:eastAsia="Times New Roman" w:hAnsi="Times New Roman"/>
          <w:sz w:val="22"/>
          <w:szCs w:val="22"/>
          <w:b w:val="1"/>
          <w:bCs w:val="1"/>
          <w:color w:val="auto"/>
        </w:rPr>
        <w:t>FORTUNE BRANDS INNOVATIONS RETIREMENT SAVINGS PLAN</w:t>
      </w:r>
    </w:p>
    <w:p>
      <w:pPr>
        <w:spacing w:after="0" w:line="200" w:lineRule="exact"/>
        <w:rPr>
          <w:sz w:val="24"/>
          <w:szCs w:val="24"/>
          <w:color w:val="auto"/>
        </w:rPr>
      </w:pPr>
    </w:p>
    <w:p>
      <w:pPr>
        <w:spacing w:after="0" w:line="370" w:lineRule="exact"/>
        <w:rPr>
          <w:sz w:val="24"/>
          <w:szCs w:val="24"/>
          <w:color w:val="auto"/>
        </w:rPr>
      </w:pPr>
    </w:p>
    <w:p>
      <w:pPr>
        <w:ind w:left="511" w:hanging="509"/>
        <w:spacing w:after="0"/>
        <w:tabs>
          <w:tab w:leader="none" w:pos="51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the issuer of the securities held pursuant to the plan and the address of its principal executive office:</w:t>
      </w:r>
    </w:p>
    <w:p>
      <w:pPr>
        <w:spacing w:after="0" w:line="158" w:lineRule="exact"/>
        <w:rPr>
          <w:sz w:val="24"/>
          <w:szCs w:val="24"/>
          <w:color w:val="auto"/>
        </w:rPr>
      </w:pPr>
    </w:p>
    <w:p>
      <w:pPr>
        <w:jc w:val="center"/>
        <w:ind w:right="-471"/>
        <w:spacing w:after="0"/>
        <w:rPr>
          <w:sz w:val="20"/>
          <w:szCs w:val="20"/>
          <w:color w:val="auto"/>
        </w:rPr>
      </w:pPr>
      <w:r>
        <w:rPr>
          <w:rFonts w:ascii="Times New Roman" w:cs="Times New Roman" w:eastAsia="Times New Roman" w:hAnsi="Times New Roman"/>
          <w:sz w:val="22"/>
          <w:szCs w:val="22"/>
          <w:b w:val="1"/>
          <w:bCs w:val="1"/>
          <w:color w:val="auto"/>
        </w:rPr>
        <w:t>FORTUNE BRANDS INNOVATIONS, INC.</w:t>
      </w:r>
    </w:p>
    <w:p>
      <w:pPr>
        <w:spacing w:after="0" w:line="23" w:lineRule="exact"/>
        <w:rPr>
          <w:sz w:val="24"/>
          <w:szCs w:val="24"/>
          <w:color w:val="auto"/>
        </w:rPr>
      </w:pPr>
    </w:p>
    <w:p>
      <w:pPr>
        <w:ind w:left="3931"/>
        <w:spacing w:after="0"/>
        <w:rPr>
          <w:sz w:val="20"/>
          <w:szCs w:val="20"/>
          <w:color w:val="auto"/>
        </w:rPr>
      </w:pPr>
      <w:r>
        <w:rPr>
          <w:rFonts w:ascii="Times New Roman" w:cs="Times New Roman" w:eastAsia="Times New Roman" w:hAnsi="Times New Roman"/>
          <w:sz w:val="18"/>
          <w:szCs w:val="18"/>
          <w:b w:val="1"/>
          <w:bCs w:val="1"/>
          <w:color w:val="auto"/>
        </w:rPr>
        <w:t>1 Horizon Way, Building N,</w:t>
      </w:r>
    </w:p>
    <w:p>
      <w:pPr>
        <w:spacing w:after="0" w:line="7" w:lineRule="exact"/>
        <w:rPr>
          <w:sz w:val="24"/>
          <w:szCs w:val="24"/>
          <w:color w:val="auto"/>
        </w:rPr>
      </w:pPr>
    </w:p>
    <w:p>
      <w:pPr>
        <w:ind w:left="4111"/>
        <w:spacing w:after="0"/>
        <w:rPr>
          <w:sz w:val="20"/>
          <w:szCs w:val="20"/>
          <w:color w:val="auto"/>
        </w:rPr>
      </w:pPr>
      <w:r>
        <w:rPr>
          <w:rFonts w:ascii="Times New Roman" w:cs="Times New Roman" w:eastAsia="Times New Roman" w:hAnsi="Times New Roman"/>
          <w:sz w:val="18"/>
          <w:szCs w:val="18"/>
          <w:b w:val="1"/>
          <w:bCs w:val="1"/>
          <w:color w:val="auto"/>
        </w:rPr>
        <w:t>Deerfield, Illinois 60015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-381000</wp:posOffset>
            </wp:positionH>
            <wp:positionV relativeFrom="paragraph">
              <wp:posOffset>764540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50"/>
          </w:cols>
          <w:pgMar w:left="909" w:top="1440" w:right="1440" w:bottom="1440" w:gutter="0" w:footer="0" w:header="0"/>
        </w:sectPr>
      </w:pPr>
    </w:p>
    <w:bookmarkStart w:id="1" w:name="page2"/>
    <w:bookmarkEnd w:id="1"/>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Statements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of Net Assets Available For Benefits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Statements of Changes in Net Assets Available For Benefits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 to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H, Line 4i—Schedule of Assets (Held at End of Year)</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Index</w:t>
      </w:r>
    </w:p>
    <w:p>
      <w:pPr>
        <w:spacing w:after="0" w:line="1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Exhibit 23.1  Consent of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85"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20"/>
          <w:szCs w:val="20"/>
          <w:color w:val="auto"/>
        </w:rPr>
        <w:t>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2</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3</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color w:val="auto"/>
        </w:rPr>
        <w:t>4</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15</w:t>
      </w:r>
    </w:p>
    <w:p>
      <w:pPr>
        <w:spacing w:after="0" w:line="2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16</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17</w:t>
      </w:r>
    </w:p>
    <w:p>
      <w:pPr>
        <w:spacing w:after="0" w:line="593" w:lineRule="exact"/>
        <w:rPr>
          <w:sz w:val="20"/>
          <w:szCs w:val="20"/>
          <w:color w:val="auto"/>
        </w:rPr>
      </w:pPr>
    </w:p>
    <w:p>
      <w:pPr>
        <w:sectPr>
          <w:pgSz w:w="11900" w:h="16838" w:orient="portrait"/>
          <w:cols w:equalWidth="0" w:num="2">
            <w:col w:w="8140" w:space="720"/>
            <w:col w:w="1180"/>
          </w:cols>
          <w:pgMar w:left="900" w:top="1440" w:right="959" w:bottom="1440" w:gutter="0" w:footer="0" w:header="0"/>
        </w:sectPr>
      </w:pPr>
    </w:p>
    <w:p>
      <w:pPr>
        <w:spacing w:after="0" w:line="347" w:lineRule="exact"/>
        <w:rPr>
          <w:sz w:val="20"/>
          <w:szCs w:val="20"/>
          <w:color w:val="auto"/>
        </w:rPr>
      </w:pPr>
    </w:p>
    <w:p>
      <w:pPr>
        <w:ind w:left="20"/>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Note: </w:t>
      </w:r>
      <w:r>
        <w:rPr>
          <w:rFonts w:ascii="Times New Roman" w:cs="Times New Roman" w:eastAsia="Times New Roman" w:hAnsi="Times New Roman"/>
          <w:sz w:val="20"/>
          <w:szCs w:val="20"/>
          <w:color w:val="auto"/>
        </w:rPr>
        <w:t>Other supplemental schedules required by the Employee Retirement Income Security Act have been omitted because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supplemental schedules are not applicable to the Fortune Brands Innovations Retirement Savings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589280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900" w:top="1440" w:right="959" w:bottom="1440" w:gutter="0" w:footer="0" w:header="0"/>
          <w:type w:val="continuous"/>
        </w:sectPr>
      </w:pPr>
    </w:p>
    <w:bookmarkStart w:id="2" w:name="page3"/>
    <w:bookmarkEnd w:id="2"/>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Fortune Brands Innovations Employee Benefits Committee and Plan Participants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Fortune Brands Innovations Retirement Savings Plan</w:t>
      </w:r>
    </w:p>
    <w:p>
      <w:pPr>
        <w:spacing w:after="0"/>
        <w:rPr>
          <w:sz w:val="20"/>
          <w:szCs w:val="20"/>
          <w:color w:val="auto"/>
        </w:rPr>
      </w:pPr>
      <w:r>
        <w:rPr>
          <w:rFonts w:ascii="Times New Roman" w:cs="Times New Roman" w:eastAsia="Times New Roman" w:hAnsi="Times New Roman"/>
          <w:sz w:val="20"/>
          <w:szCs w:val="20"/>
          <w:color w:val="auto"/>
        </w:rPr>
        <w:t>Deerfield, Illinois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have audited the accompanying statements of net assets available for benefits of the Fortune Brands Innovations Retirement Savings Plan (the “Plan”) as of December 31, 2025 and 2024, the related statements of changes in net assets available for benefits for the years then ended, and the related notes (collectively,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Our audits included performing procedures to assess the risk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provide a reasonable basis for our opinion.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Supplemental Information</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supplemental information in the accompanying Schedule H, line 4i - Schedule of Assets (Held at End of Year) as of December 31, 2025, has been subjected to audit procedures performed in conjunction with the audit of the Plan’s financial statements. The supplemental information is presented for the purpose of additional analysis and is not a required part of the financial statements but included supplemental information required by the Department of Labor’s Rules and Regulations for Reporting and Disclosure under the Employee Retirement Income Security Act of 1974.The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Plan’s auditor since 2020.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rPr>
          <w:sz w:val="20"/>
          <w:szCs w:val="20"/>
          <w:color w:val="auto"/>
        </w:rPr>
      </w:pPr>
      <w:r>
        <w:rPr>
          <w:rFonts w:ascii="Times New Roman" w:cs="Times New Roman" w:eastAsia="Times New Roman" w:hAnsi="Times New Roman"/>
          <w:sz w:val="20"/>
          <w:szCs w:val="20"/>
          <w:color w:val="auto"/>
        </w:rPr>
        <w:t>June 26, 2026</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353060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20" w:right="5480"/>
        <w:spacing w:after="0" w:line="256" w:lineRule="auto"/>
        <w:rPr>
          <w:sz w:val="20"/>
          <w:szCs w:val="20"/>
          <w:color w:val="auto"/>
        </w:rPr>
      </w:pPr>
      <w:r>
        <w:rPr>
          <w:rFonts w:ascii="Times New Roman" w:cs="Times New Roman" w:eastAsia="Times New Roman" w:hAnsi="Times New Roman"/>
          <w:sz w:val="20"/>
          <w:szCs w:val="20"/>
          <w:b w:val="1"/>
          <w:bCs w:val="1"/>
          <w:color w:val="auto"/>
        </w:rPr>
        <w:t>Fortune Brands Innovations Retirement Savings Plan STATEMENTS OF NET ASSETS AVAILABLE FOR BENEFITS December 31, 2025 and 2024 (Dollars in thousands)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7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Assets</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720" w:type="dxa"/>
            <w:vAlign w:val="bottom"/>
            <w:tcBorders>
              <w:bottom w:val="single" w:sz="8" w:color="auto"/>
            </w:tcBorders>
          </w:tcPr>
          <w:p>
            <w:pPr>
              <w:spacing w:after="0"/>
              <w:rPr>
                <w:sz w:val="21"/>
                <w:szCs w:val="21"/>
                <w:color w:val="auto"/>
              </w:rPr>
            </w:pPr>
          </w:p>
        </w:tc>
        <w:tc>
          <w:tcPr>
            <w:tcW w:w="5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81"/>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00"/>
        </w:trPr>
        <w:tc>
          <w:tcPr>
            <w:tcW w:w="6720" w:type="dxa"/>
            <w:vAlign w:val="bottom"/>
            <w:vMerge w:val="continue"/>
          </w:tcPr>
          <w:p>
            <w:pPr>
              <w:spacing w:after="0"/>
              <w:rPr>
                <w:sz w:val="17"/>
                <w:szCs w:val="17"/>
                <w:color w:val="auto"/>
              </w:rPr>
            </w:pPr>
          </w:p>
        </w:tc>
        <w:tc>
          <w:tcPr>
            <w:tcW w:w="1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Plan’s interest in Fortune Brands Innovations, Inc.</w:t>
            </w: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Defined Contribution Master Trust</w:t>
            </w:r>
          </w:p>
        </w:tc>
        <w:tc>
          <w:tcPr>
            <w:tcW w:w="1200" w:type="dxa"/>
            <w:vAlign w:val="bottom"/>
          </w:tcPr>
          <w:p>
            <w:pPr>
              <w:jc w:val="right"/>
              <w:ind w:right="1001"/>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862,539</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798,508</w:t>
            </w:r>
          </w:p>
        </w:tc>
        <w:tc>
          <w:tcPr>
            <w:tcW w:w="0" w:type="dxa"/>
            <w:vAlign w:val="bottom"/>
          </w:tcPr>
          <w:p>
            <w:pPr>
              <w:spacing w:after="0"/>
              <w:rPr>
                <w:sz w:val="1"/>
                <w:szCs w:val="1"/>
                <w:color w:val="auto"/>
              </w:rPr>
            </w:pPr>
          </w:p>
        </w:tc>
      </w:tr>
      <w:tr>
        <w:trPr>
          <w:trHeight w:val="230"/>
        </w:trPr>
        <w:tc>
          <w:tcPr>
            <w:tcW w:w="6720" w:type="dxa"/>
            <w:vAlign w:val="bottom"/>
          </w:tcPr>
          <w:p>
            <w:pPr>
              <w:ind w:left="680"/>
              <w:spacing w:after="0"/>
              <w:rPr>
                <w:sz w:val="20"/>
                <w:szCs w:val="20"/>
                <w:color w:val="auto"/>
              </w:rPr>
            </w:pPr>
            <w:r>
              <w:rPr>
                <w:rFonts w:ascii="Times New Roman" w:cs="Times New Roman" w:eastAsia="Times New Roman" w:hAnsi="Times New Roman"/>
                <w:sz w:val="20"/>
                <w:szCs w:val="20"/>
                <w:color w:val="auto"/>
              </w:rPr>
              <w:t>Receivables</w:t>
            </w: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Company contributions</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12,485</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15,635</w:t>
            </w:r>
          </w:p>
        </w:tc>
        <w:tc>
          <w:tcPr>
            <w:tcW w:w="0" w:type="dxa"/>
            <w:vAlign w:val="bottom"/>
          </w:tcPr>
          <w:p>
            <w:pPr>
              <w:spacing w:after="0"/>
              <w:rPr>
                <w:sz w:val="1"/>
                <w:szCs w:val="1"/>
                <w:color w:val="auto"/>
              </w:rPr>
            </w:pPr>
          </w:p>
        </w:tc>
      </w:tr>
      <w:tr>
        <w:trPr>
          <w:trHeight w:val="229"/>
        </w:trPr>
        <w:tc>
          <w:tcPr>
            <w:tcW w:w="67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Participant contributions</w:t>
            </w: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w:t>
            </w: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w:t>
            </w:r>
          </w:p>
        </w:tc>
        <w:tc>
          <w:tcPr>
            <w:tcW w:w="0" w:type="dxa"/>
            <w:vAlign w:val="bottom"/>
          </w:tcPr>
          <w:p>
            <w:pPr>
              <w:spacing w:after="0"/>
              <w:rPr>
                <w:sz w:val="1"/>
                <w:szCs w:val="1"/>
                <w:color w:val="auto"/>
              </w:rPr>
            </w:pPr>
          </w:p>
        </w:tc>
      </w:tr>
      <w:tr>
        <w:trPr>
          <w:trHeight w:val="252"/>
        </w:trPr>
        <w:tc>
          <w:tcPr>
            <w:tcW w:w="672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1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10,224</w:t>
            </w:r>
          </w:p>
        </w:tc>
        <w:tc>
          <w:tcPr>
            <w:tcW w:w="5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10,111</w:t>
            </w:r>
          </w:p>
        </w:tc>
        <w:tc>
          <w:tcPr>
            <w:tcW w:w="0" w:type="dxa"/>
            <w:vAlign w:val="bottom"/>
          </w:tcPr>
          <w:p>
            <w:pPr>
              <w:spacing w:after="0"/>
              <w:rPr>
                <w:sz w:val="1"/>
                <w:szCs w:val="1"/>
                <w:color w:val="auto"/>
              </w:rPr>
            </w:pPr>
          </w:p>
        </w:tc>
      </w:tr>
      <w:tr>
        <w:trPr>
          <w:trHeight w:val="223"/>
        </w:trPr>
        <w:tc>
          <w:tcPr>
            <w:tcW w:w="6720" w:type="dxa"/>
            <w:vAlign w:val="bottom"/>
          </w:tcPr>
          <w:p>
            <w:pPr>
              <w:ind w:left="1000"/>
              <w:spacing w:after="0" w:line="223" w:lineRule="exact"/>
              <w:rPr>
                <w:sz w:val="20"/>
                <w:szCs w:val="20"/>
                <w:color w:val="auto"/>
              </w:rPr>
            </w:pPr>
            <w:r>
              <w:rPr>
                <w:rFonts w:ascii="Times New Roman" w:cs="Times New Roman" w:eastAsia="Times New Roman" w:hAnsi="Times New Roman"/>
                <w:sz w:val="20"/>
                <w:szCs w:val="20"/>
                <w:color w:val="auto"/>
              </w:rPr>
              <w:t>Total receivables</w:t>
            </w: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22,709</w:t>
            </w:r>
          </w:p>
        </w:tc>
        <w:tc>
          <w:tcPr>
            <w:tcW w:w="5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26,070</w:t>
            </w:r>
          </w:p>
        </w:tc>
        <w:tc>
          <w:tcPr>
            <w:tcW w:w="0" w:type="dxa"/>
            <w:vAlign w:val="bottom"/>
          </w:tcPr>
          <w:p>
            <w:pPr>
              <w:spacing w:after="0"/>
              <w:rPr>
                <w:sz w:val="1"/>
                <w:szCs w:val="1"/>
                <w:color w:val="auto"/>
              </w:rPr>
            </w:pPr>
          </w:p>
        </w:tc>
      </w:tr>
      <w:tr>
        <w:trPr>
          <w:trHeight w:val="453"/>
        </w:trPr>
        <w:tc>
          <w:tcPr>
            <w:tcW w:w="6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NET ASSETS AVAILABLE FOR BENEFITS</w:t>
            </w:r>
          </w:p>
        </w:tc>
        <w:tc>
          <w:tcPr>
            <w:tcW w:w="1200" w:type="dxa"/>
            <w:vAlign w:val="bottom"/>
          </w:tcPr>
          <w:p>
            <w:pPr>
              <w:jc w:val="right"/>
              <w:ind w:right="1001"/>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885,248</w:t>
            </w: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824,578</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The accompanying notes are an integral part of these statements.</w:t>
      </w:r>
    </w:p>
    <w:p>
      <w:pPr>
        <w:spacing w:after="0" w:line="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617855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4" w:right="4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0"/>
          <w:szCs w:val="20"/>
          <w:b w:val="1"/>
          <w:bCs w:val="1"/>
          <w:color w:val="auto"/>
        </w:rPr>
        <w:t>Fortune Brands Innovations Retirement Savings Plan</w:t>
      </w:r>
    </w:p>
    <w:p>
      <w:pPr>
        <w:spacing w:after="0" w:line="26" w:lineRule="exact"/>
        <w:rPr>
          <w:sz w:val="20"/>
          <w:szCs w:val="20"/>
          <w:color w:val="auto"/>
        </w:rPr>
      </w:pPr>
    </w:p>
    <w:p>
      <w:pPr>
        <w:ind w:left="20" w:right="4160"/>
        <w:spacing w:after="0" w:line="243" w:lineRule="auto"/>
        <w:rPr>
          <w:sz w:val="20"/>
          <w:szCs w:val="20"/>
          <w:color w:val="auto"/>
        </w:rPr>
      </w:pPr>
      <w:r>
        <w:rPr>
          <w:rFonts w:ascii="Times New Roman" w:cs="Times New Roman" w:eastAsia="Times New Roman" w:hAnsi="Times New Roman"/>
          <w:sz w:val="20"/>
          <w:szCs w:val="20"/>
          <w:b w:val="1"/>
          <w:bCs w:val="1"/>
          <w:color w:val="auto"/>
        </w:rPr>
        <w:t>STATEMENTS OF CHANGES IN NET ASSETS AVAILABLE FOR BENEFITS Years Ended December 31, 2025 and 2024 (Dollars in thousands)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9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Additions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ind w:right="621"/>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00"/>
        </w:trPr>
        <w:tc>
          <w:tcPr>
            <w:tcW w:w="6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9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Change in Plan’s interest in Fortune Brands Innovations, Inc.</w:t>
            </w: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Defined Contribution Master Trust</w:t>
            </w:r>
          </w:p>
        </w:tc>
        <w:tc>
          <w:tcPr>
            <w:tcW w:w="1120" w:type="dxa"/>
            <w:vAlign w:val="bottom"/>
            <w:gridSpan w:val="2"/>
          </w:tcPr>
          <w:p>
            <w:pPr>
              <w:jc w:val="right"/>
              <w:ind w:right="938"/>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122,013</w:t>
            </w:r>
          </w:p>
        </w:tc>
        <w:tc>
          <w:tcPr>
            <w:tcW w:w="940" w:type="dxa"/>
            <w:vAlign w:val="bottom"/>
            <w:gridSpan w:val="2"/>
          </w:tcPr>
          <w:p>
            <w:pPr>
              <w:jc w:val="right"/>
              <w:ind w:right="201"/>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98,726</w:t>
            </w:r>
          </w:p>
        </w:tc>
        <w:tc>
          <w:tcPr>
            <w:tcW w:w="0" w:type="dxa"/>
            <w:vAlign w:val="bottom"/>
          </w:tcPr>
          <w:p>
            <w:pPr>
              <w:spacing w:after="0"/>
              <w:rPr>
                <w:sz w:val="1"/>
                <w:szCs w:val="1"/>
                <w:color w:val="auto"/>
              </w:rPr>
            </w:pPr>
          </w:p>
        </w:tc>
      </w:tr>
      <w:tr>
        <w:trPr>
          <w:trHeight w:val="229"/>
        </w:trPr>
        <w:tc>
          <w:tcPr>
            <w:tcW w:w="69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Interest income on notes receivable from participants</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696</w:t>
            </w:r>
          </w:p>
        </w:tc>
        <w:tc>
          <w:tcPr>
            <w:tcW w:w="0" w:type="dxa"/>
            <w:vAlign w:val="bottom"/>
          </w:tcPr>
          <w:p>
            <w:pPr>
              <w:spacing w:after="0"/>
              <w:rPr>
                <w:sz w:val="1"/>
                <w:szCs w:val="1"/>
                <w:color w:val="auto"/>
              </w:rPr>
            </w:pPr>
          </w:p>
        </w:tc>
      </w:tr>
      <w:tr>
        <w:trPr>
          <w:trHeight w:val="229"/>
        </w:trPr>
        <w:tc>
          <w:tcPr>
            <w:tcW w:w="69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Company contributions</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29,108</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32,365</w:t>
            </w:r>
          </w:p>
        </w:tc>
        <w:tc>
          <w:tcPr>
            <w:tcW w:w="0" w:type="dxa"/>
            <w:vAlign w:val="bottom"/>
          </w:tcPr>
          <w:p>
            <w:pPr>
              <w:spacing w:after="0"/>
              <w:rPr>
                <w:sz w:val="1"/>
                <w:szCs w:val="1"/>
                <w:color w:val="auto"/>
              </w:rPr>
            </w:pPr>
          </w:p>
        </w:tc>
      </w:tr>
      <w:tr>
        <w:trPr>
          <w:trHeight w:val="230"/>
        </w:trPr>
        <w:tc>
          <w:tcPr>
            <w:tcW w:w="69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Participant contributions</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35,771</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36,653</w:t>
            </w:r>
          </w:p>
        </w:tc>
        <w:tc>
          <w:tcPr>
            <w:tcW w:w="0" w:type="dxa"/>
            <w:vAlign w:val="bottom"/>
          </w:tcPr>
          <w:p>
            <w:pPr>
              <w:spacing w:after="0"/>
              <w:rPr>
                <w:sz w:val="1"/>
                <w:szCs w:val="1"/>
                <w:color w:val="auto"/>
              </w:rPr>
            </w:pPr>
          </w:p>
        </w:tc>
      </w:tr>
      <w:tr>
        <w:trPr>
          <w:trHeight w:val="252"/>
        </w:trPr>
        <w:tc>
          <w:tcPr>
            <w:tcW w:w="69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Rollover contributions</w:t>
            </w:r>
          </w:p>
        </w:tc>
        <w:tc>
          <w:tcPr>
            <w:tcW w:w="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15,749</w:t>
            </w:r>
          </w:p>
        </w:tc>
        <w:tc>
          <w:tcPr>
            <w:tcW w:w="5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9,402</w:t>
            </w:r>
          </w:p>
        </w:tc>
        <w:tc>
          <w:tcPr>
            <w:tcW w:w="0" w:type="dxa"/>
            <w:vAlign w:val="bottom"/>
          </w:tcPr>
          <w:p>
            <w:pPr>
              <w:spacing w:after="0"/>
              <w:rPr>
                <w:sz w:val="1"/>
                <w:szCs w:val="1"/>
                <w:color w:val="auto"/>
              </w:rPr>
            </w:pPr>
          </w:p>
        </w:tc>
      </w:tr>
      <w:tr>
        <w:trPr>
          <w:trHeight w:val="252"/>
        </w:trPr>
        <w:tc>
          <w:tcPr>
            <w:tcW w:w="696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Total additions</w:t>
            </w: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203,439</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177,842</w:t>
            </w:r>
          </w:p>
        </w:tc>
        <w:tc>
          <w:tcPr>
            <w:tcW w:w="0" w:type="dxa"/>
            <w:vAlign w:val="bottom"/>
          </w:tcPr>
          <w:p>
            <w:pPr>
              <w:spacing w:after="0"/>
              <w:rPr>
                <w:sz w:val="1"/>
                <w:szCs w:val="1"/>
                <w:color w:val="auto"/>
              </w:rPr>
            </w:pPr>
          </w:p>
        </w:tc>
      </w:tr>
      <w:tr>
        <w:trPr>
          <w:trHeight w:val="407"/>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Deductions</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9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141,947</w:t>
            </w: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83,280</w:t>
            </w:r>
          </w:p>
        </w:tc>
        <w:tc>
          <w:tcPr>
            <w:tcW w:w="0" w:type="dxa"/>
            <w:vAlign w:val="bottom"/>
          </w:tcPr>
          <w:p>
            <w:pPr>
              <w:spacing w:after="0"/>
              <w:rPr>
                <w:sz w:val="1"/>
                <w:szCs w:val="1"/>
                <w:color w:val="auto"/>
              </w:rPr>
            </w:pPr>
          </w:p>
        </w:tc>
      </w:tr>
      <w:tr>
        <w:trPr>
          <w:trHeight w:val="252"/>
        </w:trPr>
        <w:tc>
          <w:tcPr>
            <w:tcW w:w="69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Administrative expenses</w:t>
            </w:r>
          </w:p>
        </w:tc>
        <w:tc>
          <w:tcPr>
            <w:tcW w:w="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918</w:t>
            </w:r>
          </w:p>
        </w:tc>
        <w:tc>
          <w:tcPr>
            <w:tcW w:w="5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696</w:t>
            </w:r>
          </w:p>
        </w:tc>
        <w:tc>
          <w:tcPr>
            <w:tcW w:w="0" w:type="dxa"/>
            <w:vAlign w:val="bottom"/>
          </w:tcPr>
          <w:p>
            <w:pPr>
              <w:spacing w:after="0"/>
              <w:rPr>
                <w:sz w:val="1"/>
                <w:szCs w:val="1"/>
                <w:color w:val="auto"/>
              </w:rPr>
            </w:pPr>
          </w:p>
        </w:tc>
      </w:tr>
      <w:tr>
        <w:trPr>
          <w:trHeight w:val="252"/>
        </w:trPr>
        <w:tc>
          <w:tcPr>
            <w:tcW w:w="696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Total deductions</w:t>
            </w:r>
          </w:p>
        </w:tc>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142,865</w:t>
            </w: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83,976</w:t>
            </w:r>
          </w:p>
        </w:tc>
        <w:tc>
          <w:tcPr>
            <w:tcW w:w="0" w:type="dxa"/>
            <w:vAlign w:val="bottom"/>
          </w:tcPr>
          <w:p>
            <w:pPr>
              <w:spacing w:after="0"/>
              <w:rPr>
                <w:sz w:val="1"/>
                <w:szCs w:val="1"/>
                <w:color w:val="auto"/>
              </w:rPr>
            </w:pPr>
          </w:p>
        </w:tc>
      </w:tr>
      <w:tr>
        <w:trPr>
          <w:trHeight w:val="436"/>
        </w:trPr>
        <w:tc>
          <w:tcPr>
            <w:tcW w:w="696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Net increase prior to transfers</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60,574</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93,866</w:t>
            </w:r>
          </w:p>
        </w:tc>
        <w:tc>
          <w:tcPr>
            <w:tcW w:w="0" w:type="dxa"/>
            <w:vAlign w:val="bottom"/>
          </w:tcPr>
          <w:p>
            <w:pPr>
              <w:spacing w:after="0"/>
              <w:rPr>
                <w:sz w:val="1"/>
                <w:szCs w:val="1"/>
                <w:color w:val="auto"/>
              </w:rPr>
            </w:pPr>
          </w:p>
        </w:tc>
      </w:tr>
      <w:tr>
        <w:trPr>
          <w:trHeight w:val="453"/>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Transfers to and (from) the Plan, net (See Note C)</w:t>
            </w:r>
          </w:p>
        </w:tc>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5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w:t>
            </w:r>
          </w:p>
        </w:tc>
        <w:tc>
          <w:tcPr>
            <w:tcW w:w="0" w:type="dxa"/>
            <w:vAlign w:val="bottom"/>
          </w:tcPr>
          <w:p>
            <w:pPr>
              <w:spacing w:after="0"/>
              <w:rPr>
                <w:sz w:val="1"/>
                <w:szCs w:val="1"/>
                <w:color w:val="auto"/>
              </w:rPr>
            </w:pPr>
          </w:p>
        </w:tc>
      </w:tr>
      <w:tr>
        <w:trPr>
          <w:trHeight w:val="458"/>
        </w:trPr>
        <w:tc>
          <w:tcPr>
            <w:tcW w:w="6960" w:type="dxa"/>
            <w:vAlign w:val="bottom"/>
          </w:tcPr>
          <w:p>
            <w:pPr>
              <w:ind w:left="500"/>
              <w:spacing w:after="0"/>
              <w:rPr>
                <w:sz w:val="20"/>
                <w:szCs w:val="20"/>
                <w:color w:val="auto"/>
              </w:rPr>
            </w:pPr>
            <w:r>
              <w:rPr>
                <w:rFonts w:ascii="Times New Roman" w:cs="Times New Roman" w:eastAsia="Times New Roman" w:hAnsi="Times New Roman"/>
                <w:sz w:val="20"/>
                <w:szCs w:val="20"/>
                <w:b w:val="1"/>
                <w:bCs w:val="1"/>
                <w:color w:val="auto"/>
              </w:rPr>
              <w:t>NET INCREASE</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60,670</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94,045</w:t>
            </w:r>
          </w:p>
        </w:tc>
        <w:tc>
          <w:tcPr>
            <w:tcW w:w="0" w:type="dxa"/>
            <w:vAlign w:val="bottom"/>
          </w:tcPr>
          <w:p>
            <w:pPr>
              <w:spacing w:after="0"/>
              <w:rPr>
                <w:sz w:val="1"/>
                <w:szCs w:val="1"/>
                <w:color w:val="auto"/>
              </w:rPr>
            </w:pPr>
          </w:p>
        </w:tc>
      </w:tr>
      <w:tr>
        <w:trPr>
          <w:trHeight w:val="430"/>
        </w:trPr>
        <w:tc>
          <w:tcPr>
            <w:tcW w:w="696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96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Beginning of year</w:t>
            </w:r>
          </w:p>
        </w:tc>
        <w:tc>
          <w:tcPr>
            <w:tcW w:w="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8"/>
              </w:rPr>
              <w:t>824,578</w:t>
            </w:r>
          </w:p>
        </w:tc>
        <w:tc>
          <w:tcPr>
            <w:tcW w:w="5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730,533</w:t>
            </w:r>
          </w:p>
        </w:tc>
        <w:tc>
          <w:tcPr>
            <w:tcW w:w="0" w:type="dxa"/>
            <w:vAlign w:val="bottom"/>
          </w:tcPr>
          <w:p>
            <w:pPr>
              <w:spacing w:after="0"/>
              <w:rPr>
                <w:sz w:val="1"/>
                <w:szCs w:val="1"/>
                <w:color w:val="auto"/>
              </w:rPr>
            </w:pPr>
          </w:p>
        </w:tc>
      </w:tr>
      <w:tr>
        <w:trPr>
          <w:trHeight w:val="223"/>
        </w:trPr>
        <w:tc>
          <w:tcPr>
            <w:tcW w:w="6960" w:type="dxa"/>
            <w:vAlign w:val="bottom"/>
          </w:tcPr>
          <w:p>
            <w:pPr>
              <w:ind w:left="500"/>
              <w:spacing w:after="0" w:line="223" w:lineRule="exact"/>
              <w:rPr>
                <w:sz w:val="20"/>
                <w:szCs w:val="20"/>
                <w:color w:val="auto"/>
              </w:rPr>
            </w:pPr>
            <w:r>
              <w:rPr>
                <w:rFonts w:ascii="Times New Roman" w:cs="Times New Roman" w:eastAsia="Times New Roman" w:hAnsi="Times New Roman"/>
                <w:sz w:val="20"/>
                <w:szCs w:val="20"/>
                <w:color w:val="auto"/>
              </w:rPr>
              <w:t>End of year</w:t>
            </w: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938"/>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8"/>
              </w:rPr>
              <w:t>885,248</w:t>
            </w:r>
          </w:p>
        </w:tc>
        <w:tc>
          <w:tcPr>
            <w:tcW w:w="540" w:type="dxa"/>
            <w:vAlign w:val="bottom"/>
          </w:tcPr>
          <w:p>
            <w:pPr>
              <w:spacing w:after="0"/>
              <w:rPr>
                <w:sz w:val="19"/>
                <w:szCs w:val="19"/>
                <w:color w:val="auto"/>
              </w:rPr>
            </w:pPr>
          </w:p>
        </w:tc>
        <w:tc>
          <w:tcPr>
            <w:tcW w:w="400" w:type="dxa"/>
            <w:vAlign w:val="bottom"/>
            <w:tcBorders>
              <w:bottom w:val="single" w:sz="8" w:color="auto"/>
            </w:tcBorders>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824,578</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0"/>
          <w:szCs w:val="20"/>
          <w:color w:val="auto"/>
        </w:rPr>
        <w:t>The accompanying notes are an integral part of these statements.</w:t>
      </w:r>
    </w:p>
    <w:p>
      <w:pPr>
        <w:spacing w:after="0" w:line="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681990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74"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Fortune Brands Innovations Retirement Savings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uto"/>
        </w:rPr>
        <w:t>NOTE A—DESCRIPTION OF PLAN</w:t>
      </w:r>
    </w:p>
    <w:p>
      <w:pPr>
        <w:spacing w:after="0" w:line="233" w:lineRule="exact"/>
        <w:rPr>
          <w:sz w:val="20"/>
          <w:szCs w:val="20"/>
          <w:color w:val="auto"/>
        </w:rPr>
      </w:pPr>
    </w:p>
    <w:p>
      <w:pPr>
        <w:ind w:left="580" w:right="440"/>
        <w:spacing w:after="0" w:line="269" w:lineRule="auto"/>
        <w:rPr>
          <w:sz w:val="20"/>
          <w:szCs w:val="20"/>
          <w:color w:val="auto"/>
        </w:rPr>
      </w:pPr>
      <w:r>
        <w:rPr>
          <w:rFonts w:ascii="Times New Roman" w:cs="Times New Roman" w:eastAsia="Times New Roman" w:hAnsi="Times New Roman"/>
          <w:sz w:val="20"/>
          <w:szCs w:val="20"/>
          <w:color w:val="auto"/>
        </w:rPr>
        <w:t>The following provides a brief description of the Plan. Participants should refer to the Plan document for a more complete description of the Plan’s provisions.</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i w:val="1"/>
          <w:iCs w:val="1"/>
          <w:color w:val="auto"/>
        </w:rPr>
        <w:t>General</w:t>
      </w:r>
    </w:p>
    <w:p>
      <w:pPr>
        <w:spacing w:after="0" w:line="220" w:lineRule="exact"/>
        <w:rPr>
          <w:sz w:val="20"/>
          <w:szCs w:val="20"/>
          <w:color w:val="auto"/>
        </w:rPr>
      </w:pPr>
    </w:p>
    <w:p>
      <w:pPr>
        <w:ind w:left="540" w:right="20"/>
        <w:spacing w:after="0" w:line="269" w:lineRule="auto"/>
        <w:rPr>
          <w:sz w:val="20"/>
          <w:szCs w:val="20"/>
          <w:color w:val="auto"/>
        </w:rPr>
      </w:pPr>
      <w:r>
        <w:rPr>
          <w:rFonts w:ascii="Times New Roman" w:cs="Times New Roman" w:eastAsia="Times New Roman" w:hAnsi="Times New Roman"/>
          <w:sz w:val="20"/>
          <w:szCs w:val="20"/>
          <w:color w:val="auto"/>
        </w:rPr>
        <w:t>Fortune Brands Innovations, Inc. is a leading home, security and digital products company whose purpose is to elevate every life by transforming spaces into havens (“Fortune Brands”).</w:t>
      </w:r>
    </w:p>
    <w:p>
      <w:pPr>
        <w:spacing w:after="0" w:line="173" w:lineRule="exact"/>
        <w:rPr>
          <w:sz w:val="20"/>
          <w:szCs w:val="20"/>
          <w:color w:val="auto"/>
        </w:rPr>
      </w:pPr>
    </w:p>
    <w:p>
      <w:pPr>
        <w:jc w:val="both"/>
        <w:ind w:left="560" w:right="80"/>
        <w:spacing w:after="0" w:line="243" w:lineRule="auto"/>
        <w:rPr>
          <w:sz w:val="20"/>
          <w:szCs w:val="20"/>
          <w:color w:val="auto"/>
        </w:rPr>
      </w:pPr>
      <w:r>
        <w:rPr>
          <w:rFonts w:ascii="Times New Roman" w:cs="Times New Roman" w:eastAsia="Times New Roman" w:hAnsi="Times New Roman"/>
          <w:sz w:val="20"/>
          <w:szCs w:val="20"/>
          <w:color w:val="auto"/>
        </w:rPr>
        <w:t>Fortune Brands maintains a tax-qualified defined contribution retirement plan covering eligible employees of Fortune Brands and its operating companies named the Fortune Brands Innovations Retirement Savings Plan (the “Plan”). The name of the Plan was changed from Fortune Brands Home &amp; Security Retirement Savings Plan following the Fortune Brands’ name change in December 2022. The Plan is designed to encourage and facilitate systematic savings and investment by eligible employees for their retirement. The Plan is maintained by Fortune Brands and is intended to comply with Section 401(a) of the Internal Revenue Code of 1986, as amended (the “Code”), and is subject to various provisions of the Code and the Employee Retirement Income Security Act of 1974, as amended (“ERISA”). The Fortune Brands Employee Benefits Committee serves as the Plan’s administrator (“Plan Administrator”).</w:t>
      </w:r>
    </w:p>
    <w:p>
      <w:pPr>
        <w:spacing w:after="0" w:line="203" w:lineRule="exact"/>
        <w:rPr>
          <w:sz w:val="20"/>
          <w:szCs w:val="20"/>
          <w:color w:val="auto"/>
        </w:rPr>
      </w:pPr>
    </w:p>
    <w:p>
      <w:pPr>
        <w:jc w:val="both"/>
        <w:ind w:left="520"/>
        <w:spacing w:after="0" w:line="243" w:lineRule="auto"/>
        <w:rPr>
          <w:sz w:val="20"/>
          <w:szCs w:val="20"/>
          <w:color w:val="auto"/>
        </w:rPr>
      </w:pPr>
      <w:r>
        <w:rPr>
          <w:rFonts w:ascii="Times New Roman" w:cs="Times New Roman" w:eastAsia="Times New Roman" w:hAnsi="Times New Roman"/>
          <w:sz w:val="20"/>
          <w:szCs w:val="20"/>
          <w:color w:val="auto"/>
        </w:rPr>
        <w:t>Fortune Brands and each of its operating companies that participated in the Plan are referred to collectively as the “Companies” and individually as a “Company.” Operating companies that participated in the Plan during the years ended December 31, 2025 and/or 2024 included: Fortune Brands Water Innovations, LLC (“FBWI”); Moen Incorporated (“Moen”); Rohl LLC (“Rohl”); Victoria &amp; Albert Bath LLC (“Victoria &amp; Albert”); Therma-Tru Corp., which includes Fypon LLC (collectively, “Therma-Tru”); Master Lock Company LLC (“Master Lock”); Fiber Composites, LLC (“Fiberon”), Larson Manufacturing Company of South Dakota, LLC, Larson Manufacturing Company, Inc., Larson Manufacturing Company of Iowa, LLC, AEI, LLC and Comfort Bilt, LLC (collectively, “Larson”); Solar Innovations, Inc. (“Solar”), Emtek Products Group, LLC (formerly known as ASSA Abloy Residential Group, Inc.) (“Emtek”) and August Home, Inc. (which was merged with and into Master Lock in February 2024) (“August”); Wise Water Solutions, LLC (“Springwell”).</w:t>
      </w:r>
    </w:p>
    <w:p>
      <w:pPr>
        <w:spacing w:after="0" w:line="199" w:lineRule="exact"/>
        <w:rPr>
          <w:sz w:val="20"/>
          <w:szCs w:val="20"/>
          <w:color w:val="auto"/>
        </w:rPr>
      </w:pPr>
    </w:p>
    <w:p>
      <w:pPr>
        <w:jc w:val="both"/>
        <w:ind w:left="560" w:right="80"/>
        <w:spacing w:after="0" w:line="249" w:lineRule="auto"/>
        <w:rPr>
          <w:sz w:val="20"/>
          <w:szCs w:val="20"/>
          <w:color w:val="auto"/>
        </w:rPr>
      </w:pPr>
      <w:r>
        <w:rPr>
          <w:rFonts w:ascii="Times New Roman" w:cs="Times New Roman" w:eastAsia="Times New Roman" w:hAnsi="Times New Roman"/>
          <w:sz w:val="20"/>
          <w:szCs w:val="20"/>
          <w:color w:val="auto"/>
        </w:rPr>
        <w:t>The Plan’s assets are held in the Fortune Brands Innovations, Inc. Defined Contribution Master Trust (the “Master Trust”), along with the assets of the Fortune Brands Innovations Hourly Employee Retirement Savings Plan, and the remaining assets of the Larson Manufacturing Company Employee Profit Sharing Plan, for investment purposes. The Master Trust investments are administered and held by Fidelity Management Trust Company (the “Trustee” or “Fidelity”).</w:t>
      </w:r>
    </w:p>
    <w:p>
      <w:pPr>
        <w:spacing w:after="0" w:line="200" w:lineRule="exact"/>
        <w:rPr>
          <w:sz w:val="20"/>
          <w:szCs w:val="20"/>
          <w:color w:val="auto"/>
        </w:rPr>
      </w:pPr>
    </w:p>
    <w:p>
      <w:pPr>
        <w:spacing w:after="0" w:line="39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395605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40" w:top="774" w:right="8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Fortune Brands Innovations Retirement Savings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i w:val="1"/>
          <w:iCs w:val="1"/>
          <w:color w:val="auto"/>
        </w:rPr>
        <w:t>Contributions</w:t>
      </w:r>
    </w:p>
    <w:p>
      <w:pPr>
        <w:spacing w:after="0" w:line="233" w:lineRule="exact"/>
        <w:rPr>
          <w:sz w:val="20"/>
          <w:szCs w:val="20"/>
          <w:color w:val="auto"/>
        </w:rPr>
      </w:pPr>
    </w:p>
    <w:p>
      <w:pPr>
        <w:jc w:val="both"/>
        <w:ind w:left="560"/>
        <w:spacing w:after="0" w:line="243" w:lineRule="auto"/>
        <w:rPr>
          <w:sz w:val="20"/>
          <w:szCs w:val="20"/>
          <w:color w:val="auto"/>
        </w:rPr>
      </w:pPr>
      <w:r>
        <w:rPr>
          <w:rFonts w:ascii="Times New Roman" w:cs="Times New Roman" w:eastAsia="Times New Roman" w:hAnsi="Times New Roman"/>
          <w:sz w:val="20"/>
          <w:szCs w:val="20"/>
          <w:color w:val="auto"/>
        </w:rPr>
        <w:t>Plan contributions are held by the Trustee and accumulated in individual participant accounts. Pursuant to the terms of the Plan, participants may make tax-deferred contributions and/or Roth 401(k) contributions of up to 50% of their “eligible compensation” (as defined under the Plan), subject to lower limits for “highly compensated employees” (as defined under the Code). In 2025 and 2024, the sum of each participant’s annual tax-deferred contributions and Roth 401(k) contributions were limited by the Code to $23.5 and $23, respectively. During the year in which a participant attains age 50 (and in subsequent years), the participant may elect to make additional unmatched, pretax “catch up” contributions and/or Roth “catch up” contributions. In both 2025 and 2024, participants that met this requirement were permitted to make “catch up” contributions of up to $7.5. As part of the SECURE 2.0 Act, effective for 2025, individuals aged 60 through 63 were allowed to have a higher catch-up limit of $11.25.</w:t>
      </w:r>
    </w:p>
    <w:p>
      <w:pPr>
        <w:spacing w:after="0" w:line="199" w:lineRule="exact"/>
        <w:rPr>
          <w:sz w:val="20"/>
          <w:szCs w:val="20"/>
          <w:color w:val="auto"/>
        </w:rPr>
      </w:pPr>
    </w:p>
    <w:p>
      <w:pPr>
        <w:jc w:val="both"/>
        <w:ind w:left="560"/>
        <w:spacing w:after="0" w:line="249" w:lineRule="auto"/>
        <w:rPr>
          <w:sz w:val="20"/>
          <w:szCs w:val="20"/>
          <w:color w:val="auto"/>
        </w:rPr>
      </w:pPr>
      <w:r>
        <w:rPr>
          <w:rFonts w:ascii="Times New Roman" w:cs="Times New Roman" w:eastAsia="Times New Roman" w:hAnsi="Times New Roman"/>
          <w:sz w:val="20"/>
          <w:szCs w:val="20"/>
          <w:color w:val="auto"/>
        </w:rPr>
        <w:t>The Plan permits participants to make after-tax contributions and to elect to automatically make after-tax contributions after reaching the dollar limitation on tax-deferred contributions and/or Roth 401(k) contributions. The sum of tax-deferred contributions, Roth 401(k) contributions, and after-tax contributions may not exceed 50% of the participant’s total eligible compensation (lower limitations apply to participants who are highly compensated employees).</w:t>
      </w:r>
    </w:p>
    <w:p>
      <w:pPr>
        <w:spacing w:after="0" w:line="193" w:lineRule="exact"/>
        <w:rPr>
          <w:sz w:val="20"/>
          <w:szCs w:val="20"/>
          <w:color w:val="auto"/>
        </w:rPr>
      </w:pPr>
    </w:p>
    <w:p>
      <w:pPr>
        <w:jc w:val="both"/>
        <w:ind w:left="580" w:right="20"/>
        <w:spacing w:after="0" w:line="269" w:lineRule="auto"/>
        <w:rPr>
          <w:sz w:val="20"/>
          <w:szCs w:val="20"/>
          <w:color w:val="auto"/>
        </w:rPr>
      </w:pPr>
      <w:r>
        <w:rPr>
          <w:rFonts w:ascii="Times New Roman" w:cs="Times New Roman" w:eastAsia="Times New Roman" w:hAnsi="Times New Roman"/>
          <w:sz w:val="20"/>
          <w:szCs w:val="20"/>
          <w:color w:val="auto"/>
        </w:rPr>
        <w:t>Participants eligible to make tax-deferred contributions and/or Roth 401(k) contributions may roll over balances from another eligible tax-qualified retirement plan or individual retirement account into the Plan.</w:t>
      </w:r>
    </w:p>
    <w:p>
      <w:pPr>
        <w:spacing w:after="0" w:line="173" w:lineRule="exact"/>
        <w:rPr>
          <w:sz w:val="20"/>
          <w:szCs w:val="20"/>
          <w:color w:val="auto"/>
        </w:rPr>
      </w:pPr>
    </w:p>
    <w:p>
      <w:pPr>
        <w:jc w:val="both"/>
        <w:ind w:left="580"/>
        <w:spacing w:after="0" w:line="243" w:lineRule="auto"/>
        <w:rPr>
          <w:sz w:val="20"/>
          <w:szCs w:val="20"/>
          <w:color w:val="auto"/>
        </w:rPr>
      </w:pPr>
      <w:r>
        <w:rPr>
          <w:rFonts w:ascii="Times New Roman" w:cs="Times New Roman" w:eastAsia="Times New Roman" w:hAnsi="Times New Roman"/>
          <w:sz w:val="20"/>
          <w:szCs w:val="20"/>
          <w:color w:val="auto"/>
        </w:rPr>
        <w:t>Eligible employees who have neither enrolled in the Plan nor affirmatively declined enrollment in the Plan are automatically enrolled and are deemed to have elected to make tax-deferred contributions equal to 4% of their eligible compensation. In addition, participants who are automatically enrolled have their contribution rate increased by 1% (unless it would cause the participant’s deferral rate to exceed 10%) annually in May unless they affirmatively declined participation in the automatic increase program. Participants that affirmatively elect to participate in the automatic deferral increase program may elect to increase their contributions by between 1% and 6% each year until they reach the maximum allowable percentage described above. Participants may elect to change or discontinue their participation in the automatic enrollment and automatic deferral rate increase programs at any time. Effective January 1, 2025, the Plan was amended to increase the automatic deferral percentage from 3% to 4%, and to increase the maximum deferral rate from 6% to 10% as noted above.</w:t>
      </w:r>
    </w:p>
    <w:p>
      <w:pPr>
        <w:spacing w:after="0" w:line="199" w:lineRule="exact"/>
        <w:rPr>
          <w:sz w:val="20"/>
          <w:szCs w:val="20"/>
          <w:color w:val="auto"/>
        </w:rPr>
      </w:pPr>
    </w:p>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The Companies made a matching contribution (in varying amounts stated in the Plan document) on a participant’s elective contributions.</w:t>
      </w:r>
    </w:p>
    <w:p>
      <w:pPr>
        <w:spacing w:after="0" w:line="173" w:lineRule="exact"/>
        <w:rPr>
          <w:sz w:val="20"/>
          <w:szCs w:val="20"/>
          <w:color w:val="auto"/>
        </w:rPr>
      </w:pPr>
    </w:p>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In 2025 and 2024, each of Fortune Brands, FBWI, Moen, Victoria &amp; Albert, Rohl, Master Lock, Fiberon and Larson made profit-sharing contributions on behalf of each of their eligible employees.</w:t>
      </w:r>
    </w:p>
    <w:p>
      <w:pPr>
        <w:spacing w:after="0" w:line="173" w:lineRule="exact"/>
        <w:rPr>
          <w:sz w:val="20"/>
          <w:szCs w:val="20"/>
          <w:color w:val="auto"/>
        </w:rPr>
      </w:pPr>
    </w:p>
    <w:p>
      <w:pPr>
        <w:jc w:val="both"/>
        <w:ind w:left="580"/>
        <w:spacing w:after="0" w:line="254" w:lineRule="auto"/>
        <w:rPr>
          <w:sz w:val="20"/>
          <w:szCs w:val="20"/>
          <w:color w:val="auto"/>
        </w:rPr>
      </w:pPr>
      <w:r>
        <w:rPr>
          <w:rFonts w:ascii="Times New Roman" w:cs="Times New Roman" w:eastAsia="Times New Roman" w:hAnsi="Times New Roman"/>
          <w:sz w:val="20"/>
          <w:szCs w:val="20"/>
          <w:color w:val="auto"/>
        </w:rPr>
        <w:t>The Plan makes various investment funds available to participants to direct the investment of their accounts, including a Company stock fund, which gives participants the option to purchase shares of Fortune Brands Common Stock. The Plan has designated the Fortune Brands Common Stock Fund in the Plan as being held by an employee stock ownership plan.</w:t>
      </w:r>
    </w:p>
    <w:p>
      <w:pPr>
        <w:spacing w:after="0" w:line="188" w:lineRule="exact"/>
        <w:rPr>
          <w:sz w:val="20"/>
          <w:szCs w:val="20"/>
          <w:color w:val="auto"/>
        </w:rPr>
      </w:pPr>
    </w:p>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Participant account balances are maintained to reflect each participant’s beneficial interest in each of the investment funds available under the Plan. Participant account balances are increased by participant contributions, including rollovers, and Company contributions and decreased by the amount of withdrawals and distributions. Income and losses on Plan assets are allocated to participants’ accounts based on the ratio</w:t>
      </w:r>
    </w:p>
    <w:p>
      <w:pPr>
        <w:spacing w:after="0" w:line="36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395605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40" w:top="774" w:right="95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20"/>
          <w:szCs w:val="20"/>
          <w:b w:val="1"/>
          <w:bCs w:val="1"/>
          <w:color w:val="auto"/>
        </w:rPr>
        <w:t>Fortune Brands Innovations Retirement Savings Plan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ind w:left="20"/>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7" w:lineRule="exact"/>
        <w:rPr>
          <w:sz w:val="20"/>
          <w:szCs w:val="20"/>
          <w:color w:val="auto"/>
        </w:rPr>
      </w:pPr>
    </w:p>
    <w:p>
      <w:pPr>
        <w:jc w:val="both"/>
        <w:ind w:left="600" w:right="620"/>
        <w:spacing w:after="0" w:line="269" w:lineRule="auto"/>
        <w:rPr>
          <w:sz w:val="20"/>
          <w:szCs w:val="20"/>
          <w:color w:val="auto"/>
        </w:rPr>
      </w:pPr>
      <w:r>
        <w:rPr>
          <w:rFonts w:ascii="Times New Roman" w:cs="Times New Roman" w:eastAsia="Times New Roman" w:hAnsi="Times New Roman"/>
          <w:sz w:val="20"/>
          <w:szCs w:val="20"/>
          <w:color w:val="auto"/>
        </w:rPr>
        <w:t>of each participant’s account balance invested in an investment fund to the total of all participants’ account balances invested in that fund as of the preceding valuation date.</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i w:val="1"/>
          <w:iCs w:val="1"/>
          <w:color w:val="auto"/>
        </w:rPr>
        <w:t>Vesting</w:t>
      </w:r>
    </w:p>
    <w:p>
      <w:pPr>
        <w:spacing w:after="0" w:line="233" w:lineRule="exact"/>
        <w:rPr>
          <w:sz w:val="20"/>
          <w:szCs w:val="20"/>
          <w:color w:val="auto"/>
        </w:rPr>
      </w:pPr>
    </w:p>
    <w:p>
      <w:pPr>
        <w:jc w:val="both"/>
        <w:ind w:left="600" w:right="620"/>
        <w:spacing w:after="0" w:line="246" w:lineRule="auto"/>
        <w:rPr>
          <w:sz w:val="20"/>
          <w:szCs w:val="20"/>
          <w:color w:val="auto"/>
        </w:rPr>
      </w:pPr>
      <w:r>
        <w:rPr>
          <w:rFonts w:ascii="Times New Roman" w:cs="Times New Roman" w:eastAsia="Times New Roman" w:hAnsi="Times New Roman"/>
          <w:sz w:val="20"/>
          <w:szCs w:val="20"/>
          <w:color w:val="auto"/>
        </w:rPr>
        <w:t>Participant contributions and earnings on those contributions vest immediately. QNECs and earnings on those contributions vest immediately. For all Companies that provide a matching contribution, vesting in the matching contribution and earnings on those contributions occurs upon on the earliest of the following: (1) retirement under a Company pension plan or after attainment of age 55 and 10 years of service; (2) death; (3) termination of employment due to disability; (4) attainment of normal retirement age (generally 65); (5) termination of employment without fault, and (6) after one year of service.</w:t>
      </w:r>
    </w:p>
    <w:p>
      <w:pPr>
        <w:spacing w:after="0" w:line="198" w:lineRule="exact"/>
        <w:rPr>
          <w:sz w:val="20"/>
          <w:szCs w:val="20"/>
          <w:color w:val="auto"/>
        </w:rPr>
      </w:pPr>
    </w:p>
    <w:p>
      <w:pPr>
        <w:jc w:val="both"/>
        <w:ind w:left="600" w:right="620"/>
        <w:spacing w:after="0" w:line="243" w:lineRule="auto"/>
        <w:rPr>
          <w:sz w:val="20"/>
          <w:szCs w:val="20"/>
          <w:color w:val="auto"/>
        </w:rPr>
      </w:pPr>
      <w:r>
        <w:rPr>
          <w:rFonts w:ascii="Times New Roman" w:cs="Times New Roman" w:eastAsia="Times New Roman" w:hAnsi="Times New Roman"/>
          <w:sz w:val="20"/>
          <w:szCs w:val="20"/>
          <w:color w:val="auto"/>
        </w:rPr>
        <w:t>Vesting in matching contributions made on behalf of Rohl employees prior to August 1, 2017 and earnings on those contributions occurs on the first of the following: (1) attainment of age 59-1/2; (2) termination of employment by reason of disability; (3) death; and (4) completion of five years of vesting service. Vesting in matching contributions made on behalf of Fiberon employees prior to November 1, 2019 and earnings on those contributions occurs on the first of the following: (1) termination of employment by reason of disability; (2) death; and (3) completion of five years of vesting service. Vesting in matching contributions made on behalf of Larson employees that were transferred to the Plan effective January 1, 2022 occurs on the first of the following (1) attainment of age 55 while employed; (2) termination of employment by reason of disability; (3) death; and (4) completion of six years of vesting service.</w:t>
      </w:r>
    </w:p>
    <w:p>
      <w:pPr>
        <w:spacing w:after="0" w:line="284" w:lineRule="exact"/>
        <w:rPr>
          <w:sz w:val="20"/>
          <w:szCs w:val="20"/>
          <w:color w:val="auto"/>
        </w:rPr>
      </w:pPr>
    </w:p>
    <w:p>
      <w:pPr>
        <w:jc w:val="both"/>
        <w:ind w:left="600" w:right="620"/>
        <w:spacing w:after="0" w:line="244" w:lineRule="auto"/>
        <w:rPr>
          <w:sz w:val="20"/>
          <w:szCs w:val="20"/>
          <w:color w:val="auto"/>
        </w:rPr>
      </w:pPr>
      <w:r>
        <w:rPr>
          <w:rFonts w:ascii="Times New Roman" w:cs="Times New Roman" w:eastAsia="Times New Roman" w:hAnsi="Times New Roman"/>
          <w:sz w:val="20"/>
          <w:szCs w:val="20"/>
          <w:color w:val="auto"/>
        </w:rPr>
        <w:t>Profit-sharing contributions vest according to varying schedules. For all Companies that provide profit- sharing contributions, except Therma-Tru, vesting in annual profit-sharing contributions and related earnings occurs upon the earliest occurrence of the following: (1) retirement under a Company pension plan or after attainment of age 55 and 10 years of vesting service; (2) death; (3) termination of employment due to disability; (4) attainment of normal retirement age (generally 65); (5) termination of employment without fault; and (6) for Master Lock, FBWI, Moen, Victoria &amp; Albert, Rohl, Larson and Fiberon employees, after three years of service and for Fortune Brands employees that did not have a profit-sharing account balance as of December 31, 2016, according to the following schedules: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40" w:type="dxa"/>
            <w:vAlign w:val="bottom"/>
          </w:tcPr>
          <w:p>
            <w:pPr>
              <w:jc w:val="center"/>
              <w:ind w:right="981"/>
              <w:spacing w:after="0"/>
              <w:rPr>
                <w:sz w:val="20"/>
                <w:szCs w:val="20"/>
                <w:color w:val="auto"/>
              </w:rPr>
            </w:pPr>
            <w:r>
              <w:rPr>
                <w:rFonts w:ascii="Times New Roman" w:cs="Times New Roman" w:eastAsia="Times New Roman" w:hAnsi="Times New Roman"/>
                <w:sz w:val="20"/>
                <w:szCs w:val="20"/>
                <w:color w:val="auto"/>
                <w:w w:val="99"/>
              </w:rPr>
              <w:t>If terminated prior to December 31, 2017</w:t>
            </w: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1680" w:type="dxa"/>
            <w:vAlign w:val="bottom"/>
          </w:tcPr>
          <w:p>
            <w:pPr>
              <w:spacing w:after="0"/>
              <w:rPr>
                <w:sz w:val="19"/>
                <w:szCs w:val="19"/>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Number of</w:t>
            </w:r>
          </w:p>
        </w:tc>
        <w:tc>
          <w:tcPr>
            <w:tcW w:w="3840" w:type="dxa"/>
            <w:vAlign w:val="bottom"/>
            <w:gridSpan w:val="4"/>
          </w:tcPr>
          <w:p>
            <w:pPr>
              <w:jc w:val="right"/>
              <w:ind w:right="1960"/>
              <w:spacing w:after="0"/>
              <w:rPr>
                <w:sz w:val="20"/>
                <w:szCs w:val="20"/>
                <w:color w:val="auto"/>
              </w:rPr>
            </w:pPr>
            <w:r>
              <w:rPr>
                <w:rFonts w:ascii="Times New Roman" w:cs="Times New Roman" w:eastAsia="Times New Roman" w:hAnsi="Times New Roman"/>
                <w:sz w:val="20"/>
                <w:szCs w:val="20"/>
                <w:color w:val="auto"/>
              </w:rPr>
              <w:t>Percentage</w:t>
            </w:r>
          </w:p>
        </w:tc>
      </w:tr>
      <w:tr>
        <w:trPr>
          <w:trHeight w:val="212"/>
        </w:trPr>
        <w:tc>
          <w:tcPr>
            <w:tcW w:w="1680" w:type="dxa"/>
            <w:vAlign w:val="bottom"/>
          </w:tcPr>
          <w:p>
            <w:pPr>
              <w:spacing w:after="0"/>
              <w:rPr>
                <w:sz w:val="18"/>
                <w:szCs w:val="18"/>
                <w:color w:val="auto"/>
              </w:rPr>
            </w:pPr>
          </w:p>
        </w:tc>
        <w:tc>
          <w:tcPr>
            <w:tcW w:w="1280" w:type="dxa"/>
            <w:vAlign w:val="bottom"/>
            <w:tcBorders>
              <w:bottom w:val="single" w:sz="8" w:color="auto"/>
            </w:tcBorders>
            <w:gridSpan w:val="2"/>
          </w:tcPr>
          <w:p>
            <w:pPr>
              <w:spacing w:after="0" w:line="212" w:lineRule="exact"/>
              <w:rPr>
                <w:sz w:val="20"/>
                <w:szCs w:val="20"/>
                <w:color w:val="auto"/>
              </w:rPr>
            </w:pPr>
            <w:r>
              <w:rPr>
                <w:rFonts w:ascii="Times New Roman" w:cs="Times New Roman" w:eastAsia="Times New Roman" w:hAnsi="Times New Roman"/>
                <w:sz w:val="20"/>
                <w:szCs w:val="20"/>
                <w:color w:val="auto"/>
              </w:rPr>
              <w:t>years of service</w:t>
            </w:r>
          </w:p>
        </w:tc>
        <w:tc>
          <w:tcPr>
            <w:tcW w:w="4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Borders>
              <w:bottom w:val="single" w:sz="8" w:color="auto"/>
            </w:tcBorders>
            <w:gridSpan w:val="2"/>
          </w:tcPr>
          <w:p>
            <w:pPr>
              <w:spacing w:after="0" w:line="212" w:lineRule="exact"/>
              <w:rPr>
                <w:sz w:val="20"/>
                <w:szCs w:val="20"/>
                <w:color w:val="auto"/>
              </w:rPr>
            </w:pPr>
            <w:r>
              <w:rPr>
                <w:rFonts w:ascii="Times New Roman" w:cs="Times New Roman" w:eastAsia="Times New Roman" w:hAnsi="Times New Roman"/>
                <w:sz w:val="20"/>
                <w:szCs w:val="20"/>
                <w:color w:val="auto"/>
                <w:w w:val="97"/>
              </w:rPr>
              <w:t>vested</w:t>
            </w:r>
          </w:p>
        </w:tc>
        <w:tc>
          <w:tcPr>
            <w:tcW w:w="2020" w:type="dxa"/>
            <w:vAlign w:val="bottom"/>
          </w:tcPr>
          <w:p>
            <w:pPr>
              <w:spacing w:after="0"/>
              <w:rPr>
                <w:sz w:val="18"/>
                <w:szCs w:val="18"/>
                <w:color w:val="auto"/>
              </w:rPr>
            </w:pPr>
          </w:p>
        </w:tc>
      </w:tr>
      <w:tr>
        <w:trPr>
          <w:trHeight w:val="227"/>
        </w:trPr>
        <w:tc>
          <w:tcPr>
            <w:tcW w:w="1680" w:type="dxa"/>
            <w:vAlign w:val="bottom"/>
          </w:tcPr>
          <w:p>
            <w:pPr>
              <w:spacing w:after="0"/>
              <w:rPr>
                <w:sz w:val="19"/>
                <w:szCs w:val="19"/>
                <w:color w:val="auto"/>
              </w:rPr>
            </w:pPr>
          </w:p>
        </w:tc>
        <w:tc>
          <w:tcPr>
            <w:tcW w:w="572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Less than 1</w:t>
            </w:r>
          </w:p>
        </w:tc>
        <w:tc>
          <w:tcPr>
            <w:tcW w:w="3840" w:type="dxa"/>
            <w:vAlign w:val="bottom"/>
            <w:gridSpan w:val="4"/>
          </w:tcPr>
          <w:p>
            <w:pPr>
              <w:jc w:val="right"/>
              <w:ind w:right="1960"/>
              <w:spacing w:after="0" w:line="228" w:lineRule="exact"/>
              <w:rPr>
                <w:sz w:val="20"/>
                <w:szCs w:val="20"/>
                <w:color w:val="auto"/>
              </w:rPr>
            </w:pPr>
            <w:r>
              <w:rPr>
                <w:rFonts w:ascii="Times New Roman" w:cs="Times New Roman" w:eastAsia="Times New Roman" w:hAnsi="Times New Roman"/>
                <w:sz w:val="20"/>
                <w:szCs w:val="20"/>
                <w:color w:val="auto"/>
              </w:rPr>
              <w:t>0%</w:t>
            </w:r>
          </w:p>
        </w:tc>
      </w:tr>
      <w:tr>
        <w:trPr>
          <w:trHeight w:val="230"/>
        </w:trPr>
        <w:tc>
          <w:tcPr>
            <w:tcW w:w="1680" w:type="dxa"/>
            <w:vAlign w:val="bottom"/>
          </w:tcPr>
          <w:p>
            <w:pPr>
              <w:spacing w:after="0"/>
              <w:rPr>
                <w:sz w:val="19"/>
                <w:szCs w:val="19"/>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 but less than 2</w:t>
            </w:r>
          </w:p>
        </w:tc>
        <w:tc>
          <w:tcPr>
            <w:tcW w:w="3840" w:type="dxa"/>
            <w:vAlign w:val="bottom"/>
            <w:gridSpan w:val="4"/>
          </w:tcPr>
          <w:p>
            <w:pPr>
              <w:jc w:val="right"/>
              <w:ind w:right="1960"/>
              <w:spacing w:after="0"/>
              <w:rPr>
                <w:sz w:val="20"/>
                <w:szCs w:val="20"/>
                <w:color w:val="auto"/>
              </w:rPr>
            </w:pPr>
            <w:r>
              <w:rPr>
                <w:rFonts w:ascii="Times New Roman" w:cs="Times New Roman" w:eastAsia="Times New Roman" w:hAnsi="Times New Roman"/>
                <w:sz w:val="20"/>
                <w:szCs w:val="20"/>
                <w:color w:val="auto"/>
              </w:rPr>
              <w:t>20%</w:t>
            </w:r>
          </w:p>
        </w:tc>
      </w:tr>
      <w:tr>
        <w:trPr>
          <w:trHeight w:val="230"/>
        </w:trPr>
        <w:tc>
          <w:tcPr>
            <w:tcW w:w="1680" w:type="dxa"/>
            <w:vAlign w:val="bottom"/>
          </w:tcPr>
          <w:p>
            <w:pPr>
              <w:spacing w:after="0"/>
              <w:rPr>
                <w:sz w:val="19"/>
                <w:szCs w:val="19"/>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2 but less than 3</w:t>
            </w:r>
          </w:p>
        </w:tc>
        <w:tc>
          <w:tcPr>
            <w:tcW w:w="3840" w:type="dxa"/>
            <w:vAlign w:val="bottom"/>
            <w:gridSpan w:val="4"/>
          </w:tcPr>
          <w:p>
            <w:pPr>
              <w:jc w:val="right"/>
              <w:ind w:right="1960"/>
              <w:spacing w:after="0"/>
              <w:rPr>
                <w:sz w:val="20"/>
                <w:szCs w:val="20"/>
                <w:color w:val="auto"/>
              </w:rPr>
            </w:pPr>
            <w:r>
              <w:rPr>
                <w:rFonts w:ascii="Times New Roman" w:cs="Times New Roman" w:eastAsia="Times New Roman" w:hAnsi="Times New Roman"/>
                <w:sz w:val="20"/>
                <w:szCs w:val="20"/>
                <w:color w:val="auto"/>
              </w:rPr>
              <w:t>40%</w:t>
            </w:r>
          </w:p>
        </w:tc>
      </w:tr>
      <w:tr>
        <w:trPr>
          <w:trHeight w:val="229"/>
        </w:trPr>
        <w:tc>
          <w:tcPr>
            <w:tcW w:w="1680" w:type="dxa"/>
            <w:vAlign w:val="bottom"/>
          </w:tcPr>
          <w:p>
            <w:pPr>
              <w:spacing w:after="0"/>
              <w:rPr>
                <w:sz w:val="19"/>
                <w:szCs w:val="19"/>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3 but less than 4</w:t>
            </w:r>
          </w:p>
        </w:tc>
        <w:tc>
          <w:tcPr>
            <w:tcW w:w="3840" w:type="dxa"/>
            <w:vAlign w:val="bottom"/>
            <w:gridSpan w:val="4"/>
          </w:tcPr>
          <w:p>
            <w:pPr>
              <w:jc w:val="right"/>
              <w:ind w:right="1960"/>
              <w:spacing w:after="0"/>
              <w:rPr>
                <w:sz w:val="20"/>
                <w:szCs w:val="20"/>
                <w:color w:val="auto"/>
              </w:rPr>
            </w:pPr>
            <w:r>
              <w:rPr>
                <w:rFonts w:ascii="Times New Roman" w:cs="Times New Roman" w:eastAsia="Times New Roman" w:hAnsi="Times New Roman"/>
                <w:sz w:val="20"/>
                <w:szCs w:val="20"/>
                <w:color w:val="auto"/>
              </w:rPr>
              <w:t>60%</w:t>
            </w:r>
          </w:p>
        </w:tc>
      </w:tr>
      <w:tr>
        <w:trPr>
          <w:trHeight w:val="230"/>
        </w:trPr>
        <w:tc>
          <w:tcPr>
            <w:tcW w:w="1680" w:type="dxa"/>
            <w:vAlign w:val="bottom"/>
          </w:tcPr>
          <w:p>
            <w:pPr>
              <w:spacing w:after="0"/>
              <w:rPr>
                <w:sz w:val="19"/>
                <w:szCs w:val="19"/>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4 but less than 5</w:t>
            </w:r>
          </w:p>
        </w:tc>
        <w:tc>
          <w:tcPr>
            <w:tcW w:w="3840" w:type="dxa"/>
            <w:vAlign w:val="bottom"/>
            <w:gridSpan w:val="4"/>
          </w:tcPr>
          <w:p>
            <w:pPr>
              <w:jc w:val="right"/>
              <w:ind w:right="1960"/>
              <w:spacing w:after="0"/>
              <w:rPr>
                <w:sz w:val="20"/>
                <w:szCs w:val="20"/>
                <w:color w:val="auto"/>
              </w:rPr>
            </w:pPr>
            <w:r>
              <w:rPr>
                <w:rFonts w:ascii="Times New Roman" w:cs="Times New Roman" w:eastAsia="Times New Roman" w:hAnsi="Times New Roman"/>
                <w:sz w:val="20"/>
                <w:szCs w:val="20"/>
                <w:color w:val="auto"/>
              </w:rPr>
              <w:t>80%</w:t>
            </w:r>
          </w:p>
        </w:tc>
      </w:tr>
      <w:tr>
        <w:trPr>
          <w:trHeight w:val="258"/>
        </w:trPr>
        <w:tc>
          <w:tcPr>
            <w:tcW w:w="1680" w:type="dxa"/>
            <w:vAlign w:val="bottom"/>
          </w:tcPr>
          <w:p>
            <w:pPr>
              <w:spacing w:after="0"/>
              <w:rPr>
                <w:sz w:val="22"/>
                <w:szCs w:val="22"/>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5 or more</w:t>
            </w:r>
          </w:p>
        </w:tc>
        <w:tc>
          <w:tcPr>
            <w:tcW w:w="3840" w:type="dxa"/>
            <w:vAlign w:val="bottom"/>
            <w:gridSpan w:val="4"/>
          </w:tcPr>
          <w:p>
            <w:pPr>
              <w:jc w:val="right"/>
              <w:ind w:right="1960"/>
              <w:spacing w:after="0"/>
              <w:rPr>
                <w:sz w:val="20"/>
                <w:szCs w:val="20"/>
                <w:color w:val="auto"/>
              </w:rPr>
            </w:pPr>
            <w:r>
              <w:rPr>
                <w:rFonts w:ascii="Times New Roman" w:cs="Times New Roman" w:eastAsia="Times New Roman" w:hAnsi="Times New Roman"/>
                <w:sz w:val="20"/>
                <w:szCs w:val="20"/>
                <w:color w:val="auto"/>
              </w:rPr>
              <w:t>100%</w:t>
            </w:r>
          </w:p>
        </w:tc>
      </w:tr>
      <w:tr>
        <w:trPr>
          <w:trHeight w:val="714"/>
        </w:trPr>
        <w:tc>
          <w:tcPr>
            <w:tcW w:w="1680" w:type="dxa"/>
            <w:vAlign w:val="bottom"/>
          </w:tcPr>
          <w:p>
            <w:pPr>
              <w:spacing w:after="0"/>
              <w:rPr>
                <w:sz w:val="24"/>
                <w:szCs w:val="24"/>
                <w:color w:val="auto"/>
              </w:rPr>
            </w:pPr>
          </w:p>
        </w:tc>
        <w:tc>
          <w:tcPr>
            <w:tcW w:w="5720" w:type="dxa"/>
            <w:vAlign w:val="bottom"/>
            <w:gridSpan w:val="3"/>
          </w:tcPr>
          <w:p>
            <w:pPr>
              <w:jc w:val="center"/>
              <w:ind w:left="121"/>
              <w:spacing w:after="0"/>
              <w:rPr>
                <w:sz w:val="20"/>
                <w:szCs w:val="20"/>
                <w:color w:val="auto"/>
              </w:rPr>
            </w:pPr>
            <w:r>
              <w:rPr>
                <w:rFonts w:ascii="Times New Roman" w:cs="Times New Roman" w:eastAsia="Times New Roman" w:hAnsi="Times New Roman"/>
                <w:sz w:val="20"/>
                <w:szCs w:val="20"/>
                <w:color w:val="auto"/>
                <w:w w:val="98"/>
              </w:rPr>
              <w:t>If terminated on or after December 31, 2017</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9"/>
        </w:trPr>
        <w:tc>
          <w:tcPr>
            <w:tcW w:w="1680" w:type="dxa"/>
            <w:vAlign w:val="bottom"/>
          </w:tcPr>
          <w:p>
            <w:pPr>
              <w:spacing w:after="0"/>
              <w:rPr>
                <w:sz w:val="19"/>
                <w:szCs w:val="19"/>
                <w:color w:val="auto"/>
              </w:rPr>
            </w:pPr>
          </w:p>
        </w:tc>
        <w:tc>
          <w:tcPr>
            <w:tcW w:w="5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Number of</w:t>
            </w:r>
          </w:p>
        </w:tc>
        <w:tc>
          <w:tcPr>
            <w:tcW w:w="3840" w:type="dxa"/>
            <w:vAlign w:val="bottom"/>
            <w:gridSpan w:val="4"/>
          </w:tcPr>
          <w:p>
            <w:pPr>
              <w:jc w:val="right"/>
              <w:ind w:right="1960"/>
              <w:spacing w:after="0"/>
              <w:rPr>
                <w:sz w:val="20"/>
                <w:szCs w:val="20"/>
                <w:color w:val="auto"/>
              </w:rPr>
            </w:pPr>
            <w:r>
              <w:rPr>
                <w:rFonts w:ascii="Times New Roman" w:cs="Times New Roman" w:eastAsia="Times New Roman" w:hAnsi="Times New Roman"/>
                <w:sz w:val="20"/>
                <w:szCs w:val="20"/>
                <w:color w:val="auto"/>
              </w:rPr>
              <w:t>Percentage</w:t>
            </w:r>
          </w:p>
        </w:tc>
      </w:tr>
      <w:tr>
        <w:trPr>
          <w:trHeight w:val="212"/>
        </w:trPr>
        <w:tc>
          <w:tcPr>
            <w:tcW w:w="1680" w:type="dxa"/>
            <w:vAlign w:val="bottom"/>
          </w:tcPr>
          <w:p>
            <w:pPr>
              <w:spacing w:after="0"/>
              <w:rPr>
                <w:sz w:val="18"/>
                <w:szCs w:val="18"/>
                <w:color w:val="auto"/>
              </w:rPr>
            </w:pPr>
          </w:p>
        </w:tc>
        <w:tc>
          <w:tcPr>
            <w:tcW w:w="126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w w:val="98"/>
              </w:rPr>
              <w:t>years of service</w:t>
            </w:r>
          </w:p>
        </w:tc>
        <w:tc>
          <w:tcPr>
            <w:tcW w:w="4460" w:type="dxa"/>
            <w:vAlign w:val="bottom"/>
            <w:gridSpan w:val="2"/>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20" w:type="dxa"/>
            <w:vAlign w:val="bottom"/>
            <w:gridSpan w:val="2"/>
          </w:tcPr>
          <w:p>
            <w:pPr>
              <w:jc w:val="right"/>
              <w:ind w:right="2020"/>
              <w:spacing w:after="0" w:line="212" w:lineRule="exact"/>
              <w:rPr>
                <w:sz w:val="20"/>
                <w:szCs w:val="20"/>
                <w:color w:val="auto"/>
              </w:rPr>
            </w:pPr>
            <w:r>
              <w:rPr>
                <w:rFonts w:ascii="Times New Roman" w:cs="Times New Roman" w:eastAsia="Times New Roman" w:hAnsi="Times New Roman"/>
                <w:sz w:val="20"/>
                <w:szCs w:val="20"/>
                <w:color w:val="auto"/>
                <w:w w:val="93"/>
              </w:rPr>
              <w:t>vested</w:t>
            </w:r>
          </w:p>
        </w:tc>
      </w:tr>
      <w:tr>
        <w:trPr>
          <w:trHeight w:val="20"/>
        </w:trPr>
        <w:tc>
          <w:tcPr>
            <w:tcW w:w="16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7"/>
        </w:trPr>
        <w:tc>
          <w:tcPr>
            <w:tcW w:w="1680" w:type="dxa"/>
            <w:vAlign w:val="bottom"/>
          </w:tcPr>
          <w:p>
            <w:pPr>
              <w:spacing w:after="0"/>
              <w:rPr>
                <w:sz w:val="19"/>
                <w:szCs w:val="19"/>
                <w:color w:val="auto"/>
              </w:rPr>
            </w:pPr>
          </w:p>
        </w:tc>
        <w:tc>
          <w:tcPr>
            <w:tcW w:w="1260" w:type="dxa"/>
            <w:vAlign w:val="bottom"/>
          </w:tcPr>
          <w:p>
            <w:pPr>
              <w:spacing w:after="0" w:line="228" w:lineRule="exact"/>
              <w:rPr>
                <w:sz w:val="20"/>
                <w:szCs w:val="20"/>
                <w:color w:val="auto"/>
              </w:rPr>
            </w:pPr>
            <w:r>
              <w:rPr>
                <w:rFonts w:ascii="Times New Roman" w:cs="Times New Roman" w:eastAsia="Times New Roman" w:hAnsi="Times New Roman"/>
                <w:sz w:val="20"/>
                <w:szCs w:val="20"/>
                <w:color w:val="auto"/>
              </w:rPr>
              <w:t>Less than 1</w:t>
            </w:r>
          </w:p>
        </w:tc>
        <w:tc>
          <w:tcPr>
            <w:tcW w:w="4460" w:type="dxa"/>
            <w:vAlign w:val="bottom"/>
            <w:gridSpan w:val="2"/>
          </w:tcPr>
          <w:p>
            <w:pPr>
              <w:spacing w:after="0"/>
              <w:rPr>
                <w:sz w:val="19"/>
                <w:szCs w:val="19"/>
                <w:color w:val="auto"/>
              </w:rPr>
            </w:pPr>
          </w:p>
        </w:tc>
        <w:tc>
          <w:tcPr>
            <w:tcW w:w="1320" w:type="dxa"/>
            <w:vAlign w:val="bottom"/>
            <w:gridSpan w:val="2"/>
          </w:tcPr>
          <w:p>
            <w:pPr>
              <w:spacing w:after="0"/>
              <w:rPr>
                <w:sz w:val="19"/>
                <w:szCs w:val="19"/>
                <w:color w:val="auto"/>
              </w:rPr>
            </w:pPr>
          </w:p>
        </w:tc>
        <w:tc>
          <w:tcPr>
            <w:tcW w:w="2520" w:type="dxa"/>
            <w:vAlign w:val="bottom"/>
            <w:gridSpan w:val="2"/>
          </w:tcPr>
          <w:p>
            <w:pPr>
              <w:jc w:val="right"/>
              <w:ind w:right="1960"/>
              <w:spacing w:after="0" w:line="228" w:lineRule="exact"/>
              <w:rPr>
                <w:sz w:val="20"/>
                <w:szCs w:val="20"/>
                <w:color w:val="auto"/>
              </w:rPr>
            </w:pPr>
            <w:r>
              <w:rPr>
                <w:rFonts w:ascii="Times New Roman" w:cs="Times New Roman" w:eastAsia="Times New Roman" w:hAnsi="Times New Roman"/>
                <w:sz w:val="20"/>
                <w:szCs w:val="20"/>
                <w:color w:val="auto"/>
              </w:rPr>
              <w:t>0%</w:t>
            </w:r>
          </w:p>
        </w:tc>
      </w:tr>
      <w:tr>
        <w:trPr>
          <w:trHeight w:val="229"/>
        </w:trPr>
        <w:tc>
          <w:tcPr>
            <w:tcW w:w="2940" w:type="dxa"/>
            <w:vAlign w:val="bottom"/>
            <w:gridSpan w:val="2"/>
          </w:tcPr>
          <w:p>
            <w:pPr>
              <w:ind w:left="1680"/>
              <w:spacing w:after="0"/>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840" w:type="dxa"/>
            <w:vAlign w:val="bottom"/>
            <w:gridSpan w:val="4"/>
          </w:tcPr>
          <w:p>
            <w:pPr>
              <w:jc w:val="right"/>
              <w:ind w:right="1960"/>
              <w:spacing w:after="0"/>
              <w:rPr>
                <w:sz w:val="20"/>
                <w:szCs w:val="20"/>
                <w:color w:val="auto"/>
              </w:rPr>
            </w:pPr>
            <w:r>
              <w:rPr>
                <w:rFonts w:ascii="Times New Roman" w:cs="Times New Roman" w:eastAsia="Times New Roman" w:hAnsi="Times New Roman"/>
                <w:sz w:val="20"/>
                <w:szCs w:val="20"/>
                <w:color w:val="auto"/>
              </w:rPr>
              <w:t>20%</w:t>
            </w:r>
          </w:p>
        </w:tc>
      </w:tr>
      <w:tr>
        <w:trPr>
          <w:trHeight w:val="258"/>
        </w:trPr>
        <w:tc>
          <w:tcPr>
            <w:tcW w:w="2940" w:type="dxa"/>
            <w:vAlign w:val="bottom"/>
            <w:gridSpan w:val="2"/>
          </w:tcPr>
          <w:p>
            <w:pPr>
              <w:ind w:left="168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3840" w:type="dxa"/>
            <w:vAlign w:val="bottom"/>
            <w:gridSpan w:val="4"/>
          </w:tcPr>
          <w:p>
            <w:pPr>
              <w:jc w:val="right"/>
              <w:ind w:right="1960"/>
              <w:spacing w:after="0"/>
              <w:rPr>
                <w:sz w:val="20"/>
                <w:szCs w:val="20"/>
                <w:color w:val="auto"/>
              </w:rPr>
            </w:pPr>
            <w:r>
              <w:rPr>
                <w:rFonts w:ascii="Times New Roman" w:cs="Times New Roman" w:eastAsia="Times New Roman" w:hAnsi="Times New Roman"/>
                <w:sz w:val="20"/>
                <w:szCs w:val="20"/>
                <w:color w:val="auto"/>
              </w:rPr>
              <w:t>40%</w:t>
            </w:r>
          </w:p>
        </w:tc>
      </w:tr>
      <w:tr>
        <w:trPr>
          <w:trHeight w:val="648"/>
        </w:trPr>
        <w:tc>
          <w:tcPr>
            <w:tcW w:w="7400" w:type="dxa"/>
            <w:vAlign w:val="bottom"/>
            <w:gridSpan w:val="4"/>
          </w:tcPr>
          <w:p>
            <w:pPr>
              <w:jc w:val="right"/>
              <w:ind w:right="1621"/>
              <w:spacing w:after="0"/>
              <w:rPr>
                <w:sz w:val="20"/>
                <w:szCs w:val="20"/>
                <w:color w:val="auto"/>
              </w:rPr>
            </w:pPr>
            <w:r>
              <w:rPr>
                <w:rFonts w:ascii="Times New Roman" w:cs="Times New Roman" w:eastAsia="Times New Roman" w:hAnsi="Times New Roman"/>
                <w:sz w:val="20"/>
                <w:szCs w:val="20"/>
                <w:color w:val="auto"/>
              </w:rPr>
              <w:t>6</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622"/>
        </w:trPr>
        <w:tc>
          <w:tcPr>
            <w:tcW w:w="16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Fortune Brands Innovations Retirement Savings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7" w:lineRule="exact"/>
        <w:rPr>
          <w:sz w:val="20"/>
          <w:szCs w:val="20"/>
          <w:color w:val="auto"/>
        </w:rPr>
      </w:pPr>
    </w:p>
    <w:tbl>
      <w:tblPr>
        <w:tblLayout w:type="fixed"/>
        <w:tblInd w:w="1660" w:type="dxa"/>
        <w:tblCellMar>
          <w:top w:w="0" w:type="dxa"/>
          <w:left w:w="0" w:type="dxa"/>
          <w:bottom w:w="0" w:type="dxa"/>
          <w:right w:w="0" w:type="dxa"/>
        </w:tblCellMar>
      </w:tblPr>
      <w:tr>
        <w:trPr>
          <w:trHeight w:val="258"/>
        </w:trPr>
        <w:tc>
          <w:tcPr>
            <w:tcW w:w="3960" w:type="dxa"/>
            <w:vAlign w:val="bottom"/>
          </w:tcPr>
          <w:p>
            <w:pPr>
              <w:spacing w:after="0"/>
              <w:rPr>
                <w:sz w:val="20"/>
                <w:szCs w:val="20"/>
                <w:color w:val="auto"/>
              </w:rPr>
            </w:pPr>
            <w:r>
              <w:rPr>
                <w:rFonts w:ascii="Times New Roman" w:cs="Times New Roman" w:eastAsia="Times New Roman" w:hAnsi="Times New Roman"/>
                <w:sz w:val="20"/>
                <w:szCs w:val="20"/>
                <w:color w:val="auto"/>
              </w:rPr>
              <w:t>3 or more</w:t>
            </w:r>
          </w:p>
        </w:tc>
        <w:tc>
          <w:tcPr>
            <w:tcW w:w="3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r>
    </w:tbl>
    <w:p>
      <w:pPr>
        <w:spacing w:after="0" w:line="228" w:lineRule="exact"/>
        <w:rPr>
          <w:sz w:val="20"/>
          <w:szCs w:val="20"/>
          <w:color w:val="auto"/>
        </w:rPr>
      </w:pPr>
    </w:p>
    <w:p>
      <w:pPr>
        <w:jc w:val="both"/>
        <w:ind w:left="580" w:right="80"/>
        <w:spacing w:after="0" w:line="269" w:lineRule="auto"/>
        <w:rPr>
          <w:sz w:val="20"/>
          <w:szCs w:val="20"/>
          <w:color w:val="auto"/>
        </w:rPr>
      </w:pPr>
      <w:r>
        <w:rPr>
          <w:rFonts w:ascii="Times New Roman" w:cs="Times New Roman" w:eastAsia="Times New Roman" w:hAnsi="Times New Roman"/>
          <w:sz w:val="20"/>
          <w:szCs w:val="20"/>
          <w:color w:val="auto"/>
        </w:rPr>
        <w:t>Therma-Tru participants that are eligible to receive profit-sharing contributions in the Plan are 100% vested in profit-sharing contributions at all times.</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i w:val="1"/>
          <w:iCs w:val="1"/>
          <w:color w:val="auto"/>
        </w:rPr>
        <w:t>Forfeitures</w:t>
      </w:r>
    </w:p>
    <w:p>
      <w:pPr>
        <w:spacing w:after="0" w:line="233" w:lineRule="exact"/>
        <w:rPr>
          <w:sz w:val="20"/>
          <w:szCs w:val="20"/>
          <w:color w:val="auto"/>
        </w:rPr>
      </w:pPr>
    </w:p>
    <w:p>
      <w:pPr>
        <w:jc w:val="both"/>
        <w:ind w:left="580" w:right="80"/>
        <w:spacing w:after="0" w:line="249" w:lineRule="auto"/>
        <w:rPr>
          <w:sz w:val="20"/>
          <w:szCs w:val="20"/>
          <w:color w:val="auto"/>
        </w:rPr>
      </w:pPr>
      <w:r>
        <w:rPr>
          <w:rFonts w:ascii="Times New Roman" w:cs="Times New Roman" w:eastAsia="Times New Roman" w:hAnsi="Times New Roman"/>
          <w:sz w:val="20"/>
          <w:szCs w:val="20"/>
          <w:color w:val="auto"/>
        </w:rPr>
        <w:t>Forfeited non-vested accounts totaled $162 and $281 on December 31, 2025 and 2024, respectively. These accounts are used to reduce future Company contributions or to pay Plan expenses. Forfeitures were used to reduce Company contributions by $870 and $500 in 2025 and 2024, respectively. Forfeitures were used to pay $294 and $76 in Plan expenses during 2025 and 2024, respectively.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i w:val="1"/>
          <w:iCs w:val="1"/>
          <w:color w:val="auto"/>
        </w:rPr>
        <w:t>Notes Receivable from Participants</w:t>
      </w:r>
    </w:p>
    <w:p>
      <w:pPr>
        <w:spacing w:after="0" w:line="233" w:lineRule="exact"/>
        <w:rPr>
          <w:sz w:val="20"/>
          <w:szCs w:val="20"/>
          <w:color w:val="auto"/>
        </w:rPr>
      </w:pPr>
    </w:p>
    <w:p>
      <w:pPr>
        <w:jc w:val="both"/>
        <w:ind w:left="560" w:right="80"/>
        <w:spacing w:after="0" w:line="246" w:lineRule="auto"/>
        <w:rPr>
          <w:sz w:val="20"/>
          <w:szCs w:val="20"/>
          <w:color w:val="auto"/>
        </w:rPr>
      </w:pPr>
      <w:r>
        <w:rPr>
          <w:rFonts w:ascii="Times New Roman" w:cs="Times New Roman" w:eastAsia="Times New Roman" w:hAnsi="Times New Roman"/>
          <w:sz w:val="20"/>
          <w:szCs w:val="20"/>
          <w:color w:val="auto"/>
        </w:rPr>
        <w:t>A participant may apply for up to two loans of at least $1 each from the vested portion of the participant’s account balance (excluding the portion in certain subaccounts). Loan amounts may not exceed the lesser of one-half of the participant’s vested balance or $50 where the maximum is reduced by the participant’s highest outstanding loan balance on any loans during the preceding twelve months. The term of any loan shall not exceed five years, unless the loan is related to the purchase of the participant’s principal residence, in which case the term of the loan shall not exceed ten years.</w:t>
      </w:r>
    </w:p>
    <w:p>
      <w:pPr>
        <w:spacing w:after="0" w:line="198" w:lineRule="exact"/>
        <w:rPr>
          <w:sz w:val="20"/>
          <w:szCs w:val="20"/>
          <w:color w:val="auto"/>
        </w:rPr>
      </w:pPr>
    </w:p>
    <w:p>
      <w:pPr>
        <w:jc w:val="both"/>
        <w:ind w:left="560" w:right="80"/>
        <w:spacing w:after="0" w:line="269" w:lineRule="auto"/>
        <w:rPr>
          <w:sz w:val="20"/>
          <w:szCs w:val="20"/>
          <w:color w:val="auto"/>
        </w:rPr>
      </w:pPr>
      <w:r>
        <w:rPr>
          <w:rFonts w:ascii="Times New Roman" w:cs="Times New Roman" w:eastAsia="Times New Roman" w:hAnsi="Times New Roman"/>
          <w:sz w:val="20"/>
          <w:szCs w:val="20"/>
          <w:color w:val="auto"/>
        </w:rPr>
        <w:t>Each loan bears a rate of interest commensurate with prevailing market rates at the time of issuance. Repayment is made through payroll deductions so that the loan is repaid evenly over the term of the loan.</w:t>
      </w:r>
    </w:p>
    <w:p>
      <w:pPr>
        <w:spacing w:after="0" w:line="15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i w:val="1"/>
          <w:iCs w:val="1"/>
          <w:color w:val="auto"/>
        </w:rPr>
        <w:t>Distributions and Withdrawals</w:t>
      </w:r>
    </w:p>
    <w:p>
      <w:pPr>
        <w:spacing w:after="0" w:line="233" w:lineRule="exact"/>
        <w:rPr>
          <w:sz w:val="20"/>
          <w:szCs w:val="20"/>
          <w:color w:val="auto"/>
        </w:rPr>
      </w:pPr>
    </w:p>
    <w:p>
      <w:pPr>
        <w:jc w:val="both"/>
        <w:ind w:left="580" w:right="80"/>
        <w:spacing w:after="0" w:line="246" w:lineRule="auto"/>
        <w:rPr>
          <w:sz w:val="20"/>
          <w:szCs w:val="20"/>
          <w:color w:val="auto"/>
        </w:rPr>
      </w:pPr>
      <w:r>
        <w:rPr>
          <w:rFonts w:ascii="Times New Roman" w:cs="Times New Roman" w:eastAsia="Times New Roman" w:hAnsi="Times New Roman"/>
          <w:sz w:val="20"/>
          <w:szCs w:val="20"/>
          <w:color w:val="auto"/>
        </w:rPr>
        <w:t>Benefits are distributed from a participant’s account upon death, retirement or other termination of employment and are payable in cash (generally, in a lump sum or installment payments and in some cases, in the form of an annuity) or rolled over (into a traditional or Roth IRA). The Plan also permits in-service withdrawals to be made by participants who have incurred a “hardship” as defined in the Plan, who have attained age 59-1/2, or who are performing qualified military service as described in the Plan.</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uto"/>
        </w:rPr>
        <w:t>NOTE B—SUMMARY OF SIGNIFICANT ACCOUNTING POLICIES</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i w:val="1"/>
          <w:iCs w:val="1"/>
          <w:color w:val="auto"/>
        </w:rPr>
        <w:t>Basis of Accounting</w:t>
      </w: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The accompanying financial statements have been prepared on the accrual basis of accounting in accordance with U.S.</w:t>
      </w:r>
    </w:p>
    <w:p>
      <w:pPr>
        <w:spacing w:after="0" w:line="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generally accepted accounting principles (“GAAP”).</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i w:val="1"/>
          <w:iCs w:val="1"/>
          <w:color w:val="auto"/>
        </w:rPr>
        <w:t>Contributions and Contributions Receivable</w:t>
      </w:r>
    </w:p>
    <w:p>
      <w:pPr>
        <w:spacing w:after="0" w:line="233" w:lineRule="exact"/>
        <w:rPr>
          <w:sz w:val="20"/>
          <w:szCs w:val="20"/>
          <w:color w:val="auto"/>
        </w:rPr>
      </w:pPr>
    </w:p>
    <w:p>
      <w:pPr>
        <w:jc w:val="both"/>
        <w:ind w:left="520"/>
        <w:spacing w:after="0" w:line="249" w:lineRule="auto"/>
        <w:rPr>
          <w:sz w:val="20"/>
          <w:szCs w:val="20"/>
          <w:color w:val="auto"/>
        </w:rPr>
      </w:pPr>
      <w:r>
        <w:rPr>
          <w:rFonts w:ascii="Times New Roman" w:cs="Times New Roman" w:eastAsia="Times New Roman" w:hAnsi="Times New Roman"/>
          <w:sz w:val="20"/>
          <w:szCs w:val="20"/>
          <w:color w:val="auto"/>
        </w:rPr>
        <w:t>The contributions are recorded on the accrual method of accounting. Contributions receivable are obligations arising from amounts owed to the Plan that have not been included in the Plan's investments at year end. Employee contributions, and any related Company matching contributions, are recorded when the contributions are withheld from compensation. Profit-sharing and QNEC are recorded in the period that the related compensation was paid to the participant.</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i w:val="1"/>
          <w:iCs w:val="1"/>
          <w:color w:val="auto"/>
        </w:rPr>
        <w:t>Use of Estimates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395605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40" w:top="774" w:right="8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Fortune Brands Innovations Retirement Savings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7" w:lineRule="exact"/>
        <w:rPr>
          <w:sz w:val="20"/>
          <w:szCs w:val="20"/>
          <w:color w:val="auto"/>
        </w:rPr>
      </w:pPr>
    </w:p>
    <w:p>
      <w:pPr>
        <w:jc w:val="both"/>
        <w:ind w:left="580" w:right="20"/>
        <w:spacing w:after="0" w:line="249" w:lineRule="auto"/>
        <w:rPr>
          <w:sz w:val="20"/>
          <w:szCs w:val="20"/>
          <w:color w:val="auto"/>
        </w:rPr>
      </w:pPr>
      <w:r>
        <w:rPr>
          <w:rFonts w:ascii="Times New Roman" w:cs="Times New Roman" w:eastAsia="Times New Roman" w:hAnsi="Times New Roman"/>
          <w:sz w:val="20"/>
          <w:szCs w:val="20"/>
          <w:color w:val="auto"/>
        </w:rPr>
        <w:t>The preparation of the Plan’s financial statements in conformity with GAAP requires the Plan Administrator to make estimates and assumptions that affect the reported amounts of net assets available for Plan benefits and the changes in net assets available for Plan benefits and, when applicable, the disclosures of contingent assets and liabilities. Actual results could differ from those estimates.</w:t>
      </w:r>
    </w:p>
    <w:p>
      <w:pPr>
        <w:spacing w:after="0" w:line="18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i w:val="1"/>
          <w:iCs w:val="1"/>
          <w:color w:val="auto"/>
        </w:rPr>
        <w:t>Investment Valuation</w:t>
      </w:r>
    </w:p>
    <w:p>
      <w:pPr>
        <w:spacing w:after="0" w:line="233" w:lineRule="exact"/>
        <w:rPr>
          <w:sz w:val="20"/>
          <w:szCs w:val="20"/>
          <w:color w:val="auto"/>
        </w:rPr>
      </w:pPr>
    </w:p>
    <w:p>
      <w:pPr>
        <w:jc w:val="both"/>
        <w:ind w:left="580"/>
        <w:spacing w:after="0" w:line="246" w:lineRule="auto"/>
        <w:rPr>
          <w:sz w:val="20"/>
          <w:szCs w:val="20"/>
          <w:color w:val="auto"/>
        </w:rPr>
      </w:pPr>
      <w:r>
        <w:rPr>
          <w:rFonts w:ascii="Times New Roman" w:cs="Times New Roman" w:eastAsia="Times New Roman" w:hAnsi="Times New Roman"/>
          <w:sz w:val="20"/>
          <w:szCs w:val="20"/>
          <w:color w:val="auto"/>
        </w:rPr>
        <w:t>The Plan’s investments are reflected at fair value. Fair value is defined as the price that would be received (i) to sell an asset, or (ii) paid to transfer a liability (an exit price) in an orderly transaction between market participants at the measurement date in the principal or most advantageous market for the asset or liability. Inputs are used in applying the various valuation techniques and broadly refer to the assumptions that market participants use to make valuation decisions, including assumptions about risk.</w:t>
      </w:r>
    </w:p>
    <w:p>
      <w:pPr>
        <w:spacing w:after="0" w:line="194" w:lineRule="exact"/>
        <w:rPr>
          <w:sz w:val="20"/>
          <w:szCs w:val="20"/>
          <w:color w:val="auto"/>
        </w:rPr>
      </w:pPr>
    </w:p>
    <w:p>
      <w:pPr>
        <w:jc w:val="both"/>
        <w:ind w:left="560" w:right="20"/>
        <w:spacing w:after="0" w:line="250" w:lineRule="auto"/>
        <w:rPr>
          <w:sz w:val="20"/>
          <w:szCs w:val="20"/>
          <w:color w:val="auto"/>
        </w:rPr>
      </w:pPr>
      <w:r>
        <w:rPr>
          <w:rFonts w:ascii="Times New Roman" w:cs="Times New Roman" w:eastAsia="Times New Roman" w:hAnsi="Times New Roman"/>
          <w:sz w:val="20"/>
          <w:szCs w:val="20"/>
          <w:color w:val="auto"/>
        </w:rPr>
        <w:t xml:space="preserve">The Plan’s management follows ASC 820, </w:t>
      </w:r>
      <w:r>
        <w:rPr>
          <w:rFonts w:ascii="Times New Roman" w:cs="Times New Roman" w:eastAsia="Times New Roman" w:hAnsi="Times New Roman"/>
          <w:sz w:val="20"/>
          <w:szCs w:val="20"/>
          <w:i w:val="1"/>
          <w:iCs w:val="1"/>
          <w:color w:val="auto"/>
        </w:rPr>
        <w:t>Fair Value Measurements and Disclosures</w:t>
      </w:r>
      <w:r>
        <w:rPr>
          <w:rFonts w:ascii="Times New Roman" w:cs="Times New Roman" w:eastAsia="Times New Roman" w:hAnsi="Times New Roman"/>
          <w:sz w:val="20"/>
          <w:szCs w:val="20"/>
          <w:color w:val="auto"/>
        </w:rPr>
        <w:t>, which established a three-tiered hierarchy of inputs to establish a classification of fair value measurements for disclosure purposes. The hierarchy gives the highest priority to unadjusted quoted prices in active markets for identical assets or liabilities (Level 1 measurements) and the lowest priority to unobservable inputs (Level 3 measurements).</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The three levels of the fair value hierarchy are as follows:</w:t>
      </w:r>
    </w:p>
    <w:p>
      <w:pPr>
        <w:spacing w:after="0" w:line="229" w:lineRule="exact"/>
        <w:rPr>
          <w:sz w:val="20"/>
          <w:szCs w:val="20"/>
          <w:color w:val="auto"/>
        </w:rPr>
      </w:pPr>
    </w:p>
    <w:p>
      <w:pPr>
        <w:jc w:val="both"/>
        <w:ind w:left="580"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Level 1</w:t>
      </w:r>
      <w:r>
        <w:rPr>
          <w:rFonts w:ascii="Times New Roman" w:cs="Times New Roman" w:eastAsia="Times New Roman" w:hAnsi="Times New Roman"/>
          <w:sz w:val="20"/>
          <w:szCs w:val="20"/>
          <w:color w:val="auto"/>
        </w:rPr>
        <w:t xml:space="preserve"> inputs are unadjusted quoted prices in active markets for identical assets or liabilities that the reporting entity has the ability to access at the measurement date. An active market for the asset or liability is a market in which transactions for the asset or liability occur with sufficient frequency and volume to provide pricing information on an ongoing basis.</w:t>
      </w:r>
    </w:p>
    <w:p>
      <w:pPr>
        <w:spacing w:after="0" w:line="188" w:lineRule="exact"/>
        <w:rPr>
          <w:sz w:val="20"/>
          <w:szCs w:val="20"/>
          <w:color w:val="auto"/>
        </w:rPr>
      </w:pPr>
    </w:p>
    <w:p>
      <w:pPr>
        <w:jc w:val="both"/>
        <w:ind w:left="580" w:right="20"/>
        <w:spacing w:after="0" w:line="250" w:lineRule="auto"/>
        <w:rPr>
          <w:sz w:val="20"/>
          <w:szCs w:val="20"/>
          <w:color w:val="auto"/>
        </w:rPr>
      </w:pPr>
      <w:r>
        <w:rPr>
          <w:rFonts w:ascii="Times New Roman" w:cs="Times New Roman" w:eastAsia="Times New Roman" w:hAnsi="Times New Roman"/>
          <w:sz w:val="20"/>
          <w:szCs w:val="20"/>
          <w:u w:val="single" w:color="auto"/>
          <w:color w:val="auto"/>
        </w:rPr>
        <w:t>Level 2</w:t>
      </w:r>
      <w:r>
        <w:rPr>
          <w:rFonts w:ascii="Times New Roman" w:cs="Times New Roman" w:eastAsia="Times New Roman" w:hAnsi="Times New Roman"/>
          <w:sz w:val="20"/>
          <w:szCs w:val="20"/>
          <w:color w:val="auto"/>
        </w:rPr>
        <w:t xml:space="preserve"> inputs are other than quoted prices included within Level 1 that are observable for the asset or liability, either directly or indirectly, including:</w:t>
      </w:r>
    </w:p>
    <w:p>
      <w:pPr>
        <w:spacing w:after="0" w:line="1" w:lineRule="exact"/>
        <w:rPr>
          <w:sz w:val="20"/>
          <w:szCs w:val="20"/>
          <w:color w:val="auto"/>
        </w:rPr>
      </w:pPr>
    </w:p>
    <w:p>
      <w:pPr>
        <w:ind w:left="1580" w:hanging="499"/>
        <w:spacing w:after="0"/>
        <w:tabs>
          <w:tab w:leader="none" w:pos="15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similar assets or liabilities in active markets.</w:t>
      </w:r>
    </w:p>
    <w:p>
      <w:pPr>
        <w:ind w:left="1580" w:hanging="499"/>
        <w:spacing w:after="0"/>
        <w:tabs>
          <w:tab w:leader="none" w:pos="15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Quoted prices for identical or similar assets or liabilities in inactive markets</w:t>
      </w:r>
    </w:p>
    <w:p>
      <w:pPr>
        <w:ind w:left="1580" w:hanging="499"/>
        <w:spacing w:after="0"/>
        <w:tabs>
          <w:tab w:leader="none" w:pos="15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other than quoted prices that are observable for the assets or liabilities (including volatilities).</w:t>
      </w:r>
    </w:p>
    <w:p>
      <w:pPr>
        <w:ind w:left="1560" w:hanging="479"/>
        <w:spacing w:after="0"/>
        <w:tabs>
          <w:tab w:leader="none" w:pos="15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Inputs that are derived principally from or corroborated by observable market data by correlation or other means.</w:t>
      </w:r>
    </w:p>
    <w:p>
      <w:pPr>
        <w:spacing w:after="0" w:line="207" w:lineRule="exact"/>
        <w:rPr>
          <w:sz w:val="20"/>
          <w:szCs w:val="20"/>
          <w:color w:val="auto"/>
        </w:rPr>
      </w:pPr>
    </w:p>
    <w:p>
      <w:pPr>
        <w:jc w:val="both"/>
        <w:ind w:left="580" w:right="20"/>
        <w:spacing w:after="0" w:line="269" w:lineRule="auto"/>
        <w:rPr>
          <w:sz w:val="20"/>
          <w:szCs w:val="20"/>
          <w:color w:val="auto"/>
        </w:rPr>
      </w:pPr>
      <w:r>
        <w:rPr>
          <w:rFonts w:ascii="Times New Roman" w:cs="Times New Roman" w:eastAsia="Times New Roman" w:hAnsi="Times New Roman"/>
          <w:sz w:val="20"/>
          <w:szCs w:val="20"/>
          <w:color w:val="auto"/>
        </w:rPr>
        <w:t>If the asset or liability has a specified (contractual) term, the Level 2 input must be observable for substantially the full term of the asset or liability.</w:t>
      </w:r>
    </w:p>
    <w:p>
      <w:pPr>
        <w:spacing w:after="0" w:line="173" w:lineRule="exact"/>
        <w:rPr>
          <w:sz w:val="20"/>
          <w:szCs w:val="20"/>
          <w:color w:val="auto"/>
        </w:rPr>
      </w:pPr>
    </w:p>
    <w:p>
      <w:pPr>
        <w:jc w:val="both"/>
        <w:ind w:left="580"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Level 3</w:t>
      </w:r>
      <w:r>
        <w:rPr>
          <w:rFonts w:ascii="Times New Roman" w:cs="Times New Roman" w:eastAsia="Times New Roman" w:hAnsi="Times New Roman"/>
          <w:sz w:val="20"/>
          <w:szCs w:val="20"/>
          <w:color w:val="auto"/>
        </w:rPr>
        <w:t xml:space="preserve"> inputs are unobservable for the asset or liability (including the entity’s own assumptions about the assumptions that market participants would use in pricing the asset or liability) and significant to the fair value measurement.</w:t>
      </w:r>
    </w:p>
    <w:p>
      <w:pPr>
        <w:spacing w:after="0" w:line="173" w:lineRule="exact"/>
        <w:rPr>
          <w:sz w:val="20"/>
          <w:szCs w:val="20"/>
          <w:color w:val="auto"/>
        </w:rPr>
      </w:pPr>
    </w:p>
    <w:p>
      <w:pPr>
        <w:jc w:val="both"/>
        <w:ind w:left="580" w:right="20"/>
        <w:spacing w:after="0" w:line="254" w:lineRule="auto"/>
        <w:rPr>
          <w:sz w:val="20"/>
          <w:szCs w:val="20"/>
          <w:color w:val="auto"/>
        </w:rPr>
      </w:pPr>
      <w:r>
        <w:rPr>
          <w:rFonts w:ascii="Times New Roman" w:cs="Times New Roman" w:eastAsia="Times New Roman" w:hAnsi="Times New Roman"/>
          <w:sz w:val="20"/>
          <w:szCs w:val="20"/>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88" w:lineRule="exact"/>
        <w:rPr>
          <w:sz w:val="20"/>
          <w:szCs w:val="20"/>
          <w:color w:val="auto"/>
        </w:rPr>
      </w:pPr>
    </w:p>
    <w:p>
      <w:pPr>
        <w:jc w:val="both"/>
        <w:ind w:left="580" w:right="20"/>
        <w:spacing w:after="0" w:line="269" w:lineRule="auto"/>
        <w:rPr>
          <w:sz w:val="20"/>
          <w:szCs w:val="20"/>
          <w:color w:val="auto"/>
        </w:rPr>
      </w:pPr>
      <w:r>
        <w:rPr>
          <w:rFonts w:ascii="Times New Roman" w:cs="Times New Roman" w:eastAsia="Times New Roman" w:hAnsi="Times New Roman"/>
          <w:sz w:val="20"/>
          <w:szCs w:val="20"/>
          <w:color w:val="auto"/>
        </w:rPr>
        <w:t>The Plan’s interest in the Master Trust at December 31, 2025 and 2024 is presented at fair value, which has been determined based on the fair value of the underlying investments of the Master Trust.</w:t>
      </w:r>
    </w:p>
    <w:p>
      <w:pPr>
        <w:spacing w:after="0" w:line="200" w:lineRule="exact"/>
        <w:rPr>
          <w:sz w:val="20"/>
          <w:szCs w:val="20"/>
          <w:color w:val="auto"/>
        </w:rPr>
      </w:pPr>
    </w:p>
    <w:p>
      <w:pPr>
        <w:spacing w:after="0" w:line="36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395605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40" w:top="774" w:right="9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Fortune Brands Innovations Retirement Savings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7" w:lineRule="exact"/>
        <w:rPr>
          <w:sz w:val="20"/>
          <w:szCs w:val="20"/>
          <w:color w:val="auto"/>
        </w:rPr>
      </w:pPr>
    </w:p>
    <w:p>
      <w:pPr>
        <w:ind w:left="580"/>
        <w:spacing w:after="0" w:line="269" w:lineRule="auto"/>
        <w:rPr>
          <w:sz w:val="20"/>
          <w:szCs w:val="20"/>
          <w:color w:val="auto"/>
        </w:rPr>
      </w:pPr>
      <w:r>
        <w:rPr>
          <w:rFonts w:ascii="Times New Roman" w:cs="Times New Roman" w:eastAsia="Times New Roman" w:hAnsi="Times New Roman"/>
          <w:sz w:val="20"/>
          <w:szCs w:val="20"/>
          <w:color w:val="auto"/>
        </w:rPr>
        <w:t>Plan management uses the following methods and significant assumptions to estimate fair value of investments. There have been no changes in the methodologies used at December 31, 2025 and 2024.</w:t>
      </w:r>
    </w:p>
    <w:p>
      <w:pPr>
        <w:spacing w:after="0" w:line="1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The investments held by the Master Trust are valued as follows:</w:t>
      </w:r>
    </w:p>
    <w:p>
      <w:pPr>
        <w:spacing w:after="0" w:line="229" w:lineRule="exact"/>
        <w:rPr>
          <w:sz w:val="20"/>
          <w:szCs w:val="20"/>
          <w:color w:val="auto"/>
        </w:rPr>
      </w:pPr>
    </w:p>
    <w:p>
      <w:pPr>
        <w:jc w:val="both"/>
        <w:ind w:left="1080"/>
        <w:spacing w:after="0" w:line="269" w:lineRule="auto"/>
        <w:rPr>
          <w:sz w:val="20"/>
          <w:szCs w:val="20"/>
          <w:color w:val="auto"/>
        </w:rPr>
      </w:pPr>
      <w:r>
        <w:rPr>
          <w:rFonts w:ascii="Times New Roman" w:cs="Times New Roman" w:eastAsia="Times New Roman" w:hAnsi="Times New Roman"/>
          <w:sz w:val="20"/>
          <w:szCs w:val="20"/>
          <w:u w:val="single" w:color="auto"/>
          <w:color w:val="auto"/>
        </w:rPr>
        <w:t>Mutual funds</w:t>
      </w:r>
      <w:r>
        <w:rPr>
          <w:rFonts w:ascii="Times New Roman" w:cs="Times New Roman" w:eastAsia="Times New Roman" w:hAnsi="Times New Roman"/>
          <w:sz w:val="20"/>
          <w:szCs w:val="20"/>
          <w:color w:val="auto"/>
        </w:rPr>
        <w:t>: Valued at the net asset value (“NAV”) of shares held by the plan at year end, which is obtained from an active market.</w:t>
      </w:r>
    </w:p>
    <w:p>
      <w:pPr>
        <w:spacing w:after="0" w:line="173" w:lineRule="exact"/>
        <w:rPr>
          <w:sz w:val="20"/>
          <w:szCs w:val="20"/>
          <w:color w:val="auto"/>
        </w:rPr>
      </w:pPr>
    </w:p>
    <w:p>
      <w:pPr>
        <w:jc w:val="both"/>
        <w:ind w:left="1080"/>
        <w:spacing w:after="0" w:line="244" w:lineRule="auto"/>
        <w:rPr>
          <w:sz w:val="20"/>
          <w:szCs w:val="20"/>
          <w:color w:val="auto"/>
        </w:rPr>
      </w:pPr>
      <w:r>
        <w:rPr>
          <w:rFonts w:ascii="Times New Roman" w:cs="Times New Roman" w:eastAsia="Times New Roman" w:hAnsi="Times New Roman"/>
          <w:sz w:val="20"/>
          <w:szCs w:val="20"/>
          <w:u w:val="single" w:color="auto"/>
          <w:color w:val="auto"/>
        </w:rPr>
        <w:t>Collective trust funds</w:t>
      </w:r>
      <w:r>
        <w:rPr>
          <w:rFonts w:ascii="Times New Roman" w:cs="Times New Roman" w:eastAsia="Times New Roman" w:hAnsi="Times New Roman"/>
          <w:sz w:val="20"/>
          <w:szCs w:val="20"/>
          <w:color w:val="auto"/>
        </w:rPr>
        <w:t xml:space="preserve"> : Valued at the NAV of units of each bank collective trust. The NAV is used as a practical expedient to estimate fair value. The NAV, as provided by the Trustee, is based on the fair value of the underlying investments held by the funds less their liabilities. As of December 31, 2025 and 2024, there is no intention to sell or otherwise dispose of the investments in collective trust funds at prices different than their respective NAV. Participant transactions (purchases and sales) may occur daily. Were the Plan to initiate a full redemption of a collective trust, the investment advisor generally reserves the right to temporarily delay withdrawal from the trust in order to ensure that securities liquidations would be carried out in an orderly business manner.</w:t>
      </w:r>
    </w:p>
    <w:p>
      <w:pPr>
        <w:spacing w:after="0" w:line="19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Valued at the closing price reported on the active market on which the security is traded.</w:t>
      </w:r>
    </w:p>
    <w:p>
      <w:pPr>
        <w:spacing w:after="0" w:line="216" w:lineRule="exact"/>
        <w:rPr>
          <w:sz w:val="20"/>
          <w:szCs w:val="20"/>
          <w:color w:val="auto"/>
        </w:rPr>
      </w:pPr>
    </w:p>
    <w:p>
      <w:pPr>
        <w:jc w:val="both"/>
        <w:ind w:left="1080"/>
        <w:spacing w:after="0" w:line="254" w:lineRule="auto"/>
        <w:rPr>
          <w:sz w:val="20"/>
          <w:szCs w:val="20"/>
          <w:color w:val="auto"/>
        </w:rPr>
      </w:pPr>
      <w:r>
        <w:rPr>
          <w:rFonts w:ascii="Times New Roman" w:cs="Times New Roman" w:eastAsia="Times New Roman" w:hAnsi="Times New Roman"/>
          <w:sz w:val="20"/>
          <w:szCs w:val="20"/>
          <w:u w:val="single" w:color="auto"/>
          <w:color w:val="auto"/>
        </w:rPr>
        <w:t>Self-directed brokerage accounts</w:t>
      </w:r>
      <w:r>
        <w:rPr>
          <w:rFonts w:ascii="Times New Roman" w:cs="Times New Roman" w:eastAsia="Times New Roman" w:hAnsi="Times New Roman"/>
          <w:sz w:val="20"/>
          <w:szCs w:val="20"/>
          <w:color w:val="auto"/>
        </w:rPr>
        <w:t>: Valued based on the underlying holdings which consist of similar investment types as those investments described above. The valuation is consistent and in accordance with the valuation methods described above.</w:t>
      </w:r>
    </w:p>
    <w:p>
      <w:pPr>
        <w:spacing w:after="0" w:line="39" w:lineRule="exact"/>
        <w:rPr>
          <w:sz w:val="20"/>
          <w:szCs w:val="20"/>
          <w:color w:val="auto"/>
        </w:rPr>
      </w:pPr>
    </w:p>
    <w:p>
      <w:pPr>
        <w:jc w:val="both"/>
        <w:ind w:left="560"/>
        <w:spacing w:after="0" w:line="249" w:lineRule="auto"/>
        <w:rPr>
          <w:sz w:val="20"/>
          <w:szCs w:val="20"/>
          <w:color w:val="auto"/>
        </w:rPr>
      </w:pPr>
      <w:r>
        <w:rPr>
          <w:rFonts w:ascii="Times New Roman" w:cs="Times New Roman" w:eastAsia="Times New Roman" w:hAnsi="Times New Roman"/>
          <w:sz w:val="20"/>
          <w:szCs w:val="20"/>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different fair value measurements at the reporting date.</w:t>
      </w:r>
    </w:p>
    <w:p>
      <w:pPr>
        <w:spacing w:after="0" w:line="189" w:lineRule="exact"/>
        <w:rPr>
          <w:sz w:val="20"/>
          <w:szCs w:val="20"/>
          <w:color w:val="auto"/>
        </w:rPr>
      </w:pPr>
    </w:p>
    <w:p>
      <w:pPr>
        <w:jc w:val="both"/>
        <w:ind w:left="580"/>
        <w:spacing w:after="0" w:line="273" w:lineRule="auto"/>
        <w:rPr>
          <w:sz w:val="20"/>
          <w:szCs w:val="20"/>
          <w:color w:val="auto"/>
        </w:rPr>
      </w:pPr>
      <w:r>
        <w:rPr>
          <w:rFonts w:ascii="Times New Roman" w:cs="Times New Roman" w:eastAsia="Times New Roman" w:hAnsi="Times New Roman"/>
          <w:sz w:val="20"/>
          <w:szCs w:val="20"/>
          <w:color w:val="auto"/>
        </w:rPr>
        <w:t xml:space="preserve">See </w:t>
      </w:r>
      <w:r>
        <w:rPr>
          <w:rFonts w:ascii="Times New Roman" w:cs="Times New Roman" w:eastAsia="Times New Roman" w:hAnsi="Times New Roman"/>
          <w:sz w:val="20"/>
          <w:szCs w:val="20"/>
          <w:i w:val="1"/>
          <w:iCs w:val="1"/>
          <w:color w:val="auto"/>
        </w:rPr>
        <w:t>Note D – Interest in Master Trust</w:t>
      </w:r>
      <w:r>
        <w:rPr>
          <w:rFonts w:ascii="Times New Roman" w:cs="Times New Roman" w:eastAsia="Times New Roman" w:hAnsi="Times New Roman"/>
          <w:sz w:val="20"/>
          <w:szCs w:val="20"/>
          <w:color w:val="auto"/>
        </w:rPr>
        <w:t xml:space="preserve"> for the investments held in the Master Trust as of December 31, 2025 and 2024, by level within the fair value hierarchy.</w:t>
      </w:r>
    </w:p>
    <w:p>
      <w:pPr>
        <w:spacing w:after="0" w:line="1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i w:val="1"/>
          <w:iCs w:val="1"/>
          <w:color w:val="auto"/>
        </w:rPr>
        <w:t>Notes Receivable from Participants</w:t>
      </w:r>
    </w:p>
    <w:p>
      <w:pPr>
        <w:spacing w:after="0" w:line="233" w:lineRule="exact"/>
        <w:rPr>
          <w:sz w:val="20"/>
          <w:szCs w:val="20"/>
          <w:color w:val="auto"/>
        </w:rPr>
      </w:pPr>
    </w:p>
    <w:p>
      <w:pPr>
        <w:jc w:val="both"/>
        <w:ind w:left="560"/>
        <w:spacing w:after="0" w:line="249" w:lineRule="auto"/>
        <w:rPr>
          <w:sz w:val="20"/>
          <w:szCs w:val="20"/>
          <w:color w:val="auto"/>
        </w:rPr>
      </w:pPr>
      <w:r>
        <w:rPr>
          <w:rFonts w:ascii="Times New Roman" w:cs="Times New Roman" w:eastAsia="Times New Roman" w:hAnsi="Times New Roman"/>
          <w:sz w:val="20"/>
          <w:szCs w:val="20"/>
          <w:color w:val="auto"/>
        </w:rPr>
        <w:t>Notes receivable from participants are measured at their unpaid principal balance plus any accrued but unpaid interest. Interest income is recorded on the accrual basis. Related fees are recorded as administrative expenses and are expensed when they are incurred. If a participant ceases to make loan repayments and the Plan Administrator deems the participant loan to be in default, the participant loan balance is reduced, and a benefit payment is recorded.</w:t>
      </w:r>
    </w:p>
    <w:p>
      <w:pPr>
        <w:spacing w:after="0" w:line="200" w:lineRule="exact"/>
        <w:rPr>
          <w:sz w:val="20"/>
          <w:szCs w:val="20"/>
          <w:color w:val="auto"/>
        </w:rPr>
      </w:pPr>
    </w:p>
    <w:p>
      <w:pPr>
        <w:spacing w:after="0" w:line="39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395605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40" w:top="774" w:right="9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Fortune Brands Innovations Retirement Savings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i w:val="1"/>
          <w:iCs w:val="1"/>
          <w:color w:val="auto"/>
        </w:rPr>
        <w:t>Income Recognition</w:t>
      </w:r>
    </w:p>
    <w:p>
      <w:pPr>
        <w:spacing w:after="0" w:line="247" w:lineRule="exact"/>
        <w:rPr>
          <w:sz w:val="20"/>
          <w:szCs w:val="20"/>
          <w:color w:val="auto"/>
        </w:rPr>
      </w:pPr>
    </w:p>
    <w:p>
      <w:pPr>
        <w:jc w:val="both"/>
        <w:ind w:left="580"/>
        <w:spacing w:after="0" w:line="245" w:lineRule="auto"/>
        <w:rPr>
          <w:sz w:val="20"/>
          <w:szCs w:val="20"/>
          <w:color w:val="auto"/>
        </w:rPr>
      </w:pPr>
      <w:r>
        <w:rPr>
          <w:rFonts w:ascii="Times New Roman" w:cs="Times New Roman" w:eastAsia="Times New Roman" w:hAnsi="Times New Roman"/>
          <w:sz w:val="20"/>
          <w:szCs w:val="20"/>
          <w:color w:val="auto"/>
        </w:rPr>
        <w:t>Security transactions are accounted for on the trade-date basis. Dividend income is accrued on the ex- dividend date. Interest income is recorded on the accrual basis. Net realized and unrealized appreciation/depreciation, along with dividend income and interest income (excluding interest income on notes receivable from participants) are recorded in the accompanying statements of changes in net assets available for benefits as change in Plan’s interest in Master Trust. In addition, the Plan permits participants to have their proportional interest in dividends paid on stock held in the Fortune Brands Common Stock Fund either distributed to them in cash or reinvested in that fund.</w:t>
      </w:r>
    </w:p>
    <w:p>
      <w:pPr>
        <w:spacing w:after="0" w:line="1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i w:val="1"/>
          <w:iCs w:val="1"/>
          <w:color w:val="auto"/>
        </w:rPr>
        <w:t>Benefits Paid to Participants</w:t>
      </w: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color w:val="auto"/>
        </w:rPr>
        <w:t>Distributions and withdrawals are recorded when paid.</w:t>
      </w:r>
    </w:p>
    <w:p>
      <w:pPr>
        <w:spacing w:after="0" w:line="22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i w:val="1"/>
          <w:iCs w:val="1"/>
          <w:color w:val="auto"/>
        </w:rPr>
        <w:t>Administrative Expenses</w:t>
      </w:r>
    </w:p>
    <w:p>
      <w:pPr>
        <w:spacing w:after="0" w:line="233" w:lineRule="exact"/>
        <w:rPr>
          <w:sz w:val="20"/>
          <w:szCs w:val="20"/>
          <w:color w:val="auto"/>
        </w:rPr>
      </w:pPr>
    </w:p>
    <w:p>
      <w:pPr>
        <w:jc w:val="both"/>
        <w:ind w:left="580"/>
        <w:spacing w:after="0" w:line="246" w:lineRule="auto"/>
        <w:rPr>
          <w:sz w:val="20"/>
          <w:szCs w:val="20"/>
          <w:color w:val="auto"/>
        </w:rPr>
      </w:pPr>
      <w:r>
        <w:rPr>
          <w:rFonts w:ascii="Times New Roman" w:cs="Times New Roman" w:eastAsia="Times New Roman" w:hAnsi="Times New Roman"/>
          <w:sz w:val="20"/>
          <w:szCs w:val="20"/>
          <w:color w:val="auto"/>
        </w:rPr>
        <w:t>Certain investment expenses incurred by the Plan are netted against earnings prior to allocation to participant accounts and are recorded in the accompanying statements of changes in net assets available for benefits as change in Plan’s interest in Fortune Brands Innovations, Inc. Defined Contribution Master Trust. Participants’ accounts are directly charged for certain administrative expenses and any remaining expenses are paid directly by the Plan’s suspense account. Expenses that are paid by the Company are excluded from these financial statements.</w:t>
      </w:r>
    </w:p>
    <w:p>
      <w:pPr>
        <w:spacing w:after="0" w:line="19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uto"/>
        </w:rPr>
        <w:t>NOTE C—TRANSFERS TO AND FROM THE PLAN</w:t>
      </w:r>
    </w:p>
    <w:p>
      <w:pPr>
        <w:spacing w:after="0" w:line="233" w:lineRule="exact"/>
        <w:rPr>
          <w:sz w:val="20"/>
          <w:szCs w:val="20"/>
          <w:color w:val="auto"/>
        </w:rPr>
      </w:pPr>
    </w:p>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Transfers between the Plan and the Fortune Brands Innovations Hourly Employee Retirement Savings Plan occur due to participant changes in status from hourly to salaried, or vice versa, or transfers between Companies. Total transfers to the Plan were $221 and $202 during the years ended December 31, 2025 and 2024, respectively. Transfers from the Plan were $125 and $23 during the years ended December 31, 2025 and 2024, respectively.</w:t>
      </w:r>
    </w:p>
    <w:p>
      <w:pPr>
        <w:spacing w:after="0" w:line="200" w:lineRule="exact"/>
        <w:rPr>
          <w:sz w:val="20"/>
          <w:szCs w:val="20"/>
          <w:color w:val="auto"/>
        </w:rPr>
      </w:pPr>
    </w:p>
    <w:p>
      <w:pPr>
        <w:spacing w:after="0" w:line="38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395605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40" w:top="774" w:right="95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20"/>
          <w:szCs w:val="20"/>
          <w:b w:val="1"/>
          <w:bCs w:val="1"/>
          <w:color w:val="auto"/>
        </w:rPr>
        <w:t>Fortune Brands Innovations Retirement Savings Plan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ind w:left="20"/>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9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b w:val="1"/>
          <w:bCs w:val="1"/>
          <w:color w:val="auto"/>
        </w:rPr>
        <w:t>NOTE D—INTEREST IN MASTER TRUST</w:t>
      </w:r>
    </w:p>
    <w:p>
      <w:pPr>
        <w:spacing w:after="0" w:line="233" w:lineRule="exact"/>
        <w:rPr>
          <w:sz w:val="20"/>
          <w:szCs w:val="20"/>
          <w:color w:val="auto"/>
        </w:rPr>
      </w:pPr>
    </w:p>
    <w:p>
      <w:pPr>
        <w:jc w:val="both"/>
        <w:ind w:left="580" w:right="520"/>
        <w:spacing w:after="0" w:line="246" w:lineRule="auto"/>
        <w:rPr>
          <w:sz w:val="20"/>
          <w:szCs w:val="20"/>
          <w:color w:val="auto"/>
        </w:rPr>
      </w:pPr>
      <w:r>
        <w:rPr>
          <w:rFonts w:ascii="Times New Roman" w:cs="Times New Roman" w:eastAsia="Times New Roman" w:hAnsi="Times New Roman"/>
          <w:sz w:val="20"/>
          <w:szCs w:val="20"/>
          <w:color w:val="auto"/>
        </w:rPr>
        <w:t>The investments of the Master Trust are maintained under a trust agreement with the Trustee. The Plan, the Fortune Brands Innovations, Inc. Hourly Employee Retirement Savings Plan and the Larson Plan each have a divided interest in the Master Trust. The value of the Plan’s interest is based on the beginning of the year value of the Plan’s interest in the Master Trust, plus actual contributions and allocated investment income, less actual distributions. Investment income relating to the Master Trust is allocated to the individual plans on a prorated basis.</w:t>
      </w:r>
    </w:p>
    <w:p>
      <w:pPr>
        <w:spacing w:after="0" w:line="198" w:lineRule="exact"/>
        <w:rPr>
          <w:sz w:val="20"/>
          <w:szCs w:val="20"/>
          <w:color w:val="auto"/>
        </w:rPr>
      </w:pPr>
    </w:p>
    <w:p>
      <w:pPr>
        <w:jc w:val="both"/>
        <w:ind w:left="580" w:right="520"/>
        <w:spacing w:after="0" w:line="269" w:lineRule="auto"/>
        <w:rPr>
          <w:sz w:val="20"/>
          <w:szCs w:val="20"/>
          <w:color w:val="auto"/>
        </w:rPr>
      </w:pPr>
      <w:r>
        <w:rPr>
          <w:rFonts w:ascii="Times New Roman" w:cs="Times New Roman" w:eastAsia="Times New Roman" w:hAnsi="Times New Roman"/>
          <w:sz w:val="20"/>
          <w:szCs w:val="20"/>
          <w:color w:val="auto"/>
        </w:rPr>
        <w:t>The Master Trust’s net assets and the Plan’s interest in the Master Trust’s net assets at December 31, 2025 and 2024 were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2025</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2024</w:t>
            </w:r>
          </w:p>
        </w:tc>
        <w:tc>
          <w:tcPr>
            <w:tcW w:w="6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4"/>
          </w:tcPr>
          <w:p>
            <w:pPr>
              <w:jc w:val="right"/>
              <w:ind w:right="600"/>
              <w:spacing w:after="0" w:line="223" w:lineRule="exact"/>
              <w:rPr>
                <w:sz w:val="20"/>
                <w:szCs w:val="20"/>
                <w:color w:val="auto"/>
              </w:rPr>
            </w:pPr>
            <w:r>
              <w:rPr>
                <w:rFonts w:ascii="Times New Roman" w:cs="Times New Roman" w:eastAsia="Times New Roman" w:hAnsi="Times New Roman"/>
                <w:sz w:val="20"/>
                <w:szCs w:val="20"/>
                <w:color w:val="auto"/>
              </w:rPr>
              <w:t>Master Trust</w:t>
            </w:r>
          </w:p>
        </w:tc>
        <w:tc>
          <w:tcPr>
            <w:tcW w:w="40" w:type="dxa"/>
            <w:vAlign w:val="bottom"/>
          </w:tcPr>
          <w:p>
            <w:pPr>
              <w:spacing w:after="0"/>
              <w:rPr>
                <w:sz w:val="19"/>
                <w:szCs w:val="19"/>
                <w:color w:val="auto"/>
              </w:rPr>
            </w:pPr>
          </w:p>
        </w:tc>
        <w:tc>
          <w:tcPr>
            <w:tcW w:w="1300" w:type="dxa"/>
            <w:vAlign w:val="bottom"/>
            <w:gridSpan w:val="2"/>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Plan’s Interest</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3"/>
          </w:tcPr>
          <w:p>
            <w:pPr>
              <w:jc w:val="right"/>
              <w:ind w:right="41"/>
              <w:spacing w:after="0" w:line="223" w:lineRule="exact"/>
              <w:rPr>
                <w:sz w:val="20"/>
                <w:szCs w:val="20"/>
                <w:color w:val="auto"/>
              </w:rPr>
            </w:pPr>
            <w:r>
              <w:rPr>
                <w:rFonts w:ascii="Times New Roman" w:cs="Times New Roman" w:eastAsia="Times New Roman" w:hAnsi="Times New Roman"/>
                <w:sz w:val="20"/>
                <w:szCs w:val="20"/>
                <w:color w:val="auto"/>
              </w:rPr>
              <w:t>Master Trust</w:t>
            </w:r>
          </w:p>
        </w:tc>
        <w:tc>
          <w:tcPr>
            <w:tcW w:w="460" w:type="dxa"/>
            <w:vAlign w:val="bottom"/>
          </w:tcPr>
          <w:p>
            <w:pPr>
              <w:spacing w:after="0"/>
              <w:rPr>
                <w:sz w:val="19"/>
                <w:szCs w:val="19"/>
                <w:color w:val="auto"/>
              </w:rPr>
            </w:pPr>
          </w:p>
        </w:tc>
        <w:tc>
          <w:tcPr>
            <w:tcW w:w="1320" w:type="dxa"/>
            <w:vAlign w:val="bottom"/>
            <w:gridSpan w:val="2"/>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rPr>
              <w:t>Plan’s Interest</w:t>
            </w:r>
          </w:p>
        </w:tc>
        <w:tc>
          <w:tcPr>
            <w:tcW w:w="0" w:type="dxa"/>
            <w:vAlign w:val="bottom"/>
          </w:tcPr>
          <w:p>
            <w:pPr>
              <w:spacing w:after="0"/>
              <w:rPr>
                <w:sz w:val="1"/>
                <w:szCs w:val="1"/>
                <w:color w:val="auto"/>
              </w:rPr>
            </w:pPr>
          </w:p>
        </w:tc>
      </w:tr>
      <w:tr>
        <w:trPr>
          <w:trHeight w:val="200"/>
        </w:trPr>
        <w:tc>
          <w:tcPr>
            <w:tcW w:w="4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Mutual funds</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56,442</w:t>
            </w:r>
          </w:p>
        </w:tc>
        <w:tc>
          <w:tcPr>
            <w:tcW w:w="4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51,628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59,072</w:t>
            </w: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54,320</w:t>
            </w:r>
          </w:p>
        </w:tc>
        <w:tc>
          <w:tcPr>
            <w:tcW w:w="0" w:type="dxa"/>
            <w:vAlign w:val="bottom"/>
          </w:tcPr>
          <w:p>
            <w:pPr>
              <w:spacing w:after="0"/>
              <w:rPr>
                <w:sz w:val="1"/>
                <w:szCs w:val="1"/>
                <w:color w:val="auto"/>
              </w:rPr>
            </w:pPr>
          </w:p>
        </w:tc>
      </w:tr>
      <w:tr>
        <w:trPr>
          <w:trHeight w:val="230"/>
        </w:trPr>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Collective trust funds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933,777</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773,367</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862,125</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703,950</w:t>
            </w:r>
          </w:p>
        </w:tc>
        <w:tc>
          <w:tcPr>
            <w:tcW w:w="0" w:type="dxa"/>
            <w:vAlign w:val="bottom"/>
          </w:tcPr>
          <w:p>
            <w:pPr>
              <w:spacing w:after="0"/>
              <w:rPr>
                <w:sz w:val="1"/>
                <w:szCs w:val="1"/>
                <w:color w:val="auto"/>
              </w:rPr>
            </w:pPr>
          </w:p>
        </w:tc>
      </w:tr>
      <w:tr>
        <w:trPr>
          <w:trHeight w:val="229"/>
        </w:trPr>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Common stock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12,951</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11,575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18,584</w:t>
            </w: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17,260</w:t>
            </w:r>
          </w:p>
        </w:tc>
        <w:tc>
          <w:tcPr>
            <w:tcW w:w="0" w:type="dxa"/>
            <w:vAlign w:val="bottom"/>
          </w:tcPr>
          <w:p>
            <w:pPr>
              <w:spacing w:after="0"/>
              <w:rPr>
                <w:sz w:val="1"/>
                <w:szCs w:val="1"/>
                <w:color w:val="auto"/>
              </w:rPr>
            </w:pPr>
          </w:p>
        </w:tc>
      </w:tr>
      <w:tr>
        <w:trPr>
          <w:trHeight w:val="252"/>
        </w:trPr>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Self-directed brokerage accounts</w:t>
            </w:r>
          </w:p>
        </w:tc>
        <w:tc>
          <w:tcPr>
            <w:tcW w:w="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26,848</w:t>
            </w: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25,969</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23,817</w:t>
            </w:r>
          </w:p>
        </w:tc>
        <w:tc>
          <w:tcPr>
            <w:tcW w:w="46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22,978</w:t>
            </w:r>
          </w:p>
        </w:tc>
        <w:tc>
          <w:tcPr>
            <w:tcW w:w="0" w:type="dxa"/>
            <w:vAlign w:val="bottom"/>
          </w:tcPr>
          <w:p>
            <w:pPr>
              <w:spacing w:after="0"/>
              <w:rPr>
                <w:sz w:val="1"/>
                <w:szCs w:val="1"/>
                <w:color w:val="auto"/>
              </w:rPr>
            </w:pPr>
          </w:p>
        </w:tc>
      </w:tr>
      <w:tr>
        <w:trPr>
          <w:trHeight w:val="223"/>
        </w:trPr>
        <w:tc>
          <w:tcPr>
            <w:tcW w:w="4420" w:type="dxa"/>
            <w:vAlign w:val="bottom"/>
          </w:tcPr>
          <w:p>
            <w:pPr>
              <w:ind w:left="220"/>
              <w:spacing w:after="0" w:line="223" w:lineRule="exact"/>
              <w:rPr>
                <w:sz w:val="20"/>
                <w:szCs w:val="20"/>
                <w:color w:val="auto"/>
              </w:rPr>
            </w:pPr>
            <w:r>
              <w:rPr>
                <w:rFonts w:ascii="Times New Roman" w:cs="Times New Roman" w:eastAsia="Times New Roman" w:hAnsi="Times New Roman"/>
                <w:sz w:val="20"/>
                <w:szCs w:val="20"/>
                <w:color w:val="auto"/>
              </w:rPr>
              <w:t>Total investments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line="223" w:lineRule="exact"/>
              <w:rPr>
                <w:sz w:val="20"/>
                <w:szCs w:val="20"/>
                <w:color w:val="auto"/>
              </w:rPr>
            </w:pPr>
            <w:r>
              <w:rPr>
                <w:rFonts w:ascii="Times New Roman" w:cs="Times New Roman" w:eastAsia="Times New Roman" w:hAnsi="Times New Roman"/>
                <w:sz w:val="20"/>
                <w:szCs w:val="20"/>
                <w:color w:val="auto"/>
              </w:rPr>
              <w:t>1,030,018</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862,539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8"/>
              </w:rPr>
              <w:t>963,598</w:t>
            </w:r>
          </w:p>
        </w:tc>
        <w:tc>
          <w:tcPr>
            <w:tcW w:w="46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798,508</w:t>
            </w:r>
          </w:p>
        </w:tc>
        <w:tc>
          <w:tcPr>
            <w:tcW w:w="0" w:type="dxa"/>
            <w:vAlign w:val="bottom"/>
          </w:tcPr>
          <w:p>
            <w:pPr>
              <w:spacing w:after="0"/>
              <w:rPr>
                <w:sz w:val="1"/>
                <w:szCs w:val="1"/>
                <w:color w:val="auto"/>
              </w:rPr>
            </w:pPr>
          </w:p>
        </w:tc>
      </w:tr>
      <w:tr>
        <w:trPr>
          <w:trHeight w:val="453"/>
        </w:trPr>
        <w:tc>
          <w:tcPr>
            <w:tcW w:w="4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receivables</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4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453"/>
        </w:trPr>
        <w:tc>
          <w:tcPr>
            <w:tcW w:w="44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Total net assets of the Master Trust</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1,030,018</w:t>
            </w:r>
          </w:p>
        </w:tc>
        <w:tc>
          <w:tcPr>
            <w:tcW w:w="42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862,539</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79"/>
              </w:rPr>
              <w:t>$</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963,601</w:t>
            </w:r>
          </w:p>
        </w:tc>
        <w:tc>
          <w:tcPr>
            <w:tcW w:w="1060" w:type="dxa"/>
            <w:vAlign w:val="bottom"/>
            <w:gridSpan w:val="2"/>
          </w:tcPr>
          <w:p>
            <w:pPr>
              <w:jc w:val="right"/>
              <w:ind w:right="401"/>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798,508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700" w:type="dxa"/>
            <w:vAlign w:val="bottom"/>
            <w:gridSpan w:val="14"/>
          </w:tcPr>
          <w:p>
            <w:pPr>
              <w:ind w:left="520"/>
              <w:spacing w:after="0"/>
              <w:rPr>
                <w:sz w:val="20"/>
                <w:szCs w:val="20"/>
                <w:color w:val="auto"/>
              </w:rPr>
            </w:pPr>
            <w:r>
              <w:rPr>
                <w:rFonts w:ascii="Times New Roman" w:cs="Times New Roman" w:eastAsia="Times New Roman" w:hAnsi="Times New Roman"/>
                <w:sz w:val="20"/>
                <w:szCs w:val="20"/>
                <w:color w:val="auto"/>
                <w:w w:val="99"/>
              </w:rPr>
              <w:t>The net appreciation in fair value of investments, interest income, dividend income and administrative</w:t>
            </w:r>
          </w:p>
        </w:tc>
        <w:tc>
          <w:tcPr>
            <w:tcW w:w="2440" w:type="dxa"/>
            <w:vAlign w:val="bottom"/>
            <w:gridSpan w:val="4"/>
          </w:tcPr>
          <w:p>
            <w:pPr>
              <w:ind w:left="520"/>
              <w:spacing w:after="0"/>
              <w:rPr>
                <w:sz w:val="20"/>
                <w:szCs w:val="20"/>
                <w:color w:val="auto"/>
              </w:rPr>
            </w:pPr>
            <w:r>
              <w:rPr>
                <w:rFonts w:ascii="Times New Roman" w:cs="Times New Roman" w:eastAsia="Times New Roman" w:hAnsi="Times New Roman"/>
                <w:sz w:val="20"/>
                <w:szCs w:val="20"/>
                <w:color w:val="auto"/>
              </w:rPr>
              <w:t>expenses related</w:t>
            </w:r>
          </w:p>
        </w:tc>
        <w:tc>
          <w:tcPr>
            <w:tcW w:w="0" w:type="dxa"/>
            <w:vAlign w:val="bottom"/>
          </w:tcPr>
          <w:p>
            <w:pPr>
              <w:spacing w:after="0"/>
              <w:rPr>
                <w:sz w:val="1"/>
                <w:szCs w:val="1"/>
                <w:color w:val="auto"/>
              </w:rPr>
            </w:pPr>
          </w:p>
        </w:tc>
      </w:tr>
      <w:tr>
        <w:trPr>
          <w:trHeight w:val="258"/>
        </w:trPr>
        <w:tc>
          <w:tcPr>
            <w:tcW w:w="620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to the Master Trust for the years ended December 31, 2025 and 2024, were</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as follows:</w:t>
            </w: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44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Net appreciation in fair value</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20"/>
                <w:szCs w:val="20"/>
                <w:color w:val="auto"/>
              </w:rPr>
              <w:t>2025</w:t>
            </w:r>
          </w:p>
        </w:tc>
        <w:tc>
          <w:tcPr>
            <w:tcW w:w="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20"/>
                <w:szCs w:val="20"/>
                <w:color w:val="auto"/>
              </w:rPr>
              <w:t>2024</w:t>
            </w:r>
          </w:p>
        </w:tc>
        <w:tc>
          <w:tcPr>
            <w:tcW w:w="60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0"/>
              <w:spacing w:after="0" w:line="200" w:lineRule="exact"/>
              <w:rPr>
                <w:sz w:val="20"/>
                <w:szCs w:val="20"/>
                <w:color w:val="auto"/>
              </w:rPr>
            </w:pPr>
            <w:r>
              <w:rPr>
                <w:rFonts w:ascii="Times New Roman" w:cs="Times New Roman" w:eastAsia="Times New Roman" w:hAnsi="Times New Roman"/>
                <w:sz w:val="20"/>
                <w:szCs w:val="20"/>
                <w:color w:val="auto"/>
              </w:rPr>
              <w:t>141,333</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jc w:val="right"/>
              <w:ind w:right="8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spacing w:after="0"/>
              <w:rPr>
                <w:sz w:val="17"/>
                <w:szCs w:val="17"/>
                <w:color w:val="auto"/>
              </w:rPr>
            </w:pPr>
          </w:p>
        </w:tc>
        <w:tc>
          <w:tcPr>
            <w:tcW w:w="106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20"/>
                <w:szCs w:val="20"/>
                <w:color w:val="auto"/>
              </w:rPr>
              <w:t>112,847</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Interest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268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230</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4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Dividend income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4,484</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4,922</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1000"/>
              <w:spacing w:after="0" w:line="223" w:lineRule="exact"/>
              <w:rPr>
                <w:sz w:val="20"/>
                <w:szCs w:val="20"/>
                <w:color w:val="auto"/>
              </w:rPr>
            </w:pPr>
            <w:r>
              <w:rPr>
                <w:rFonts w:ascii="Times New Roman" w:cs="Times New Roman" w:eastAsia="Times New Roman" w:hAnsi="Times New Roman"/>
                <w:sz w:val="20"/>
                <w:szCs w:val="20"/>
                <w:color w:val="auto"/>
              </w:rPr>
              <w:t>Master Trust net investment income</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146,085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bottom w:val="single" w:sz="8" w:color="auto"/>
            </w:tcBorders>
          </w:tcPr>
          <w:p>
            <w:pPr>
              <w:jc w:val="right"/>
              <w:ind w:right="8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line="223" w:lineRule="exact"/>
              <w:rPr>
                <w:sz w:val="20"/>
                <w:szCs w:val="20"/>
                <w:color w:val="auto"/>
              </w:rPr>
            </w:pPr>
            <w:r>
              <w:rPr>
                <w:rFonts w:ascii="Times New Roman" w:cs="Times New Roman" w:eastAsia="Times New Roman" w:hAnsi="Times New Roman"/>
                <w:sz w:val="20"/>
                <w:szCs w:val="20"/>
                <w:color w:val="auto"/>
              </w:rPr>
              <w:t>117,999</w:t>
            </w: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395605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74" w:right="43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20"/>
          <w:szCs w:val="20"/>
          <w:b w:val="1"/>
          <w:bCs w:val="1"/>
          <w:color w:val="auto"/>
        </w:rPr>
        <w:t>Fortune Brands Innovations Retirement Savings Plan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ind w:left="2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ind w:left="20"/>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gridSpan w:val="8"/>
          </w:tcPr>
          <w:p>
            <w:pPr>
              <w:ind w:left="520"/>
              <w:spacing w:after="0"/>
              <w:rPr>
                <w:sz w:val="20"/>
                <w:szCs w:val="20"/>
                <w:color w:val="auto"/>
              </w:rPr>
            </w:pPr>
            <w:r>
              <w:rPr>
                <w:rFonts w:ascii="Times New Roman" w:cs="Times New Roman" w:eastAsia="Times New Roman" w:hAnsi="Times New Roman"/>
                <w:sz w:val="20"/>
                <w:szCs w:val="20"/>
                <w:color w:val="auto"/>
              </w:rPr>
              <w:t>The following tables present the Master Trust’s investments by level within the fair value hierarchy as of</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6"/>
              </w:rPr>
              <w:t>December 31,</w:t>
            </w:r>
          </w:p>
        </w:tc>
        <w:tc>
          <w:tcPr>
            <w:tcW w:w="0" w:type="dxa"/>
            <w:vAlign w:val="bottom"/>
          </w:tcPr>
          <w:p>
            <w:pPr>
              <w:spacing w:after="0"/>
              <w:rPr>
                <w:sz w:val="1"/>
                <w:szCs w:val="1"/>
                <w:color w:val="auto"/>
              </w:rPr>
            </w:pPr>
          </w:p>
        </w:tc>
      </w:tr>
      <w:tr>
        <w:trPr>
          <w:trHeight w:val="258"/>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2025 and 2024:</w:t>
            </w: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7"/>
        </w:trPr>
        <w:tc>
          <w:tcPr>
            <w:tcW w:w="4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Mutual funds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81"/>
              <w:spacing w:after="0" w:line="223" w:lineRule="exact"/>
              <w:rPr>
                <w:sz w:val="20"/>
                <w:szCs w:val="20"/>
                <w:color w:val="auto"/>
              </w:rPr>
            </w:pPr>
            <w:r>
              <w:rPr>
                <w:rFonts w:ascii="Times New Roman" w:cs="Times New Roman" w:eastAsia="Times New Roman" w:hAnsi="Times New Roman"/>
                <w:sz w:val="20"/>
                <w:szCs w:val="20"/>
                <w:color w:val="auto"/>
              </w:rPr>
              <w:t>Level 1</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rPr>
              <w:t>Level 2</w:t>
            </w:r>
          </w:p>
        </w:tc>
        <w:tc>
          <w:tcPr>
            <w:tcW w:w="460" w:type="dxa"/>
            <w:vAlign w:val="bottom"/>
          </w:tcPr>
          <w:p>
            <w:pPr>
              <w:spacing w:after="0"/>
              <w:rPr>
                <w:sz w:val="19"/>
                <w:szCs w:val="19"/>
                <w:color w:val="auto"/>
              </w:rPr>
            </w:pPr>
          </w:p>
        </w:tc>
        <w:tc>
          <w:tcPr>
            <w:tcW w:w="10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Level 3</w:t>
            </w:r>
          </w:p>
        </w:tc>
        <w:tc>
          <w:tcPr>
            <w:tcW w:w="1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1"/>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820" w:type="dxa"/>
            <w:vAlign w:val="bottom"/>
            <w:vMerge w:val="continue"/>
          </w:tcPr>
          <w:p>
            <w:pPr>
              <w:spacing w:after="0"/>
              <w:rPr>
                <w:sz w:val="17"/>
                <w:szCs w:val="17"/>
                <w:color w:val="auto"/>
              </w:rPr>
            </w:pPr>
          </w:p>
        </w:tc>
        <w:tc>
          <w:tcPr>
            <w:tcW w:w="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56,442</w:t>
            </w:r>
          </w:p>
        </w:tc>
        <w:tc>
          <w:tcPr>
            <w:tcW w:w="460" w:type="dxa"/>
            <w:vAlign w:val="bottom"/>
          </w:tcPr>
          <w:p>
            <w:pPr>
              <w:spacing w:after="0"/>
              <w:rPr>
                <w:sz w:val="17"/>
                <w:szCs w:val="17"/>
                <w:color w:val="auto"/>
              </w:rPr>
            </w:pPr>
          </w:p>
        </w:tc>
        <w:tc>
          <w:tcPr>
            <w:tcW w:w="2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17"/>
                <w:szCs w:val="17"/>
                <w:color w:val="auto"/>
              </w:rPr>
            </w:pPr>
          </w:p>
        </w:tc>
        <w:tc>
          <w:tcPr>
            <w:tcW w:w="1000" w:type="dxa"/>
            <w:vAlign w:val="bottom"/>
          </w:tcPr>
          <w:p>
            <w:pPr>
              <w:jc w:val="right"/>
              <w:ind w:right="80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17"/>
                <w:szCs w:val="17"/>
                <w:color w:val="auto"/>
              </w:rPr>
            </w:pPr>
          </w:p>
        </w:tc>
        <w:tc>
          <w:tcPr>
            <w:tcW w:w="2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56,442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Common Stock</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12,951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Self-directed brokerage accounts</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26,573</w:t>
            </w:r>
          </w:p>
        </w:tc>
        <w:tc>
          <w:tcPr>
            <w:tcW w:w="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46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26,848</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4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investments in the fair value hierarchy</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95,966</w:t>
            </w:r>
          </w:p>
        </w:tc>
        <w:tc>
          <w:tcPr>
            <w:tcW w:w="66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w:t>
            </w:r>
          </w:p>
        </w:tc>
        <w:tc>
          <w:tcPr>
            <w:tcW w:w="1460" w:type="dxa"/>
            <w:vAlign w:val="bottom"/>
            <w:gridSpan w:val="2"/>
          </w:tcPr>
          <w:p>
            <w:pPr>
              <w:jc w:val="right"/>
              <w:ind w:right="80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96,241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Collective trust funds (a)</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933,777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480"/>
              <w:spacing w:after="0" w:line="223" w:lineRule="exact"/>
              <w:rPr>
                <w:sz w:val="20"/>
                <w:szCs w:val="20"/>
                <w:color w:val="auto"/>
              </w:rPr>
            </w:pPr>
            <w:r>
              <w:rPr>
                <w:rFonts w:ascii="Times New Roman" w:cs="Times New Roman" w:eastAsia="Times New Roman" w:hAnsi="Times New Roman"/>
                <w:sz w:val="20"/>
                <w:szCs w:val="20"/>
                <w:color w:val="auto"/>
              </w:rPr>
              <w:t>Total investments at fair value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1,030,018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vMerge w:val="continue"/>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Mutual funds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81"/>
              <w:spacing w:after="0" w:line="223" w:lineRule="exact"/>
              <w:rPr>
                <w:sz w:val="20"/>
                <w:szCs w:val="20"/>
                <w:color w:val="auto"/>
              </w:rPr>
            </w:pPr>
            <w:r>
              <w:rPr>
                <w:rFonts w:ascii="Times New Roman" w:cs="Times New Roman" w:eastAsia="Times New Roman" w:hAnsi="Times New Roman"/>
                <w:sz w:val="20"/>
                <w:szCs w:val="20"/>
                <w:color w:val="auto"/>
              </w:rPr>
              <w:t>Level 1</w:t>
            </w: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01"/>
              <w:spacing w:after="0" w:line="223" w:lineRule="exact"/>
              <w:rPr>
                <w:sz w:val="20"/>
                <w:szCs w:val="20"/>
                <w:color w:val="auto"/>
              </w:rPr>
            </w:pPr>
            <w:r>
              <w:rPr>
                <w:rFonts w:ascii="Times New Roman" w:cs="Times New Roman" w:eastAsia="Times New Roman" w:hAnsi="Times New Roman"/>
                <w:sz w:val="20"/>
                <w:szCs w:val="20"/>
                <w:color w:val="auto"/>
              </w:rPr>
              <w:t>Level 2</w:t>
            </w:r>
          </w:p>
        </w:tc>
        <w:tc>
          <w:tcPr>
            <w:tcW w:w="460" w:type="dxa"/>
            <w:vAlign w:val="bottom"/>
          </w:tcPr>
          <w:p>
            <w:pPr>
              <w:spacing w:after="0"/>
              <w:rPr>
                <w:sz w:val="19"/>
                <w:szCs w:val="19"/>
                <w:color w:val="auto"/>
              </w:rPr>
            </w:pPr>
          </w:p>
        </w:tc>
        <w:tc>
          <w:tcPr>
            <w:tcW w:w="1000" w:type="dxa"/>
            <w:vAlign w:val="bottom"/>
            <w:tcBorders>
              <w:bottom w:val="single" w:sz="8" w:color="auto"/>
            </w:tcBorders>
          </w:tcPr>
          <w:p>
            <w:pPr>
              <w:jc w:val="right"/>
              <w:ind w:right="21"/>
              <w:spacing w:after="0" w:line="223" w:lineRule="exact"/>
              <w:rPr>
                <w:sz w:val="20"/>
                <w:szCs w:val="20"/>
                <w:color w:val="auto"/>
              </w:rPr>
            </w:pPr>
            <w:r>
              <w:rPr>
                <w:rFonts w:ascii="Times New Roman" w:cs="Times New Roman" w:eastAsia="Times New Roman" w:hAnsi="Times New Roman"/>
                <w:sz w:val="20"/>
                <w:szCs w:val="20"/>
                <w:color w:val="auto"/>
              </w:rPr>
              <w:t>Level 3</w:t>
            </w:r>
          </w:p>
        </w:tc>
        <w:tc>
          <w:tcPr>
            <w:tcW w:w="1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1"/>
              <w:spacing w:after="0" w:line="223" w:lineRule="exact"/>
              <w:rPr>
                <w:sz w:val="20"/>
                <w:szCs w:val="20"/>
                <w:color w:val="auto"/>
              </w:rPr>
            </w:pPr>
            <w:r>
              <w:rPr>
                <w:rFonts w:ascii="Times New Roman" w:cs="Times New Roman" w:eastAsia="Times New Roman" w:hAnsi="Times New Roman"/>
                <w:sz w:val="20"/>
                <w:szCs w:val="20"/>
                <w:color w:val="auto"/>
              </w:rPr>
              <w:t>Total</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820" w:type="dxa"/>
            <w:vAlign w:val="bottom"/>
            <w:vMerge w:val="continue"/>
          </w:tcPr>
          <w:p>
            <w:pPr>
              <w:spacing w:after="0"/>
              <w:rPr>
                <w:sz w:val="17"/>
                <w:szCs w:val="17"/>
                <w:color w:val="auto"/>
              </w:rPr>
            </w:pPr>
          </w:p>
        </w:tc>
        <w:tc>
          <w:tcPr>
            <w:tcW w:w="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59,072</w:t>
            </w:r>
          </w:p>
        </w:tc>
        <w:tc>
          <w:tcPr>
            <w:tcW w:w="460" w:type="dxa"/>
            <w:vAlign w:val="bottom"/>
          </w:tcPr>
          <w:p>
            <w:pPr>
              <w:spacing w:after="0"/>
              <w:rPr>
                <w:sz w:val="17"/>
                <w:szCs w:val="17"/>
                <w:color w:val="auto"/>
              </w:rPr>
            </w:pPr>
          </w:p>
        </w:tc>
        <w:tc>
          <w:tcPr>
            <w:tcW w:w="2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17"/>
                <w:szCs w:val="17"/>
                <w:color w:val="auto"/>
              </w:rPr>
            </w:pPr>
          </w:p>
        </w:tc>
        <w:tc>
          <w:tcPr>
            <w:tcW w:w="1000" w:type="dxa"/>
            <w:vAlign w:val="bottom"/>
          </w:tcPr>
          <w:p>
            <w:pPr>
              <w:jc w:val="right"/>
              <w:ind w:right="80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17"/>
                <w:szCs w:val="17"/>
                <w:color w:val="auto"/>
              </w:rPr>
            </w:pPr>
          </w:p>
        </w:tc>
        <w:tc>
          <w:tcPr>
            <w:tcW w:w="200" w:type="dxa"/>
            <w:vAlign w:val="bottom"/>
          </w:tcPr>
          <w:p>
            <w:pPr>
              <w:jc w:val="right"/>
              <w:ind w:right="1"/>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59,072</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Common Stock</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18,584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18,584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4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Self-directed brokerage accounts</w:t>
            </w: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18,396</w:t>
            </w:r>
          </w:p>
        </w:tc>
        <w:tc>
          <w:tcPr>
            <w:tcW w:w="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5,421</w:t>
            </w:r>
          </w:p>
        </w:tc>
        <w:tc>
          <w:tcPr>
            <w:tcW w:w="46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23,817</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482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investments in the fair value hierarchy</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96,052</w:t>
            </w:r>
          </w:p>
        </w:tc>
        <w:tc>
          <w:tcPr>
            <w:tcW w:w="66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5,421</w:t>
            </w:r>
          </w:p>
        </w:tc>
        <w:tc>
          <w:tcPr>
            <w:tcW w:w="1460" w:type="dxa"/>
            <w:vAlign w:val="bottom"/>
            <w:gridSpan w:val="2"/>
          </w:tcPr>
          <w:p>
            <w:pPr>
              <w:jc w:val="right"/>
              <w:ind w:right="801"/>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101,473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auto"/>
              </w:rPr>
              <w:t>Investments measured at NAV</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4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Collective trust funds (a)</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862,125</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480"/>
              <w:spacing w:after="0" w:line="223" w:lineRule="exact"/>
              <w:rPr>
                <w:sz w:val="20"/>
                <w:szCs w:val="20"/>
                <w:color w:val="auto"/>
              </w:rPr>
            </w:pPr>
            <w:r>
              <w:rPr>
                <w:rFonts w:ascii="Times New Roman" w:cs="Times New Roman" w:eastAsia="Times New Roman" w:hAnsi="Times New Roman"/>
                <w:sz w:val="20"/>
                <w:szCs w:val="20"/>
                <w:color w:val="auto"/>
              </w:rPr>
              <w:t>Total investments at fair value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1"/>
              <w:spacing w:after="0" w:line="223"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rPr>
              <w:t>963,598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80" w:firstLine="57"/>
        <w:spacing w:after="0" w:line="246" w:lineRule="auto"/>
        <w:tabs>
          <w:tab w:leader="none" w:pos="31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investments that are measured at fair value using NAV per share (or its equivalent) as a practical expedient have not been classified in the fair value hierarchy. The fair value amounts presented in this table are intended to permit reconciliation of the fair value hierarchy to the amounts presented in the statements of net assets available for benefits. Redemption from these funds is permitted with 30-days’ notice and for one fund with 12 to 30 months’ notice. There were no unfunded commitments, liquidity or redemption restrictions related to the common/collective trusts. These are direct filing entities.</w:t>
      </w: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395605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74"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Fortune Brands Innovations Retirement Savings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0" w:lineRule="exact"/>
        <w:rPr>
          <w:sz w:val="20"/>
          <w:szCs w:val="20"/>
          <w:color w:val="auto"/>
        </w:rPr>
      </w:pPr>
    </w:p>
    <w:p>
      <w:pPr>
        <w:spacing w:after="0" w:line="2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uto"/>
        </w:rPr>
        <w:t>NOTE E—RISKS AND UNCERTAINTIES</w:t>
      </w:r>
    </w:p>
    <w:p>
      <w:pPr>
        <w:spacing w:after="0" w:line="233" w:lineRule="exact"/>
        <w:rPr>
          <w:sz w:val="20"/>
          <w:szCs w:val="20"/>
          <w:color w:val="auto"/>
        </w:rPr>
      </w:pPr>
    </w:p>
    <w:p>
      <w:pPr>
        <w:jc w:val="both"/>
        <w:ind w:left="580"/>
        <w:spacing w:after="0" w:line="263" w:lineRule="auto"/>
        <w:rPr>
          <w:sz w:val="20"/>
          <w:szCs w:val="20"/>
          <w:color w:val="auto"/>
        </w:rPr>
      </w:pPr>
      <w:r>
        <w:rPr>
          <w:rFonts w:ascii="Times New Roman" w:cs="Times New Roman" w:eastAsia="Times New Roman" w:hAnsi="Times New Roman"/>
          <w:sz w:val="19"/>
          <w:szCs w:val="19"/>
          <w:color w:val="auto"/>
        </w:rPr>
        <w:t>The Plan provides for various investments in any combination of stocks, mutual funds and collective trust funds. Investment securities are exposed to various risks, such as interest rate, market and credit risks. Due to the level of risk associated with certain investment securities and the level of uncertainty related to changes in the value of investment securities, it is at least reasonably possible that changes in market value could materially affect participants’ account balances and the amounts reported in the statements of net assets available for benefits and the statements of changes in net assets available for benefits.</w:t>
      </w:r>
    </w:p>
    <w:p>
      <w:pPr>
        <w:spacing w:after="0" w:line="17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uto"/>
        </w:rPr>
        <w:t>NOTE F—TAX STATUS</w:t>
      </w:r>
    </w:p>
    <w:p>
      <w:pPr>
        <w:spacing w:after="0" w:line="233" w:lineRule="exact"/>
        <w:rPr>
          <w:sz w:val="20"/>
          <w:szCs w:val="20"/>
          <w:color w:val="auto"/>
        </w:rPr>
      </w:pPr>
    </w:p>
    <w:p>
      <w:pPr>
        <w:jc w:val="both"/>
        <w:ind w:left="580"/>
        <w:spacing w:after="0" w:line="260" w:lineRule="auto"/>
        <w:rPr>
          <w:sz w:val="20"/>
          <w:szCs w:val="20"/>
          <w:color w:val="auto"/>
        </w:rPr>
      </w:pPr>
      <w:r>
        <w:rPr>
          <w:rFonts w:ascii="Times New Roman" w:cs="Times New Roman" w:eastAsia="Times New Roman" w:hAnsi="Times New Roman"/>
          <w:sz w:val="19"/>
          <w:szCs w:val="19"/>
          <w:color w:val="auto"/>
        </w:rPr>
        <w:t>Effective August 10, 2021, the Internal Revenue Service (“IRS”) determined and informed the Plan by letter, the Plan and related trust as well as all related amendments since December 22, 2017 (the date of the prior determination letter), as then designed, was in compliance with applicable requirements of the Code. The Plan has been amended and restated since receiving the determination letter. However, the Plan Administrator believes that the Plan is currently designed and continues to be operated in compliance with the applicable requirements of the Code, and therefore, believes the Plan is qualified, and the related trust is tax-exempt. Therefore, no provision for income taxes has been included in the Plan’s financial statements.</w:t>
      </w:r>
    </w:p>
    <w:p>
      <w:pPr>
        <w:spacing w:after="0" w:line="186" w:lineRule="exact"/>
        <w:rPr>
          <w:sz w:val="20"/>
          <w:szCs w:val="20"/>
          <w:color w:val="auto"/>
        </w:rPr>
      </w:pPr>
    </w:p>
    <w:p>
      <w:pPr>
        <w:jc w:val="both"/>
        <w:ind w:left="560"/>
        <w:spacing w:after="0" w:line="254" w:lineRule="auto"/>
        <w:rPr>
          <w:sz w:val="20"/>
          <w:szCs w:val="20"/>
          <w:color w:val="auto"/>
        </w:rPr>
      </w:pPr>
      <w:r>
        <w:rPr>
          <w:rFonts w:ascii="Times New Roman" w:cs="Times New Roman" w:eastAsia="Times New Roman" w:hAnsi="Times New Roman"/>
          <w:sz w:val="20"/>
          <w:szCs w:val="20"/>
          <w:color w:val="auto"/>
        </w:rPr>
        <w:t>GAAP requires Plan management to evaluate tax positions taken by the Plan and recognize a tax liability if the organization has taken an uncertain position that more likely than not would not be sustained upon examination by the IRS. The Plan is subject to routine audits by taxing authorities; however, there are currently no audits for any tax periods in progress.</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b w:val="1"/>
          <w:bCs w:val="1"/>
          <w:color w:val="auto"/>
        </w:rPr>
        <w:t>NOTE G—RELATED-PARTY AND PARTY-IN-INTEREST TRANSACTIONS</w:t>
      </w:r>
    </w:p>
    <w:p>
      <w:pPr>
        <w:spacing w:after="0" w:line="233" w:lineRule="exact"/>
        <w:rPr>
          <w:sz w:val="20"/>
          <w:szCs w:val="20"/>
          <w:color w:val="auto"/>
        </w:rPr>
      </w:pPr>
    </w:p>
    <w:p>
      <w:pPr>
        <w:jc w:val="both"/>
        <w:ind w:left="560"/>
        <w:spacing w:after="0" w:line="244" w:lineRule="auto"/>
        <w:rPr>
          <w:sz w:val="20"/>
          <w:szCs w:val="20"/>
          <w:color w:val="auto"/>
        </w:rPr>
      </w:pPr>
      <w:r>
        <w:rPr>
          <w:rFonts w:ascii="Times New Roman" w:cs="Times New Roman" w:eastAsia="Times New Roman" w:hAnsi="Times New Roman"/>
          <w:sz w:val="20"/>
          <w:szCs w:val="20"/>
          <w:color w:val="auto"/>
        </w:rPr>
        <w:t>Certain Master Trust investments are managed by Fidelity Investments. Fidelity Investments is an affiliate of the Trustee as defined by the Plan and, therefore, these transactions qualify as party-in-interest transactions that are exempt from prohibited transaction rules. The Plan's portion of the Master Trust also holds shares of Fortune Brands Common Stock. The Trust held 231 and 253 shares of Fortune Brands Common Stock as of December 31, 2025 and 2024, respectively, with a fair value of $11,575 and $17,260, respectively. The Plan’s interest in the Master Trust received dividends on Fortune Brands Common Stock of $240 and $251 for the year ended December 31, 2025 and 2024, respectively. Notes receivable from participants also qualify as party-in-interest transactions.</w:t>
      </w:r>
    </w:p>
    <w:p>
      <w:pPr>
        <w:spacing w:after="0" w:line="199" w:lineRule="exact"/>
        <w:rPr>
          <w:sz w:val="20"/>
          <w:szCs w:val="20"/>
          <w:color w:val="auto"/>
        </w:rPr>
      </w:pPr>
    </w:p>
    <w:p>
      <w:pPr>
        <w:jc w:val="both"/>
        <w:ind w:left="580"/>
        <w:spacing w:after="0" w:line="269" w:lineRule="auto"/>
        <w:rPr>
          <w:sz w:val="20"/>
          <w:szCs w:val="20"/>
          <w:color w:val="auto"/>
        </w:rPr>
      </w:pPr>
      <w:r>
        <w:rPr>
          <w:rFonts w:ascii="Times New Roman" w:cs="Times New Roman" w:eastAsia="Times New Roman" w:hAnsi="Times New Roman"/>
          <w:sz w:val="20"/>
          <w:szCs w:val="20"/>
          <w:color w:val="auto"/>
        </w:rPr>
        <w:t>The Plan’s portion of fees paid to Fidelity through the Master Trust for recordkeeping and investment management services totaled $918 and $696 for the years ended December 31, 2025 and 2024, respectively.</w:t>
      </w:r>
    </w:p>
    <w:p>
      <w:pPr>
        <w:spacing w:after="0" w:line="16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uto"/>
        </w:rPr>
        <w:t>NOTE H—PLAN TERMINATION</w:t>
      </w:r>
    </w:p>
    <w:p>
      <w:pPr>
        <w:spacing w:after="0" w:line="233" w:lineRule="exact"/>
        <w:rPr>
          <w:sz w:val="20"/>
          <w:szCs w:val="20"/>
          <w:color w:val="auto"/>
        </w:rPr>
      </w:pPr>
    </w:p>
    <w:p>
      <w:pPr>
        <w:jc w:val="both"/>
        <w:ind w:left="580"/>
        <w:spacing w:after="0" w:line="249" w:lineRule="auto"/>
        <w:rPr>
          <w:sz w:val="20"/>
          <w:szCs w:val="20"/>
          <w:color w:val="auto"/>
        </w:rPr>
      </w:pPr>
      <w:r>
        <w:rPr>
          <w:rFonts w:ascii="Times New Roman" w:cs="Times New Roman" w:eastAsia="Times New Roman" w:hAnsi="Times New Roman"/>
          <w:sz w:val="20"/>
          <w:szCs w:val="20"/>
          <w:color w:val="auto"/>
        </w:rPr>
        <w:t>Although they have not expressed any intent to do so, the Companies have the right under the Plan to discontinue contributions at any time. Fortune Brands, as Plan sponsor, has the right to terminate the Plan at any time subject to the provisions of ERISA. In the event of Plan termination, participants will become fully vested in the Company contribution portion of their accounts.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0"/>
          <w:szCs w:val="20"/>
          <w:b w:val="1"/>
          <w:bCs w:val="1"/>
          <w:color w:val="auto"/>
        </w:rPr>
        <w:t>NOTE I—SUBSEQUENT EVENTS</w:t>
      </w:r>
    </w:p>
    <w:p>
      <w:pPr>
        <w:spacing w:after="0" w:line="200" w:lineRule="exact"/>
        <w:rPr>
          <w:sz w:val="20"/>
          <w:szCs w:val="20"/>
          <w:color w:val="auto"/>
        </w:rPr>
      </w:pPr>
    </w:p>
    <w:p>
      <w:pPr>
        <w:spacing w:after="0" w:line="2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395605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40" w:top="774" w:right="9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0"/>
          <w:szCs w:val="20"/>
          <w:b w:val="1"/>
          <w:bCs w:val="1"/>
          <w:color w:val="auto"/>
        </w:rPr>
        <w:t>Fortune Brands Innovations Retirement Savings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rPr>
          <w:sz w:val="20"/>
          <w:szCs w:val="20"/>
          <w:color w:val="auto"/>
        </w:rPr>
      </w:pPr>
      <w:r>
        <w:rPr>
          <w:rFonts w:ascii="Times New Roman" w:cs="Times New Roman" w:eastAsia="Times New Roman" w:hAnsi="Times New Roman"/>
          <w:sz w:val="20"/>
          <w:szCs w:val="20"/>
          <w:b w:val="1"/>
          <w:bCs w:val="1"/>
          <w:color w:val="auto"/>
        </w:rPr>
        <w:t>(Amounts in thousands unless otherwise stated)</w:t>
      </w:r>
    </w:p>
    <w:p>
      <w:pPr>
        <w:spacing w:after="0" w:line="200" w:lineRule="exact"/>
        <w:rPr>
          <w:sz w:val="20"/>
          <w:szCs w:val="20"/>
          <w:color w:val="auto"/>
        </w:rPr>
      </w:pPr>
    </w:p>
    <w:p>
      <w:pPr>
        <w:spacing w:after="0" w:line="237" w:lineRule="exact"/>
        <w:rPr>
          <w:sz w:val="20"/>
          <w:szCs w:val="20"/>
          <w:color w:val="auto"/>
        </w:rPr>
      </w:pPr>
    </w:p>
    <w:p>
      <w:pPr>
        <w:ind w:left="580"/>
        <w:spacing w:after="0" w:line="269" w:lineRule="auto"/>
        <w:rPr>
          <w:sz w:val="20"/>
          <w:szCs w:val="20"/>
          <w:color w:val="auto"/>
        </w:rPr>
      </w:pPr>
      <w:r>
        <w:rPr>
          <w:rFonts w:ascii="Times New Roman" w:cs="Times New Roman" w:eastAsia="Times New Roman" w:hAnsi="Times New Roman"/>
          <w:sz w:val="20"/>
          <w:szCs w:val="20"/>
          <w:color w:val="auto"/>
        </w:rPr>
        <w:t>Management of the Plan has evaluated subsequent events through June 26, 2026, which is the date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395605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40" w:top="774" w:right="95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22"/>
          <w:szCs w:val="22"/>
          <w:b w:val="1"/>
          <w:bCs w:val="1"/>
          <w:color w:val="auto"/>
        </w:rPr>
        <w:t>Fortune Brands Innovations Retirement Savings Plan</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EIN: 62-1411546  PN:001</w:t>
      </w:r>
    </w:p>
    <w:p>
      <w:pPr>
        <w:ind w:left="20"/>
        <w:spacing w:after="0" w:line="230" w:lineRule="auto"/>
        <w:rPr>
          <w:sz w:val="20"/>
          <w:szCs w:val="20"/>
          <w:color w:val="auto"/>
        </w:rPr>
      </w:pPr>
      <w:r>
        <w:rPr>
          <w:rFonts w:ascii="Times New Roman" w:cs="Times New Roman" w:eastAsia="Times New Roman" w:hAnsi="Times New Roman"/>
          <w:sz w:val="22"/>
          <w:szCs w:val="22"/>
          <w:b w:val="1"/>
          <w:bCs w:val="1"/>
          <w:color w:val="auto"/>
        </w:rPr>
        <w:t>SCHEDULE H, LINE 4i – SCHEDULE OF ASSETS (HELD AT END OF YEAR)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December 31, 2025 (Dollars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(b) (c)</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center"/>
              <w:ind w:right="101"/>
              <w:spacing w:after="0"/>
              <w:rPr>
                <w:sz w:val="20"/>
                <w:szCs w:val="20"/>
                <w:color w:val="auto"/>
              </w:rPr>
            </w:pPr>
            <w:r>
              <w:rPr>
                <w:rFonts w:ascii="Times New Roman" w:cs="Times New Roman" w:eastAsia="Times New Roman" w:hAnsi="Times New Roman"/>
                <w:sz w:val="20"/>
                <w:szCs w:val="20"/>
                <w:color w:val="auto"/>
                <w:w w:val="98"/>
              </w:rPr>
              <w:t>(e)</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Description and identity of issue,</w:t>
            </w:r>
          </w:p>
        </w:tc>
        <w:tc>
          <w:tcPr>
            <w:tcW w:w="380" w:type="dxa"/>
            <w:vAlign w:val="bottom"/>
          </w:tcPr>
          <w:p>
            <w:pPr>
              <w:spacing w:after="0"/>
              <w:rPr>
                <w:sz w:val="19"/>
                <w:szCs w:val="19"/>
                <w:color w:val="auto"/>
              </w:rPr>
            </w:pPr>
          </w:p>
        </w:tc>
        <w:tc>
          <w:tcPr>
            <w:tcW w:w="1860" w:type="dxa"/>
            <w:vAlign w:val="bottom"/>
            <w:gridSpan w:val="3"/>
          </w:tcPr>
          <w:p>
            <w:pPr>
              <w:jc w:val="center"/>
              <w:ind w:right="580"/>
              <w:spacing w:after="0"/>
              <w:rPr>
                <w:sz w:val="20"/>
                <w:szCs w:val="20"/>
                <w:color w:val="auto"/>
              </w:rPr>
            </w:pPr>
            <w:r>
              <w:rPr>
                <w:rFonts w:ascii="Times New Roman" w:cs="Times New Roman" w:eastAsia="Times New Roman" w:hAnsi="Times New Roman"/>
                <w:sz w:val="20"/>
                <w:szCs w:val="20"/>
                <w:color w:val="auto"/>
              </w:rPr>
              <w:t>(d)</w:t>
            </w:r>
          </w:p>
        </w:tc>
        <w:tc>
          <w:tcPr>
            <w:tcW w:w="980" w:type="dxa"/>
            <w:vAlign w:val="bottom"/>
          </w:tcPr>
          <w:p>
            <w:pPr>
              <w:jc w:val="center"/>
              <w:ind w:right="121"/>
              <w:spacing w:after="0"/>
              <w:rPr>
                <w:sz w:val="20"/>
                <w:szCs w:val="20"/>
                <w:color w:val="auto"/>
              </w:rPr>
            </w:pPr>
            <w:r>
              <w:rPr>
                <w:rFonts w:ascii="Times New Roman" w:cs="Times New Roman" w:eastAsia="Times New Roman" w:hAnsi="Times New Roman"/>
                <w:sz w:val="20"/>
                <w:szCs w:val="20"/>
                <w:color w:val="auto"/>
                <w:w w:val="98"/>
              </w:rPr>
              <w:t>Current</w:t>
            </w:r>
          </w:p>
        </w:tc>
        <w:tc>
          <w:tcPr>
            <w:tcW w:w="0" w:type="dxa"/>
            <w:vAlign w:val="bottom"/>
          </w:tcPr>
          <w:p>
            <w:pPr>
              <w:spacing w:after="0"/>
              <w:rPr>
                <w:sz w:val="1"/>
                <w:szCs w:val="1"/>
                <w:color w:val="auto"/>
              </w:rPr>
            </w:pPr>
          </w:p>
        </w:tc>
      </w:tr>
      <w:tr>
        <w:trPr>
          <w:trHeight w:val="252"/>
        </w:trPr>
        <w:tc>
          <w:tcPr>
            <w:tcW w:w="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(a)</w:t>
            </w:r>
          </w:p>
        </w:tc>
        <w:tc>
          <w:tcPr>
            <w:tcW w:w="380" w:type="dxa"/>
            <w:vAlign w:val="bottom"/>
          </w:tcPr>
          <w:p>
            <w:pPr>
              <w:spacing w:after="0"/>
              <w:rPr>
                <w:sz w:val="21"/>
                <w:szCs w:val="21"/>
                <w:color w:val="auto"/>
              </w:rPr>
            </w:pPr>
          </w:p>
        </w:tc>
        <w:tc>
          <w:tcPr>
            <w:tcW w:w="6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borrower, lessor or similar party</w:t>
            </w:r>
          </w:p>
        </w:tc>
        <w:tc>
          <w:tcPr>
            <w:tcW w:w="380" w:type="dxa"/>
            <w:vAlign w:val="bottom"/>
          </w:tcPr>
          <w:p>
            <w:pPr>
              <w:spacing w:after="0"/>
              <w:rPr>
                <w:sz w:val="21"/>
                <w:szCs w:val="21"/>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Cost**</w:t>
            </w:r>
          </w:p>
        </w:tc>
        <w:tc>
          <w:tcPr>
            <w:tcW w:w="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color w:val="auto"/>
                <w:w w:val="96"/>
              </w:rPr>
              <w:t>value</w:t>
            </w:r>
          </w:p>
        </w:tc>
        <w:tc>
          <w:tcPr>
            <w:tcW w:w="0" w:type="dxa"/>
            <w:vAlign w:val="bottom"/>
          </w:tcPr>
          <w:p>
            <w:pPr>
              <w:spacing w:after="0"/>
              <w:rPr>
                <w:sz w:val="1"/>
                <w:szCs w:val="1"/>
                <w:color w:val="auto"/>
              </w:rPr>
            </w:pPr>
          </w:p>
        </w:tc>
      </w:tr>
      <w:tr>
        <w:trPr>
          <w:trHeight w:val="214"/>
        </w:trPr>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60" w:type="dxa"/>
            <w:vAlign w:val="bottom"/>
          </w:tcPr>
          <w:p>
            <w:pPr>
              <w:spacing w:after="0" w:line="213" w:lineRule="exact"/>
              <w:rPr>
                <w:sz w:val="20"/>
                <w:szCs w:val="20"/>
                <w:color w:val="auto"/>
              </w:rPr>
            </w:pPr>
            <w:r>
              <w:rPr>
                <w:rFonts w:ascii="Times New Roman" w:cs="Times New Roman" w:eastAsia="Times New Roman" w:hAnsi="Times New Roman"/>
                <w:sz w:val="20"/>
                <w:szCs w:val="20"/>
                <w:color w:val="auto"/>
              </w:rPr>
              <w:t>Participant loans -</w:t>
            </w:r>
          </w:p>
        </w:tc>
        <w:tc>
          <w:tcPr>
            <w:tcW w:w="22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10,224</w:t>
            </w:r>
          </w:p>
        </w:tc>
        <w:tc>
          <w:tcPr>
            <w:tcW w:w="0" w:type="dxa"/>
            <w:vAlign w:val="bottom"/>
          </w:tcPr>
          <w:p>
            <w:pPr>
              <w:spacing w:after="0"/>
              <w:rPr>
                <w:sz w:val="1"/>
                <w:szCs w:val="1"/>
                <w:color w:val="auto"/>
              </w:rPr>
            </w:pPr>
          </w:p>
        </w:tc>
      </w:tr>
      <w:tr>
        <w:trPr>
          <w:trHeight w:val="239"/>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380" w:type="dxa"/>
            <w:vAlign w:val="bottom"/>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rates ranging from 4.25% to 9.50%</w:t>
            </w:r>
          </w:p>
        </w:tc>
        <w:tc>
          <w:tcPr>
            <w:tcW w:w="2240" w:type="dxa"/>
            <w:vAlign w:val="bottom"/>
            <w:gridSpan w:val="4"/>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ind w:left="980" w:hanging="390"/>
        <w:spacing w:after="0"/>
        <w:tabs>
          <w:tab w:leader="none" w:pos="9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party-in-interest to the Plan.</w:t>
      </w:r>
    </w:p>
    <w:p>
      <w:pPr>
        <w:spacing w:after="0" w:line="22" w:lineRule="exact"/>
        <w:rPr>
          <w:sz w:val="20"/>
          <w:szCs w:val="20"/>
          <w:color w:val="auto"/>
        </w:rPr>
      </w:pPr>
    </w:p>
    <w:p>
      <w:pPr>
        <w:ind w:left="980" w:hanging="391"/>
        <w:spacing w:after="0"/>
        <w:tabs>
          <w:tab w:leader="none" w:pos="9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information omitted for investments that are fully participant directed.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336" w:lineRule="exact"/>
        <w:rPr>
          <w:rFonts w:ascii="Times New Roman" w:cs="Times New Roman" w:eastAsia="Times New Roman" w:hAnsi="Times New Roman"/>
          <w:sz w:val="20"/>
          <w:szCs w:val="20"/>
          <w:color w:val="auto"/>
        </w:rPr>
      </w:pPr>
    </w:p>
    <w:p>
      <w:pPr>
        <w:ind w:left="55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70" w:right="459" w:bottom="1440" w:gutter="0" w:footer="0" w:header="0"/>
        </w:sectPr>
      </w:pPr>
    </w:p>
    <w:bookmarkStart w:id="17" w:name="page18"/>
    <w:bookmarkEnd w:id="17"/>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3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5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FORTUNE BRANDS INNOVATIONS RETIREMENT</w:t>
      </w:r>
    </w:p>
    <w:p>
      <w:pPr>
        <w:spacing w:after="0" w:line="2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SAVINGS PLAN</w:t>
      </w:r>
    </w:p>
    <w:p>
      <w:pPr>
        <w:spacing w:after="0" w:line="207" w:lineRule="exact"/>
        <w:rPr>
          <w:sz w:val="20"/>
          <w:szCs w:val="20"/>
          <w:color w:val="auto"/>
        </w:rPr>
      </w:pPr>
    </w:p>
    <w:p>
      <w:pPr>
        <w:ind w:left="40"/>
        <w:spacing w:after="0"/>
        <w:tabs>
          <w:tab w:leader="none" w:pos="4000" w:val="left"/>
          <w:tab w:leader="none" w:pos="4980" w:val="left"/>
        </w:tabs>
        <w:rPr>
          <w:sz w:val="20"/>
          <w:szCs w:val="20"/>
          <w:color w:val="auto"/>
        </w:rPr>
      </w:pPr>
      <w:r>
        <w:rPr>
          <w:rFonts w:ascii="Times New Roman" w:cs="Times New Roman" w:eastAsia="Times New Roman" w:hAnsi="Times New Roman"/>
          <w:sz w:val="20"/>
          <w:szCs w:val="20"/>
          <w:color w:val="auto"/>
        </w:rPr>
        <w:t>June 26,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Kristin E. Papesh</w:t>
      </w:r>
    </w:p>
    <w:p>
      <w:pPr>
        <w:spacing w:after="0" w:line="13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Kristin E. Papesh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-139700</wp:posOffset>
            </wp:positionV>
            <wp:extent cx="32061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Employee Benefits Committee of Fortune Brands Innovations,</w:t>
      </w:r>
    </w:p>
    <w:p>
      <w:pPr>
        <w:ind w:left="5000"/>
        <w:spacing w:after="0"/>
        <w:rPr>
          <w:sz w:val="20"/>
          <w:szCs w:val="20"/>
          <w:color w:val="auto"/>
        </w:rPr>
      </w:pPr>
      <w:r>
        <w:rPr>
          <w:rFonts w:ascii="Times New Roman" w:cs="Times New Roman" w:eastAsia="Times New Roman" w:hAnsi="Times New Roman"/>
          <w:sz w:val="20"/>
          <w:szCs w:val="20"/>
          <w:color w:val="auto"/>
        </w:rPr>
        <w:t>Inc.</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618490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40"/>
          </w:cols>
          <w:pgMar w:left="900" w:top="1440" w:right="959" w:bottom="1440" w:gutter="0" w:footer="0" w:header="0"/>
        </w:sectPr>
      </w:pPr>
    </w:p>
    <w:bookmarkStart w:id="18" w:name="page19"/>
    <w:bookmarkEnd w:id="18"/>
    <w:p>
      <w:pPr>
        <w:jc w:val="right"/>
        <w:ind w:right="3779"/>
        <w:spacing w:after="0"/>
        <w:rPr>
          <w:sz w:val="20"/>
          <w:szCs w:val="20"/>
          <w:color w:val="auto"/>
        </w:rPr>
      </w:pPr>
      <w:r>
        <w:rPr>
          <w:rFonts w:ascii="Times New Roman" w:cs="Times New Roman" w:eastAsia="Times New Roman" w:hAnsi="Times New Roman"/>
          <w:sz w:val="20"/>
          <w:szCs w:val="20"/>
          <w:color w:val="auto"/>
        </w:rPr>
        <w:t>EXHIBIT INDEX</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Exhibit</w:t>
      </w:r>
    </w:p>
    <w:p>
      <w:pPr>
        <w:spacing w:after="0" w:line="8" w:lineRule="exact"/>
        <w:rPr>
          <w:sz w:val="20"/>
          <w:szCs w:val="20"/>
          <w:color w:val="auto"/>
        </w:rPr>
      </w:pPr>
    </w:p>
    <w:p>
      <w:pPr>
        <w:ind w:left="20"/>
        <w:spacing w:after="0"/>
        <w:tabs>
          <w:tab w:leader="none" w:pos="1520" w:val="left"/>
        </w:tabs>
        <w:rPr>
          <w:sz w:val="20"/>
          <w:szCs w:val="20"/>
          <w:color w:val="auto"/>
        </w:rPr>
      </w:pPr>
      <w:r>
        <w:rPr>
          <w:rFonts w:ascii="Times New Roman" w:cs="Times New Roman" w:eastAsia="Times New Roman" w:hAnsi="Times New Roman"/>
          <w:sz w:val="20"/>
          <w:szCs w:val="20"/>
          <w:color w:val="auto"/>
        </w:rPr>
        <w:t>Number</w:t>
      </w:r>
      <w:r>
        <w:rPr>
          <w:sz w:val="20"/>
          <w:szCs w:val="20"/>
          <w:color w:val="auto"/>
        </w:rPr>
        <w:tab/>
      </w:r>
      <w:r>
        <w:rPr>
          <w:rFonts w:ascii="Times New Roman" w:cs="Times New Roman" w:eastAsia="Times New Roman" w:hAnsi="Times New Roman"/>
          <w:sz w:val="20"/>
          <w:szCs w:val="20"/>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886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55" w:lineRule="exact"/>
        <w:rPr>
          <w:sz w:val="20"/>
          <w:szCs w:val="20"/>
          <w:color w:val="auto"/>
        </w:rPr>
      </w:pPr>
    </w:p>
    <w:p>
      <w:pPr>
        <w:spacing w:after="0"/>
        <w:tabs>
          <w:tab w:leader="none" w:pos="152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Consent of Independent Registered Public Accounting Firm</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We hereby consent to the incorporation by reference in the Registration Statement on Form S-8 (Registration No. 333-177164) of Fortune Brands Innovations, Inc. of our report dated June 26, 2026, relating to the financial statements and supplemental schedule of Fortune Brands Innovations Retirement Savings Plan which appear in this Form 11-K for the year ended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BDO USA, P.C.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Chicago, Illinois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1595755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
    </w:lvl>
  </w:abstractNum>
  <w:abstractNum w:abstractNumId="3">
    <w:nsid w:val="507ED7AB"/>
    <w:multiLevelType w:val="hybridMultilevel"/>
    <w:lvl w:ilvl="0">
      <w:lvlJc w:val="left"/>
      <w:lvlText w:val="%1."/>
      <w:numFmt w:val="upperLetter"/>
      <w:start w:val="2"/>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2026-06-26T15:47:47Z</dcterms:created>
  <dcterms:modified xsi:type="dcterms:W3CDTF">2026-06-26T15:47:47Z</dcterms:modified>
</cp:coreProperties>
</file>