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Clifford Peter G</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FORTUNE BRANDS INNOVATIONS,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 HORIZON WAY, BUILDING N</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DEERFIELD</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IL</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60015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Fortune Brands Innovations, Inc.</w:t>
              </w:r>
            </w:hyperlink>
            <w:r>
              <w:rPr/>
              <w:t xml:space="preserve"> [ </w:t>
            </w:r>
            <w:r>
              <w:rPr>
                <w:rFonts w:ascii="Times;serif" w:hAnsi="Times;serif"/>
                <w:color w:val="0000FF"/>
                <w:sz w:val="24"/>
                <w:shd w:fill="FFFFFF" w:val="clear"/>
              </w:rPr>
              <w:t>FBIN</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EVP &amp; CFO</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09/28/2026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5"/>
        <w:gridCol w:w="903"/>
        <w:gridCol w:w="772"/>
        <w:gridCol w:w="600"/>
        <w:gridCol w:w="352"/>
        <w:gridCol w:w="898"/>
        <w:gridCol w:w="464"/>
        <w:gridCol w:w="626"/>
        <w:gridCol w:w="1179"/>
        <w:gridCol w:w="1009"/>
        <w:gridCol w:w="92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88"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7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$0.01</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09/28/2026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A</w:t>
            </w:r>
            <w:r>
              <w:rPr>
                <w:rFonts w:ascii="Times;serif" w:hAnsi="Times;serif"/>
                <w:color w:val="008000"/>
                <w:position w:val="7"/>
                <w:sz w:val="16"/>
                <w:sz w:val="20"/>
                <w:shd w:fill="FFFFFF" w:val="clear"/>
              </w:rPr>
              <w:t>(1)</w:t>
            </w:r>
          </w:p>
        </w:tc>
        <w:tc>
          <w:tcPr>
            <w:tcW w:w="35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3,651</w:t>
            </w:r>
            <w:r>
              <w:rPr>
                <w:rFonts w:ascii="Times;serif" w:hAnsi="Times;serif"/>
                <w:color w:val="008000"/>
                <w:position w:val="7"/>
                <w:sz w:val="16"/>
                <w:sz w:val="20"/>
                <w:shd w:fill="FFFFFF" w:val="clear"/>
              </w:rPr>
              <w:t>(2)</w:t>
            </w:r>
          </w:p>
        </w:tc>
        <w:tc>
          <w:tcPr>
            <w:tcW w:w="46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7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3,651</w:t>
            </w:r>
          </w:p>
        </w:tc>
        <w:tc>
          <w:tcPr>
            <w:tcW w:w="100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599" w:type="dxa"/>
        <w:jc w:val="left"/>
        <w:tblInd w:w="-7" w:type="dxa"/>
        <w:tblLayout w:type="fixed"/>
        <w:tblCellMar>
          <w:top w:w="60" w:type="dxa"/>
          <w:left w:w="60" w:type="dxa"/>
          <w:bottom w:w="60" w:type="dxa"/>
          <w:right w:w="60" w:type="dxa"/>
        </w:tblCellMar>
      </w:tblPr>
      <w:tblGrid>
        <w:gridCol w:w="1160"/>
        <w:gridCol w:w="861"/>
        <w:gridCol w:w="891"/>
        <w:gridCol w:w="771"/>
        <w:gridCol w:w="591"/>
        <w:gridCol w:w="300"/>
        <w:gridCol w:w="816"/>
        <w:gridCol w:w="276"/>
        <w:gridCol w:w="906"/>
        <w:gridCol w:w="801"/>
        <w:gridCol w:w="891"/>
        <w:gridCol w:w="921"/>
        <w:gridCol w:w="801"/>
        <w:gridCol w:w="936"/>
        <w:gridCol w:w="831"/>
        <w:gridCol w:w="846"/>
      </w:tblGrid>
      <w:tr>
        <w:trPr>
          <w:tblHeader w:val="true"/>
        </w:trPr>
        <w:tc>
          <w:tcPr>
            <w:tcW w:w="1259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16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0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8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16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1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16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Options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38.43</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09/28/2026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A</w:t>
            </w:r>
            <w:r>
              <w:rPr>
                <w:rFonts w:ascii="Times;serif" w:hAnsi="Times;serif"/>
                <w:color w:val="008000"/>
                <w:position w:val="7"/>
                <w:sz w:val="16"/>
                <w:sz w:val="20"/>
                <w:shd w:fill="FFFFFF" w:val="clear"/>
              </w:rPr>
              <w:t>(3)</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10,212</w:t>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09/28/2036</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10,212</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10,212</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16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Options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38.43</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09/28/2026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A</w:t>
            </w:r>
            <w:r>
              <w:rPr>
                <w:rFonts w:ascii="Times;serif" w:hAnsi="Times;serif"/>
                <w:color w:val="008000"/>
                <w:position w:val="7"/>
                <w:sz w:val="16"/>
                <w:sz w:val="20"/>
                <w:shd w:fill="FFFFFF" w:val="clear"/>
              </w:rPr>
              <w:t>(5)</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65,000</w:t>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09/28/2036</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65,000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65,000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16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Performance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09/28/2026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130,000</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(7)</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(7)</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130,000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130,000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Reflects the grant of restricted stock units awarded under the issuer's Long-Term Incentive Plan to the reporting person that vest in three equal annual installments beginning on September 28, 2027, subject to continued employment through such vesting dates. Each restricted stock unit represents a contingent right to receive one share of the issuer's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Represents a total of 3,651 restricted stock units that have not yet vested.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Reflects the grant of options under the issuer's Long-Term Incentive Plan.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options vest in three equal annual installments beginning on September 28, 2027.</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Reflects the grant of options under the issuer's Inducement Stock Option Award.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Reflects the grant of performance stock units under the Issuer's Inducement Performance Share Award. Each performance stock unit granted represents a contingent right to receive one share of the issuer's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The performance stock units vest in 50% increments on the third anniversary and fourth anniversary of the grant date and are earned based on the achievement of specified stock price performance hurdles during a three-year performance period beginning on September 28, 2026 and ending on September 28, 2029, subject to continued employment.</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Angela M. Pla, Attorney-in-Fact for Peter G. Clifford</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09/29/2026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637066" TargetMode="External"/><Relationship Id="rId5" Type="http://schemas.openxmlformats.org/officeDocument/2006/relationships/hyperlink" Target="http://www.sec.gov/cgi-bin/browse-edgar?action=getcompany&amp;CIK=000151975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819</Words>
  <Characters>4444</Characters>
  <CharactersWithSpaces>5153</CharactersWithSpaces>
  <Paragraphs>138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