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Masterbrand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Pzena Investment Management,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11,521,222.00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15,329,483.00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15,329,483.00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7.5 %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097"/>
        <w:gridCol w:w="8953"/>
        <w:gridCol w:w="155"/>
      </w:tblGrid>
      <w:tr>
        <w:trPr/>
        <w:tc>
          <w:tcPr>
            <w:tcW w:w="1097" w:type="dxa"/>
            <w:tcBorders/>
            <w:vAlign w:val="center"/>
          </w:tcPr>
          <w:p>
            <w:pPr>
              <w:pStyle w:val="TableContents"/>
              <w:bidi w:val="0"/>
              <w:spacing w:before="0" w:after="283"/>
              <w:jc w:val="left"/>
              <w:rPr/>
            </w:pPr>
            <w:r>
              <w:rPr/>
              <w:t>Item 1.</w:t>
            </w:r>
          </w:p>
        </w:tc>
        <w:tc>
          <w:tcPr>
            <w:tcW w:w="895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Name of issuer: </w:t>
            </w:r>
          </w:p>
          <w:p>
            <w:pPr>
              <w:pStyle w:val="TableContents"/>
              <w:bidi w:val="0"/>
              <w:spacing w:before="0" w:after="0"/>
              <w:jc w:val="left"/>
              <w:rPr/>
            </w:pPr>
            <w:r>
              <w:rPr/>
              <w:t>Masterbrand Inc</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3300 Enterprise Parkway Suite 300 Beachwood OH 44122</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2.</w:t>
            </w:r>
          </w:p>
        </w:tc>
        <w:tc>
          <w:tcPr>
            <w:tcW w:w="895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Name of person filing: </w:t>
            </w:r>
          </w:p>
          <w:p>
            <w:pPr>
              <w:pStyle w:val="TableContents"/>
              <w:bidi w:val="0"/>
              <w:spacing w:before="0" w:after="0"/>
              <w:jc w:val="left"/>
              <w:rPr/>
            </w:pPr>
            <w:r>
              <w:rPr/>
              <w:t>Pzena Investment Management, LLC</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320 Park Avenue, 8th floor, New York, 10022, NY, United States</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jc w:val="left"/>
              <w:rPr/>
            </w:pPr>
            <w:r>
              <w:rPr/>
              <w:t xml:space="preserve">Citizenship: </w:t>
            </w:r>
          </w:p>
          <w:p>
            <w:pPr>
              <w:pStyle w:val="TableContents"/>
              <w:bidi w:val="0"/>
              <w:spacing w:before="0" w:after="0"/>
              <w:jc w:val="left"/>
              <w:rPr/>
            </w:pPr>
            <w:r>
              <w:rPr/>
              <w:t>DELAWARE</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(d)</w:t>
            </w:r>
          </w:p>
        </w:tc>
        <w:tc>
          <w:tcPr>
            <w:tcW w:w="895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(e)</w:t>
            </w:r>
          </w:p>
        </w:tc>
        <w:tc>
          <w:tcPr>
            <w:tcW w:w="895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3.</w:t>
            </w:r>
          </w:p>
        </w:tc>
        <w:tc>
          <w:tcPr>
            <w:tcW w:w="895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(d)</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(e)</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(f)</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(g)</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(h)</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(j)</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(k)</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9108" w:type="dxa"/>
            <w:gridSpan w:val="2"/>
            <w:tcBorders/>
            <w:vAlign w:val="center"/>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4.</w:t>
            </w:r>
          </w:p>
        </w:tc>
        <w:tc>
          <w:tcPr>
            <w:tcW w:w="895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15,329,483</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7.5  %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11,521,222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15,329,483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5.</w:t>
            </w:r>
          </w:p>
        </w:tc>
        <w:tc>
          <w:tcPr>
            <w:tcW w:w="895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6.</w:t>
            </w:r>
          </w:p>
        </w:tc>
        <w:tc>
          <w:tcPr>
            <w:tcW w:w="895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 xml:space="preserve">CLIENTS OF THE FILING INVESTMENT MANAGER HAVE THE RIGHT TO RECEIVE AND THE ULTIMATE POWER TO DIRECT THE RECEIPT OF DIVIDENDS FROM, OR THE PROCEEDS OF SALE OF THE SECURITIES REPORTED ON HEREINABOVE. NO INTEREST OF ANY ONE OF SUCH CLIENTS RELATES TO MORE THAN FIVE PERCENT OF THE CLASS.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7.</w:t>
            </w:r>
          </w:p>
        </w:tc>
        <w:tc>
          <w:tcPr>
            <w:tcW w:w="895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8.</w:t>
            </w:r>
          </w:p>
        </w:tc>
        <w:tc>
          <w:tcPr>
            <w:tcW w:w="895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9.</w:t>
            </w:r>
          </w:p>
        </w:tc>
        <w:tc>
          <w:tcPr>
            <w:tcW w:w="895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616" w:type="dxa"/>
        <w:jc w:val="left"/>
        <w:tblInd w:w="0" w:type="dxa"/>
        <w:tblLayout w:type="fixed"/>
        <w:tblCellMar>
          <w:top w:w="28" w:type="dxa"/>
          <w:left w:w="28" w:type="dxa"/>
          <w:bottom w:w="28" w:type="dxa"/>
          <w:right w:w="28" w:type="dxa"/>
        </w:tblCellMar>
      </w:tblPr>
      <w:tblGrid>
        <w:gridCol w:w="3808"/>
        <w:gridCol w:w="3808"/>
      </w:tblGrid>
      <w:tr>
        <w:trPr/>
        <w:tc>
          <w:tcPr>
            <w:tcW w:w="3808" w:type="dxa"/>
            <w:tcBorders/>
            <w:vAlign w:val="center"/>
          </w:tcPr>
          <w:p>
            <w:pPr>
              <w:pStyle w:val="TableContents"/>
              <w:bidi w:val="0"/>
              <w:spacing w:before="0" w:after="0"/>
              <w:jc w:val="left"/>
              <w:rPr/>
            </w:pPr>
            <w:r>
              <w:rPr/>
              <w:t> </w:t>
            </w:r>
          </w:p>
          <w:tbl>
            <w:tblPr>
              <w:tblW w:w="3706" w:type="dxa"/>
              <w:jc w:val="left"/>
              <w:tblInd w:w="0" w:type="dxa"/>
              <w:tblLayout w:type="fixed"/>
              <w:tblCellMar>
                <w:top w:w="28" w:type="dxa"/>
                <w:left w:w="28" w:type="dxa"/>
                <w:bottom w:w="28" w:type="dxa"/>
                <w:right w:w="28" w:type="dxa"/>
              </w:tblCellMar>
            </w:tblPr>
            <w:tblGrid>
              <w:gridCol w:w="3706"/>
            </w:tblGrid>
            <w:tr>
              <w:trPr/>
              <w:tc>
                <w:tcPr>
                  <w:tcW w:w="3706" w:type="dxa"/>
                  <w:tcBorders/>
                  <w:vAlign w:val="center"/>
                </w:tcPr>
                <w:p>
                  <w:pPr>
                    <w:pStyle w:val="TableContents"/>
                    <w:bidi w:val="0"/>
                    <w:spacing w:before="0" w:after="0"/>
                    <w:jc w:val="left"/>
                    <w:rPr/>
                  </w:pPr>
                  <w:r>
                    <w:rPr/>
                    <w:t>Pzena Investment Management, LLC</w:t>
                  </w:r>
                </w:p>
              </w:tc>
            </w:tr>
          </w:tbl>
          <w:p>
            <w:pPr>
              <w:pStyle w:val="TableContents"/>
              <w:bidi w:val="0"/>
              <w:spacing w:before="0" w:after="283"/>
              <w:jc w:val="left"/>
              <w:rPr/>
            </w:pPr>
            <w:r>
              <w:rPr/>
            </w:r>
          </w:p>
        </w:tc>
        <w:tc>
          <w:tcPr>
            <w:tcW w:w="380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1"/>
        <w:gridCol w:w="4264"/>
      </w:tblGrid>
      <w:tr>
        <w:trPr/>
        <w:tc>
          <w:tcPr>
            <w:tcW w:w="594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Steven Coffey</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Principal, Chief Legal Risk Officer &amp; Chief Compliance Officer</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07/22/2026</w:t>
                  </w:r>
                </w:p>
              </w:tc>
            </w:tr>
          </w:tbl>
          <w:p>
            <w:pPr>
              <w:pStyle w:val="TableContents"/>
              <w:bidi w:val="0"/>
              <w:spacing w:before="0" w:after="283"/>
              <w:jc w:val="left"/>
              <w:rPr/>
            </w:pPr>
            <w:r>
              <w:rPr/>
            </w:r>
          </w:p>
        </w:tc>
        <w:tc>
          <w:tcPr>
            <w:tcW w:w="426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867</Words>
  <Characters>4434</Characters>
  <CharactersWithSpaces>5293</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