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14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143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96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GARDEN EDWARD P</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Fortune Brands Innovations,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FBIN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Borders>
              <w:bottom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05/05/2026</w:t>
            </w:r>
          </w:p>
        </w:tc>
        <w:tc>
          <w:tcPr>
            <w:tcW w:w="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FORTUNE BRANDS INNOVATIONS, INC.</w:t>
            </w:r>
          </w:p>
        </w:tc>
        <w:tc>
          <w:tcPr>
            <w:tcW w:w="296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1 HORIZON WAY, BUILDING N</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96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DEERFIELD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96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6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80" w:type="dxa"/>
            <w:vAlign w:val="bottom"/>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13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13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6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6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Garden</w:t>
            </w:r>
          </w:p>
        </w:tc>
        <w:tc>
          <w:tcPr>
            <w:tcW w:w="0" w:type="dxa"/>
            <w:vAlign w:val="bottom"/>
          </w:tcPr>
          <w:p>
            <w:pPr>
              <w:spacing w:after="0"/>
              <w:rPr>
                <w:sz w:val="1"/>
                <w:szCs w:val="1"/>
                <w:color w:val="auto"/>
              </w:rPr>
            </w:pPr>
          </w:p>
        </w:tc>
      </w:tr>
      <w:tr>
        <w:trPr>
          <w:trHeight w:val="213"/>
        </w:trPr>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05/05/2026</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1"/>
                <w:szCs w:val="11"/>
                <w:color w:val="008000"/>
              </w:rPr>
              <w:t>(1)</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4,765</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0000FF"/>
              </w:rPr>
              <w:t>4,765</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26"/>
        </w:trPr>
        <w:tc>
          <w:tcPr>
            <w:tcW w:w="2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61"/>
        </w:trPr>
        <w:tc>
          <w:tcPr>
            <w:tcW w:w="26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 GI</w:t>
            </w:r>
          </w:p>
        </w:tc>
        <w:tc>
          <w:tcPr>
            <w:tcW w:w="0" w:type="dxa"/>
            <w:vAlign w:val="bottom"/>
          </w:tcPr>
          <w:p>
            <w:pPr>
              <w:spacing w:after="0"/>
              <w:rPr>
                <w:sz w:val="1"/>
                <w:szCs w:val="1"/>
                <w:color w:val="auto"/>
              </w:rPr>
            </w:pPr>
          </w:p>
        </w:tc>
      </w:tr>
      <w:tr>
        <w:trPr>
          <w:trHeight w:val="213"/>
        </w:trPr>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color w:val="0000FF"/>
              </w:rPr>
              <w:t>3,527,608</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SPV II L.P.</w:t>
            </w:r>
          </w:p>
        </w:tc>
        <w:tc>
          <w:tcPr>
            <w:tcW w:w="0" w:type="dxa"/>
            <w:vAlign w:val="bottom"/>
          </w:tcPr>
          <w:p>
            <w:pPr>
              <w:spacing w:after="0"/>
              <w:rPr>
                <w:sz w:val="1"/>
                <w:szCs w:val="1"/>
                <w:color w:val="auto"/>
              </w:rPr>
            </w:pPr>
          </w:p>
        </w:tc>
      </w:tr>
      <w:tr>
        <w:trPr>
          <w:trHeight w:val="120"/>
        </w:trPr>
        <w:tc>
          <w:tcPr>
            <w:tcW w:w="266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and Green 73</w:t>
            </w: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4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stock under the issuer's Long-Term Incentive Plan.</w:t>
      </w:r>
    </w:p>
    <w:p>
      <w:pPr>
        <w:spacing w:after="0" w:line="50" w:lineRule="exact"/>
        <w:rPr>
          <w:rFonts w:ascii="Times New Roman" w:cs="Times New Roman" w:eastAsia="Times New Roman" w:hAnsi="Times New Roman"/>
          <w:sz w:val="13"/>
          <w:szCs w:val="13"/>
          <w:color w:val="008000"/>
        </w:rPr>
      </w:pPr>
    </w:p>
    <w:p>
      <w:pPr>
        <w:ind w:left="40" w:right="1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GI SPV II L.P. ("GI SPV II") and Green 73 LLC. GI SPV II is the manager of Green 73 LLC. Mr. Garden is the sole member of Garden Investment Management GP, LLC, which serves as the general partner of Garden Investment Management, L.P., which serves as the management company for GI SPV II. Accordingly, Mr. Garden may be deemed to indirectly beneficially own (as that term is defined in Rule 16a-1(a) under the Securities Exchange Act of 1934, as amended (the "Exchange Act")) the securities of the Issuer beneficially owned by GI SPV II. Mr. Garden disclaims beneficial ownership of such securities except to the extent of his pecuniary interests therein, and this report shall not be deemed an admission that Mr. Garden is the beneficial owner of such securities for purposes of Section 16 of the Exchange Act or for any other purpose.</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Angela M. Pla, Attorney-</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05/07/2026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Edward P. Garden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966"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76" w:lineRule="exact"/>
        <w:rPr>
          <w:sz w:val="20"/>
          <w:szCs w:val="20"/>
          <w:color w:val="auto"/>
        </w:rPr>
      </w:pPr>
    </w:p>
    <w:p>
      <w:pPr>
        <w:jc w:val="both"/>
        <w:ind w:right="20" w:firstLine="731"/>
        <w:spacing w:after="0" w:line="269" w:lineRule="auto"/>
        <w:rPr>
          <w:sz w:val="20"/>
          <w:szCs w:val="20"/>
          <w:color w:val="auto"/>
        </w:rPr>
      </w:pPr>
      <w:r>
        <w:rPr>
          <w:rFonts w:ascii="Times New Roman" w:cs="Times New Roman" w:eastAsia="Times New Roman" w:hAnsi="Times New Roman"/>
          <w:sz w:val="20"/>
          <w:szCs w:val="20"/>
          <w:color w:val="262626"/>
        </w:rPr>
        <w:t>I, Edward Garden, hereby constitute and appoint HIRANDA S. DONOGHUE, JACK N. MELAMED and ANGELA M. PLA, with full powers of substitution or revocation, to serve as my Attorneys-In-Fact and Agents to exercise the powers and discretions set forth below:</w:t>
      </w:r>
    </w:p>
    <w:p>
      <w:pPr>
        <w:spacing w:after="0" w:line="186" w:lineRule="exact"/>
        <w:rPr>
          <w:sz w:val="20"/>
          <w:szCs w:val="20"/>
          <w:color w:val="auto"/>
        </w:rPr>
      </w:pPr>
    </w:p>
    <w:p>
      <w:pPr>
        <w:jc w:val="both"/>
        <w:ind w:right="20" w:firstLine="738"/>
        <w:spacing w:after="0" w:line="259" w:lineRule="auto"/>
        <w:tabs>
          <w:tab w:leader="none" w:pos="994" w:val="left"/>
        </w:tabs>
        <w:numPr>
          <w:ilvl w:val="0"/>
          <w:numId w:val="3"/>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To execute on my behalf any and all Securities and Exchange Commission ("SEC") (i) Forms 3, 4 and 5 in accordance with Section 16 of the Securities Exchange Act of 1934, as amended (the “Securities Exchange Act”), and the rules thereunder, relating to the disclosure of my beneficial ownership of securities in Fortune Brands Innovations, Inc. (the "Company") and (ii) Forms 144 in accordance with the Securities Act of 1933, as amended (the “Securities Act”), and the rules thereunder, relating to my transactions in the securities of the Company; and</w:t>
      </w:r>
    </w:p>
    <w:p>
      <w:pPr>
        <w:spacing w:after="0" w:line="211" w:lineRule="exact"/>
        <w:rPr>
          <w:rFonts w:ascii="Times New Roman" w:cs="Times New Roman" w:eastAsia="Times New Roman" w:hAnsi="Times New Roman"/>
          <w:sz w:val="20"/>
          <w:szCs w:val="20"/>
          <w:color w:val="262626"/>
        </w:rPr>
      </w:pPr>
    </w:p>
    <w:p>
      <w:pPr>
        <w:jc w:val="both"/>
        <w:ind w:firstLine="738"/>
        <w:spacing w:after="0" w:line="262" w:lineRule="auto"/>
        <w:tabs>
          <w:tab w:leader="none" w:pos="994" w:val="left"/>
        </w:tabs>
        <w:numPr>
          <w:ilvl w:val="0"/>
          <w:numId w:val="3"/>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To do and perform any and all acts for and on behalf of the undersigned which may be necessary or desirable to complete and execute any such Form 3, 4, 5 or Form 144 and timely file such form with the SEC and any stock exchange or similar authority and take any other action of any type whatsoever in connection with the foregoing which, in the opinion of such attorneys-in-fact, may be of benefit to, in the best interest of, or legally required by, the undersigned.</w:t>
      </w:r>
    </w:p>
    <w:p>
      <w:pPr>
        <w:spacing w:after="0" w:line="195" w:lineRule="exact"/>
        <w:rPr>
          <w:sz w:val="20"/>
          <w:szCs w:val="20"/>
          <w:color w:val="auto"/>
        </w:rPr>
      </w:pPr>
    </w:p>
    <w:p>
      <w:pPr>
        <w:jc w:val="both"/>
        <w:ind w:firstLine="731"/>
        <w:spacing w:after="0" w:line="256" w:lineRule="auto"/>
        <w:rPr>
          <w:sz w:val="20"/>
          <w:szCs w:val="20"/>
          <w:color w:val="auto"/>
        </w:rPr>
      </w:pPr>
      <w:r>
        <w:rPr>
          <w:rFonts w:ascii="Times New Roman" w:cs="Times New Roman" w:eastAsia="Times New Roman" w:hAnsi="Times New Roman"/>
          <w:sz w:val="20"/>
          <w:szCs w:val="20"/>
          <w:color w:val="262626"/>
        </w:rPr>
        <w:t>The undersigned hereby grants to each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or Rule 144 of the Securities Act.</w:t>
      </w:r>
    </w:p>
    <w:p>
      <w:pPr>
        <w:spacing w:after="0" w:line="202" w:lineRule="exact"/>
        <w:rPr>
          <w:sz w:val="20"/>
          <w:szCs w:val="20"/>
          <w:color w:val="auto"/>
        </w:rPr>
      </w:pPr>
    </w:p>
    <w:p>
      <w:pPr>
        <w:jc w:val="both"/>
        <w:ind w:right="20" w:firstLine="731"/>
        <w:spacing w:after="0" w:line="262" w:lineRule="auto"/>
        <w:rPr>
          <w:sz w:val="20"/>
          <w:szCs w:val="20"/>
          <w:color w:val="auto"/>
        </w:rPr>
      </w:pPr>
      <w:r>
        <w:rPr>
          <w:rFonts w:ascii="Times New Roman" w:cs="Times New Roman" w:eastAsia="Times New Roman" w:hAnsi="Times New Roman"/>
          <w:sz w:val="20"/>
          <w:szCs w:val="20"/>
          <w:color w:val="262626"/>
        </w:rPr>
        <w:t>This Power of Attorney shall at all times be binding with respect to all actions taken by the attorneys-in-fact in accordance with the terms of this Power of Attorney. The powers granted by this Power of Attorney shall begin on April 6, 2026, and shall continue in full force and effect until the undersigned is no longer required to file Section 16 Reports with respect to the equity securities of the Company, unless earlier revoked by the undersigned in a signed writing delivered to the foregoing attorneys-in-fact.</w:t>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262626"/>
        </w:rPr>
        <w:t>I, Edward Garden executed this Limited Power of Attorney on this 31st day of March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/s/ Edward P. Garden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-7620</wp:posOffset>
            </wp:positionV>
            <wp:extent cx="1815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262626"/>
        </w:rPr>
        <w:t>Edward Garden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216535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94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57864" TargetMode="External"/><Relationship Id="rId14" Type="http://schemas.openxmlformats.org/officeDocument/2006/relationships/hyperlink" Target="http://www.sec.gov/cgi-bin/browse-edgar?action=getcompany&amp;CIK=00015197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2026-05-07T17:16:17Z</dcterms:created>
  <dcterms:modified xsi:type="dcterms:W3CDTF">2026-05-07T17:16:17Z</dcterms:modified>
</cp:coreProperties>
</file>