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5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43"/>
          <w:szCs w:val="43"/>
          <w:b w:val="1"/>
          <w:bCs w:val="1"/>
          <w:color w:val="auto"/>
        </w:rPr>
        <w:t>Fortune Brands Innovations, Inc.</w:t>
      </w:r>
    </w:p>
    <w:p>
      <w:pPr>
        <w:spacing w:after="0" w:line="58"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1-35166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62-1411546</w:t>
      </w:r>
    </w:p>
    <w:p>
      <w:pPr>
        <w:spacing w:after="0" w:line="12" w:lineRule="exact"/>
        <w:rPr>
          <w:sz w:val="24"/>
          <w:szCs w:val="24"/>
          <w:color w:val="auto"/>
        </w:rPr>
      </w:pPr>
    </w:p>
    <w:p>
      <w:pPr>
        <w:sectPr>
          <w:pgSz w:w="11900" w:h="16838" w:orient="portrait"/>
          <w:cols w:equalWidth="0" w:num="3">
            <w:col w:w="4720" w:space="720"/>
            <w:col w:w="2840" w:space="720"/>
            <w:col w:w="1740"/>
          </w:cols>
          <w:pgMar w:left="320" w:top="1440" w:right="839" w:bottom="1440" w:gutter="0" w:footer="0" w:header="0"/>
          <w:type w:val="continuous"/>
        </w:sect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20" w:space="720"/>
            <w:col w:w="2820" w:space="720"/>
            <w:col w:w="1860"/>
          </w:cols>
          <w:pgMar w:left="320" w:top="1440" w:right="839" w:bottom="1440" w:gutter="0" w:footer="0" w:header="0"/>
          <w:type w:val="continuous"/>
        </w:sectPr>
      </w:pPr>
    </w:p>
    <w:p>
      <w:pPr>
        <w:spacing w:after="0" w:line="96"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1 Horizon Way</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Building N</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Deerfield, IL 60015-3888</w:t>
      </w:r>
    </w:p>
    <w:p>
      <w:pPr>
        <w:spacing w:after="0" w:line="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0740"/>
          </w:cols>
          <w:pgMar w:left="320" w:top="1440" w:right="839" w:bottom="1440" w:gutter="0" w:footer="0" w:header="0"/>
          <w:type w:val="continuous"/>
        </w:sectPr>
      </w:pPr>
    </w:p>
    <w:p>
      <w:pPr>
        <w:spacing w:after="0" w:line="215"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Hiranda S. Donoghue 847-484-4599</w:t>
      </w:r>
    </w:p>
    <w:p>
      <w:pPr>
        <w:spacing w:after="0" w:line="25"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67" w:lineRule="exact"/>
        <w:rPr>
          <w:sz w:val="24"/>
          <w:szCs w:val="24"/>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1136015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1.01.</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Conflict Minerals Disclosure and Report for the Year Ended December 31, 2025</w:t>
      </w:r>
    </w:p>
    <w:p>
      <w:pPr>
        <w:spacing w:after="0" w:line="23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Fortune Brands Innovations, Inc. (“Fortune Brands” or the “Company”) determined that tin, tantalum, tungsten and/or gold (the “Conflict Minerals”) were necessary for the production or functionality of products manufactured or contracted for manufacture by Fortune Brands in calendar year 2025 and is therefore subject to reporting under Section 1502(b) of the Dodd-Frank Act, and Rule 13p-1 under the Securities Exchange Act of 1934. After conducting a reasonable country of origin inquiry (“RCOI”) regarding the applicable Conflict Minerals, Fortune Brands had reason to believe that some of the necessary Conflict Minerals may have originated in the Democratic Republic of the Congo or an adjoining country and are not from recycled or scrap sources. As a result, the Company conducted the due diligence process more fully described in the Conflict Minerals Report attached as an exhibit hereto.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Published Results</w:t>
      </w:r>
    </w:p>
    <w:p>
      <w:pPr>
        <w:spacing w:after="0" w:line="237" w:lineRule="exact"/>
        <w:rPr>
          <w:sz w:val="20"/>
          <w:szCs w:val="20"/>
          <w:color w:val="auto"/>
        </w:rPr>
      </w:pPr>
    </w:p>
    <w:p>
      <w:pPr>
        <w:ind w:right="1640"/>
        <w:spacing w:after="0" w:line="298" w:lineRule="auto"/>
        <w:rPr>
          <w:sz w:val="20"/>
          <w:szCs w:val="20"/>
          <w:color w:val="auto"/>
        </w:rPr>
      </w:pPr>
      <w:r>
        <w:rPr>
          <w:rFonts w:ascii="Times New Roman" w:cs="Times New Roman" w:eastAsia="Times New Roman" w:hAnsi="Times New Roman"/>
          <w:sz w:val="16"/>
          <w:szCs w:val="16"/>
          <w:color w:val="auto"/>
        </w:rPr>
        <w:t>A copy of this Form SD and attached Conflict Minerals Report may be found publicly on the Fortune Brands’ investor relations internet website at https://ir.fbin.com/sec-filings.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Item 1.02. Exhibit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Fortune Brands has filed as an exhibit to this Form SD, the Conflict Minerals Report for the calendar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1173480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8" w:right="4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SECTION 2- EXHIBITS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2.01 Exhibits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0" w:type="dxa"/>
            <w:vAlign w:val="bottom"/>
          </w:tcPr>
          <w:p>
            <w:pPr>
              <w:spacing w:after="0"/>
              <w:rPr>
                <w:sz w:val="13"/>
                <w:szCs w:val="13"/>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9900" w:type="dxa"/>
            <w:vAlign w:val="bottom"/>
            <w:gridSpan w:val="4"/>
          </w:tcPr>
          <w:p>
            <w:pPr>
              <w:ind w:left="380"/>
              <w:spacing w:after="0"/>
              <w:rPr>
                <w:sz w:val="20"/>
                <w:szCs w:val="20"/>
                <w:color w:val="auto"/>
              </w:rPr>
            </w:pPr>
            <w:r>
              <w:rPr>
                <w:rFonts w:ascii="Times New Roman" w:cs="Times New Roman" w:eastAsia="Times New Roman" w:hAnsi="Times New Roman"/>
                <w:sz w:val="13"/>
                <w:szCs w:val="13"/>
                <w:b w:val="1"/>
                <w:bCs w:val="1"/>
                <w:color w:val="auto"/>
              </w:rPr>
              <w:t>Description of Exhibit</w:t>
            </w:r>
          </w:p>
        </w:tc>
      </w:tr>
      <w:tr>
        <w:trPr>
          <w:trHeight w:val="263"/>
        </w:trPr>
        <w:tc>
          <w:tcPr>
            <w:tcW w:w="120" w:type="dxa"/>
            <w:vAlign w:val="bottom"/>
          </w:tcPr>
          <w:p>
            <w:pPr>
              <w:spacing w:after="0"/>
              <w:rPr>
                <w:sz w:val="22"/>
                <w:szCs w:val="2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5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0000FF"/>
              </w:rPr>
              <w:t>Conflict Minerals Report as required by Items 1.01 and 1.02 of this Form.</w:t>
            </w: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77"/>
        </w:trPr>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r>
      <w:tr>
        <w:trPr>
          <w:trHeight w:val="1836"/>
        </w:trPr>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37" w:lineRule="exact"/>
        <w:rPr>
          <w:sz w:val="20"/>
          <w:szCs w:val="20"/>
          <w:color w:val="auto"/>
        </w:rPr>
      </w:pPr>
    </w:p>
    <w:p>
      <w:pPr>
        <w:ind w:right="220"/>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1240" w:type="dxa"/>
            <w:vAlign w:val="bottom"/>
            <w:gridSpan w:val="2"/>
          </w:tcPr>
          <w:p>
            <w:pPr>
              <w:ind w:left="6000"/>
              <w:spacing w:after="0"/>
              <w:rPr>
                <w:sz w:val="20"/>
                <w:szCs w:val="20"/>
                <w:color w:val="auto"/>
              </w:rPr>
            </w:pPr>
            <w:r>
              <w:rPr>
                <w:rFonts w:ascii="Times New Roman" w:cs="Times New Roman" w:eastAsia="Times New Roman" w:hAnsi="Times New Roman"/>
                <w:sz w:val="16"/>
                <w:szCs w:val="16"/>
                <w:b w:val="1"/>
                <w:bCs w:val="1"/>
                <w:color w:val="auto"/>
              </w:rPr>
              <w:t>FORTUNE BRANDS INNOVATIONS, INC.</w:t>
            </w:r>
          </w:p>
        </w:tc>
      </w:tr>
      <w:tr>
        <w:trPr>
          <w:trHeight w:val="420"/>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May 28, 2026</w:t>
            </w:r>
          </w:p>
        </w:tc>
        <w:tc>
          <w:tcPr>
            <w:tcW w:w="4720" w:type="dxa"/>
            <w:vAlign w:val="bottom"/>
          </w:tcPr>
          <w:p>
            <w:pPr>
              <w:spacing w:after="0"/>
              <w:rPr>
                <w:sz w:val="24"/>
                <w:szCs w:val="24"/>
                <w:color w:val="auto"/>
              </w:rPr>
            </w:pPr>
          </w:p>
        </w:tc>
      </w:tr>
      <w:tr>
        <w:trPr>
          <w:trHeight w:val="234"/>
        </w:trPr>
        <w:tc>
          <w:tcPr>
            <w:tcW w:w="6520" w:type="dxa"/>
            <w:vAlign w:val="bottom"/>
          </w:tcPr>
          <w:p>
            <w:pPr>
              <w:ind w:left="586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 Hiranda S. Donoghue</w:t>
            </w:r>
          </w:p>
        </w:tc>
      </w:tr>
      <w:tr>
        <w:trPr>
          <w:trHeight w:val="191"/>
        </w:trPr>
        <w:tc>
          <w:tcPr>
            <w:tcW w:w="6520" w:type="dxa"/>
            <w:vAlign w:val="bottom"/>
          </w:tcPr>
          <w:p>
            <w:pPr>
              <w:spacing w:after="0"/>
              <w:rPr>
                <w:sz w:val="16"/>
                <w:szCs w:val="16"/>
                <w:color w:val="auto"/>
              </w:rPr>
            </w:pPr>
          </w:p>
        </w:tc>
        <w:tc>
          <w:tcPr>
            <w:tcW w:w="4720" w:type="dxa"/>
            <w:vAlign w:val="bottom"/>
          </w:tcPr>
          <w:p>
            <w:pPr>
              <w:ind w:left="240"/>
              <w:spacing w:after="0" w:line="191" w:lineRule="exact"/>
              <w:rPr>
                <w:sz w:val="20"/>
                <w:szCs w:val="20"/>
                <w:color w:val="auto"/>
              </w:rPr>
            </w:pPr>
            <w:r>
              <w:rPr>
                <w:rFonts w:ascii="Times New Roman" w:cs="Times New Roman" w:eastAsia="Times New Roman" w:hAnsi="Times New Roman"/>
                <w:sz w:val="18"/>
                <w:szCs w:val="18"/>
                <w:color w:val="auto"/>
              </w:rPr>
              <w:t>Hiranda S. Donoghue</w:t>
            </w:r>
          </w:p>
        </w:tc>
      </w:tr>
      <w:tr>
        <w:trPr>
          <w:trHeight w:val="216"/>
        </w:trPr>
        <w:tc>
          <w:tcPr>
            <w:tcW w:w="6520" w:type="dxa"/>
            <w:vAlign w:val="bottom"/>
          </w:tcPr>
          <w:p>
            <w:pPr>
              <w:spacing w:after="0"/>
              <w:rPr>
                <w:sz w:val="18"/>
                <w:szCs w:val="18"/>
                <w:color w:val="auto"/>
              </w:rPr>
            </w:pPr>
          </w:p>
        </w:tc>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Legal Officer and Corporate</w:t>
            </w:r>
          </w:p>
        </w:tc>
      </w:tr>
      <w:tr>
        <w:trPr>
          <w:trHeight w:val="234"/>
        </w:trPr>
        <w:tc>
          <w:tcPr>
            <w:tcW w:w="6520" w:type="dxa"/>
            <w:vAlign w:val="bottom"/>
          </w:tcPr>
          <w:p>
            <w:pPr>
              <w:spacing w:after="0"/>
              <w:rPr>
                <w:sz w:val="20"/>
                <w:szCs w:val="20"/>
                <w:color w:val="auto"/>
              </w:rPr>
            </w:pPr>
          </w:p>
        </w:tc>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Secretary</w:t>
            </w:r>
          </w:p>
        </w:tc>
      </w:tr>
      <w:tr>
        <w:trPr>
          <w:trHeight w:val="1829"/>
        </w:trPr>
        <w:tc>
          <w:tcPr>
            <w:tcW w:w="652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Fortune Brands Innovations,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Conflict Minerals Report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Year Ended December 31, 2025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Fortune Brands Innovations, Inc. (“Fortune Brands” the “Company”, “we”, “us”, or “our”) determined that tin, tantalum, tungsten and/or gold (the “Conflict Minerals”) were necessary for the production or functionality of products manufactured or contracted for manufacture by Fortune Brands in calendar year 2025 and is therefore subject to reporting under Section 1502(b) of the Dodd Frank Act, and Rule 13p-1 under the Securities Exchange Act of 1934. After conducting a reasonable country of origin inquiry (“RCOI”) regarding the applicable Conflict Minerals, Fortune Brands had reason to believe that some of the Conflict Minerals may have originated in the Democratic Republic of the Congo or an adjoining country (together, the “Conflict Region”) and therefore was subject to the exercise of due diligence as described in this Conflict Minerals Report (“Report”), which is presented to comply with Rule 13p-1 of the Securities Exchange Act of 1934.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Company 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leading home, security and digital products company whose purpose is to elevate every life by transforming spaces into havens.</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Fortune Brands does not directly source any Conflict Minerals that may be used in the products it manufactures or contracts to manufacture. Because of the size of the Company, the complexity of our products and the manufacturing process, and because of the constant evolution of our supply chain, we relied on our direct suppliers to provide us with information on the origin of the Conflict Minerals that are supplied to them from upstream suppliers when conducting our RCOI and our due diligence process.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Design of Due Diligence Process.</w:t>
      </w:r>
    </w:p>
    <w:p>
      <w:pPr>
        <w:spacing w:after="0" w:line="2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Fortune Brands designed its due diligence process and methodology to conform in all material respects with the framework of the Organization for Economic Co-Operation and Development Due Diligence Guidance for Responsible Supply Chains of Minerals from Conflict-Affected and High-Risk Areas (Third Edition) and the supplements thereto (together, the “OECD Framework”).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Due Diligence Measures Undertaken.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Fortune Brands undertook the following measures as part of its Conflict Minerals due diligence:</w:t>
      </w:r>
    </w:p>
    <w:p>
      <w:pPr>
        <w:spacing w:after="0" w:line="225" w:lineRule="exact"/>
        <w:rPr>
          <w:sz w:val="20"/>
          <w:szCs w:val="20"/>
          <w:color w:val="auto"/>
        </w:rPr>
      </w:pPr>
    </w:p>
    <w:p>
      <w:pPr>
        <w:ind w:left="280" w:hanging="272"/>
        <w:spacing w:after="0"/>
        <w:tabs>
          <w:tab w:leader="none" w:pos="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Established Company Management Systems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maintained a Conflict Minerals task force headed by the Fortune Brands’ legal department and includes representatives from each business segment. The task force continued to work with the representatives of the Company’s businesses to help determine the scope of our due diligence, and the best methods to contact, educate, and survey our suppliers.</w:t>
      </w:r>
    </w:p>
    <w:p>
      <w:pPr>
        <w:spacing w:after="0" w:line="176"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We employed our system of supply chain traceability to identify the facilities in our supply chain that may have supplied Conflict Minerals for our 2025 products. This system included identification of suppliers of materials for the 2025 products, outreach to these suppliers, and evaluation of information received from these suppliers (as described further in Part B below). Reports on the progress of the Conflict Minerals program were made to internal company management periodically.</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Company also continued to maintain control systems which include our many standards, policies and procedures designed to provide guidelines on how to conduct business in an ethical and responsible manner and how to report grievances. Please see our Annual Report on Form 10-K for more information on these controls and our Code of Business Conduct and Ethics, Supplier Code of Conduct and other related policies, all of which can be found at </w:t>
      </w:r>
      <w:r>
        <w:rPr>
          <w:rFonts w:ascii="Times New Roman" w:cs="Times New Roman" w:eastAsia="Times New Roman" w:hAnsi="Times New Roman"/>
          <w:sz w:val="18"/>
          <w:szCs w:val="18"/>
          <w:u w:val="single" w:color="auto"/>
          <w:color w:val="auto"/>
        </w:rPr>
        <w:t>www.FBIN.com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Identify and Assess Risks in the Supply Chain:</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Fortune Brands relied on information provided by our suppliers to assist with our due diligence efforts. Specifically, we took the following steps as part of our Conflict Minerals due diligence process:</w:t>
      </w:r>
    </w:p>
    <w:p>
      <w:pPr>
        <w:spacing w:after="0" w:line="54" w:lineRule="exact"/>
        <w:rPr>
          <w:sz w:val="20"/>
          <w:szCs w:val="20"/>
          <w:color w:val="auto"/>
        </w:rPr>
      </w:pPr>
    </w:p>
    <w:p>
      <w:pPr>
        <w:ind w:left="1540" w:right="500" w:hanging="514"/>
        <w:spacing w:after="0" w:line="282" w:lineRule="auto"/>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our direct suppliers which provided raw materials or components used in the production of those products reasonably believed to contain one or more Conflict Minerals;</w:t>
      </w:r>
    </w:p>
    <w:p>
      <w:pPr>
        <w:spacing w:after="0" w:line="269" w:lineRule="exact"/>
        <w:rPr>
          <w:rFonts w:ascii="Times New Roman" w:cs="Times New Roman" w:eastAsia="Times New Roman" w:hAnsi="Times New Roman"/>
          <w:sz w:val="18"/>
          <w:szCs w:val="18"/>
          <w:color w:val="auto"/>
        </w:rPr>
      </w:pPr>
    </w:p>
    <w:p>
      <w:pPr>
        <w:ind w:left="1540" w:right="320" w:hanging="514"/>
        <w:spacing w:after="0" w:line="282" w:lineRule="auto"/>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Contacted the identified suppliers and, together with a cover letter explaining the intent and purpose of our request, sent our direct suppliers the Responsible Minerals Initiative’s Conflict Minerals Reporting Template (the “Template”);</w:t>
      </w:r>
    </w:p>
    <w:p>
      <w:pPr>
        <w:spacing w:after="0" w:line="269" w:lineRule="exact"/>
        <w:rPr>
          <w:rFonts w:ascii="Times New Roman" w:cs="Times New Roman" w:eastAsia="Times New Roman" w:hAnsi="Times New Roman"/>
          <w:sz w:val="18"/>
          <w:szCs w:val="18"/>
          <w:color w:val="auto"/>
        </w:rPr>
      </w:pPr>
    </w:p>
    <w:p>
      <w:pPr>
        <w:ind w:left="1540" w:right="120" w:hanging="514"/>
        <w:spacing w:after="0" w:line="261" w:lineRule="auto"/>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Requested from those suppliers confirmation of the presence of necessary Conflict Minerals in the raw materials or components they supplied to Fortune Brands and information regarding the origin of those minerals. The Template also included questions regarding the suppliers’ conflict mineral policies, due diligence processes, engagement with their supply chains and a listing of the smelters/refiners used to process the necessary Conflict Minerals;</w:t>
      </w:r>
    </w:p>
    <w:p>
      <w:pPr>
        <w:spacing w:after="0" w:line="28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Followed-up with unresponsive suppliers to request compliance with our requests for information and documentation; and</w:t>
      </w:r>
    </w:p>
    <w:p>
      <w:pPr>
        <w:spacing w:after="0" w:line="333" w:lineRule="exact"/>
        <w:rPr>
          <w:rFonts w:ascii="Times New Roman" w:cs="Times New Roman" w:eastAsia="Times New Roman" w:hAnsi="Times New Roman"/>
          <w:sz w:val="18"/>
          <w:szCs w:val="18"/>
          <w:color w:val="auto"/>
        </w:rPr>
      </w:pPr>
    </w:p>
    <w:p>
      <w:pPr>
        <w:ind w:right="4060" w:firstLine="1026"/>
        <w:spacing w:after="0" w:line="500" w:lineRule="auto"/>
        <w:tabs>
          <w:tab w:leader="none" w:pos="152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Reviewed, compiled and analyzed the responses for each responding supplier. C. </w:t>
      </w:r>
      <w:r>
        <w:rPr>
          <w:rFonts w:ascii="Times New Roman" w:cs="Times New Roman" w:eastAsia="Times New Roman" w:hAnsi="Times New Roman"/>
          <w:sz w:val="18"/>
          <w:szCs w:val="18"/>
          <w:u w:val="single" w:color="auto"/>
          <w:color w:val="auto"/>
        </w:rPr>
        <w:t>Design and Implement a Strategy to Respond to Identified Risks.</w:t>
      </w:r>
    </w:p>
    <w:p>
      <w:pPr>
        <w:spacing w:after="0" w:line="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Fortune Brands continued to implement a strategy for complying with the Conflict Minerals reporting requirements, which included establishing a timeline for the sending, collection and analysis of the responses to the Template we gathered as part of our due diligence process. Fortune Brands continued to use a task force to coordinate the process and the collection of data. Members of this task force worked to incorporate insights gained during the 2013-2024 reporting cycles to improve the accuracy of the 2025 due diligence process. This included identifying incomplete or internally inconsistent supplier responses, and working to obtain additional information and accurate responses. Members of internal company management received periodic reports and updates regarding the due diligence process. In addition, the business segments had discussions with the Company’s legal department throughout the process.</w:t>
      </w:r>
    </w:p>
    <w:p>
      <w:pPr>
        <w:spacing w:after="0" w:line="189" w:lineRule="exact"/>
        <w:rPr>
          <w:sz w:val="20"/>
          <w:szCs w:val="20"/>
          <w:color w:val="auto"/>
        </w:rPr>
      </w:pPr>
    </w:p>
    <w:p>
      <w:pPr>
        <w:ind w:left="280" w:hanging="272"/>
        <w:spacing w:after="0"/>
        <w:tabs>
          <w:tab w:leader="none" w:pos="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Carry Out Independent Third-Party Audit of Supply Chain Due Diligence at Identified Points in the Supply Chain.</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a downstream company with no direct relationships with smelters/refiners, we did not directly engage in any third-party audits of smelters or refiners in our supply chain.</w:t>
      </w:r>
    </w:p>
    <w:p>
      <w:pPr>
        <w:spacing w:after="0" w:line="162"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 on Supply Chain Due Diligence.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this Conflict Minerals Report can be found on our website at https://ir.fbin.com/sec-filings.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Results of Due Diligence Process.</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part of our internal assessment, we identified our global suppliers who were potentially supplying products that contained Conflict Minerals. Each supplier was sent a cover letter, background on the Template and the Template. All of our segments had products that were subject to our due diligence efforts. For more information about our products, please refer to our Annual Report on Form 10-K for the year ended 2025.</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Fortune Brands was unable, after exercising the due diligence described in this Conflict Minerals Report, to determine the country of origin of some necessary Conflict Minerals in our 2025 products or whether any of the necessary Conflict Minerals may have directly or indirectly financed or benefited an armed group in the Conflict Region.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Facilities used to process necessary Conflict Minerals and country of origin</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a result of the Company’s due diligence process, 130 smelters and refiners were reported to us by our responsive direct suppliers as having potentially processed necessary Conflict Minerals contained in our 2025 products. Of these, 82 are included on the list of facilities that have been verified and found to conform to the Responsible Minerals Assurance Process (“RMAP”)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 w:name="page7"/>
    <w:bookmarkEnd w:id="6"/>
    <w:p>
      <w:pPr>
        <w:ind w:right="200"/>
        <w:spacing w:after="0" w:line="282" w:lineRule="auto"/>
        <w:rPr>
          <w:sz w:val="20"/>
          <w:szCs w:val="20"/>
          <w:color w:val="auto"/>
        </w:rPr>
      </w:pPr>
      <w:r>
        <w:rPr>
          <w:rFonts w:ascii="Times New Roman" w:cs="Times New Roman" w:eastAsia="Times New Roman" w:hAnsi="Times New Roman"/>
          <w:sz w:val="18"/>
          <w:szCs w:val="18"/>
          <w:color w:val="auto"/>
        </w:rPr>
        <w:t>protocols, with another 3 facilities identified as “Active” in the RMAP. Appendix A sets forth a list of the facilities our suppliers identified, with RMAP-conformant smelters and refiners identified as “Conformant” and RMAP-active refiners identified as “Active.”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Many of our direct suppliers provided the information on smelters and refiners at their company level (i.e., representing the smelters and refiners associated with all product offerings of the supplier that contained Conflict Minerals) and did not customize the information for Fortune Brands or the specific materials supplied to Fortune Brands. We were therefore unable to confirm that the Conflict Minerals in our 2025 products were in fact processed by the reported smelters and refiners.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Efforts to determine the mine or location of origin</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determined that seeking information about the smelters and refiners of Conflict Minerals in our supply chain and utilizing the tools and information developed by industry organizations to assess the due diligence practices of these entities represent the most reasonable efforts we can make to determine the mines or locations of origin of the Conflict Minerals in our supply chains and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Steps to Improve Due Diligence Efforts in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intends to continue to take the following steps to improve our Conflict Minerals due diligence process:</w:t>
      </w:r>
    </w:p>
    <w:p>
      <w:pPr>
        <w:spacing w:after="0" w:line="117"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utilize internal resources and expertise to ensure uniform implementation of Company Conflict Minerals processes.</w:t>
      </w:r>
    </w:p>
    <w:p>
      <w:pPr>
        <w:spacing w:after="0" w:line="33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engage our suppliers that have not fully responded to our requests for Conflict Minerals information, ultimately seeking to obtain complete responses from all of our direct suppliers of materials containing Conflict Minerals, to determine:</w:t>
      </w:r>
    </w:p>
    <w:p>
      <w:pPr>
        <w:spacing w:after="0" w:line="5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the use of Conflict Minerals;</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the country of origin of those Conflict Minerals;</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the use of scrap or recycled sources of those Conflict Minerals; and</w:t>
      </w:r>
    </w:p>
    <w:p>
      <w:pPr>
        <w:spacing w:after="0" w:line="117" w:lineRule="exact"/>
        <w:rPr>
          <w:rFonts w:ascii="Times New Roman" w:cs="Times New Roman" w:eastAsia="Times New Roman" w:hAnsi="Times New Roman"/>
          <w:sz w:val="18"/>
          <w:szCs w:val="18"/>
          <w:color w:val="auto"/>
        </w:rPr>
      </w:pPr>
    </w:p>
    <w:p>
      <w:pPr>
        <w:ind w:left="1540" w:right="6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 source and chain of custody of those Conflict Minerals there is reason to believe may have originated in the covered countries and that were not obtained from scrap or recycled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Appendix A</w:t>
            </w:r>
          </w:p>
        </w:tc>
        <w:tc>
          <w:tcPr>
            <w:tcW w:w="7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96"/>
        </w:trPr>
        <w:tc>
          <w:tcPr>
            <w:tcW w:w="1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190"/>
        </w:trPr>
        <w:tc>
          <w:tcPr>
            <w:tcW w:w="140" w:type="dxa"/>
            <w:vAlign w:val="bottom"/>
            <w:tcBorders>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color w:val="auto"/>
              </w:rPr>
              <w:t>Metal</w:t>
            </w:r>
          </w:p>
        </w:tc>
        <w:tc>
          <w:tcPr>
            <w:tcW w:w="7680" w:type="dxa"/>
            <w:vAlign w:val="bottom"/>
            <w:tcBorders>
              <w:bottom w:val="single" w:sz="8" w:color="auto"/>
              <w:right w:val="single" w:sz="8" w:color="auto"/>
            </w:tcBorders>
          </w:tcPr>
          <w:p>
            <w:pPr>
              <w:ind w:left="80"/>
              <w:spacing w:after="0" w:line="170" w:lineRule="exact"/>
              <w:rPr>
                <w:sz w:val="20"/>
                <w:szCs w:val="20"/>
                <w:color w:val="auto"/>
              </w:rPr>
            </w:pPr>
            <w:r>
              <w:rPr>
                <w:rFonts w:ascii="Times New Roman" w:cs="Times New Roman" w:eastAsia="Times New Roman" w:hAnsi="Times New Roman"/>
                <w:sz w:val="18"/>
                <w:szCs w:val="18"/>
                <w:b w:val="1"/>
                <w:bCs w:val="1"/>
                <w:color w:val="auto"/>
              </w:rPr>
              <w:t>Facility Name</w:t>
            </w:r>
          </w:p>
        </w:tc>
        <w:tc>
          <w:tcPr>
            <w:tcW w:w="88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rPr>
              <w:t>Active</w:t>
            </w:r>
          </w:p>
        </w:tc>
        <w:tc>
          <w:tcPr>
            <w:tcW w:w="140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8"/>
              </w:rPr>
              <w:t>Conformant</w:t>
            </w:r>
          </w:p>
        </w:tc>
      </w:tr>
      <w:tr>
        <w:trPr>
          <w:trHeight w:val="193"/>
        </w:trPr>
        <w:tc>
          <w:tcPr>
            <w:tcW w:w="140" w:type="dxa"/>
            <w:vAlign w:val="bottom"/>
            <w:tcBorders>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100"/>
              <w:spacing w:after="0" w:line="193" w:lineRule="exact"/>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line="193" w:lineRule="exact"/>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88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Premium Tin Indonesia</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Dongguan Best Alloys Co., Ltd.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Dowa</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 Vinto</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Estanho de Rondonia S.A.</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Fenix Metals</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 Tin Group Co., Ltd.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Metallic Resources, Inc.</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Mineracao Taboca S.A.</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Minsur</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Artha Cipta Langgeng</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0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Mitra Stania Prima</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Prima Timah Utama</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Timah Tbk Kundur</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Timah Tbk Mentok</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Rui Da Hung</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Thaisarco</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Melt Metais e Ligas S.A.</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CV Ayi Jaya</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Electro-Mechanical Facility of the Cao Bang Minerals &amp; Metallurgy Joint Stock Company</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Rajehan Ariq</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Cipta Persada Mulia</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Super Ligas</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Aurubis Beerse</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Aurubis Berango</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Bangka Prima Tin</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Modeltech Sdn Bhd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756"/>
        </w:trPr>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76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9"/>
        </w:trPr>
        <w:tc>
          <w:tcPr>
            <w:tcW w:w="140" w:type="dxa"/>
            <w:vAlign w:val="bottom"/>
            <w:tcBorders>
              <w:right w:val="single" w:sz="8" w:color="auto"/>
            </w:tcBorders>
          </w:tcPr>
          <w:p>
            <w:pPr>
              <w:spacing w:after="0"/>
              <w:rPr>
                <w:sz w:val="21"/>
                <w:szCs w:val="21"/>
                <w:color w:val="auto"/>
              </w:rPr>
            </w:pPr>
          </w:p>
        </w:tc>
        <w:tc>
          <w:tcPr>
            <w:tcW w:w="11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76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Facility Name</w:t>
            </w:r>
          </w:p>
        </w:tc>
        <w:tc>
          <w:tcPr>
            <w:tcW w:w="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1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Conformant</w:t>
            </w:r>
          </w:p>
        </w:tc>
      </w:tr>
      <w:tr>
        <w:trPr>
          <w:trHeight w:val="193"/>
        </w:trPr>
        <w:tc>
          <w:tcPr>
            <w:tcW w:w="140" w:type="dxa"/>
            <w:vAlign w:val="bottom"/>
            <w:tcBorders>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100"/>
              <w:spacing w:after="0" w:line="193" w:lineRule="exact"/>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line="193" w:lineRule="exact"/>
              <w:rPr>
                <w:sz w:val="20"/>
                <w:szCs w:val="20"/>
                <w:color w:val="auto"/>
              </w:rPr>
            </w:pPr>
            <w:r>
              <w:rPr>
                <w:rFonts w:ascii="Times New Roman" w:cs="Times New Roman" w:eastAsia="Times New Roman" w:hAnsi="Times New Roman"/>
                <w:sz w:val="18"/>
                <w:szCs w:val="18"/>
                <w:color w:val="auto"/>
              </w:rPr>
              <w:t>Dongguan CiEXPO Environmental Engineering Co., Ltd.</w:t>
            </w:r>
          </w:p>
        </w:tc>
        <w:tc>
          <w:tcPr>
            <w:tcW w:w="88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Masbro Alam Stania</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0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Tuyen Quang Non-Ferrous Metals Joint Stock Company</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Luna Smelter, Ltd.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CRM Fundicao De Metais E Comercio De Equipamentos Eletronicos Do Brasil Ltda</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00" w:type="dxa"/>
            <w:vAlign w:val="bottom"/>
            <w:tcBorders>
              <w:bottom w:val="single" w:sz="8" w:color="auto"/>
              <w:right w:val="single" w:sz="8" w:color="auto"/>
            </w:tcBorders>
          </w:tcPr>
          <w:p>
            <w:pPr>
              <w:spacing w:after="0"/>
              <w:rPr>
                <w:sz w:val="18"/>
                <w:szCs w:val="18"/>
                <w:color w:val="auto"/>
              </w:rPr>
            </w:pP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CRM Synergies EMEA, S.L.U.</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HuiChang Hill Tin Industry Co</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191"/>
        </w:trPr>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Takehara PVD Materials Plant / PVD Materials Division of MITSUI MINING &amp; SMELTING CO.,</w:t>
            </w:r>
          </w:p>
        </w:tc>
        <w:tc>
          <w:tcPr>
            <w:tcW w:w="88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X</w:t>
            </w:r>
          </w:p>
        </w:tc>
      </w:tr>
      <w:tr>
        <w:trPr>
          <w:trHeight w:val="234"/>
        </w:trPr>
        <w:tc>
          <w:tcPr>
            <w:tcW w:w="140" w:type="dxa"/>
            <w:vAlign w:val="bottom"/>
            <w:tcBorders>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LTD.</w:t>
            </w:r>
          </w:p>
        </w:tc>
        <w:tc>
          <w:tcPr>
            <w:tcW w:w="8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Pongpipat Company Limited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RIKAYAA GREENTECH PRIVATE LIMITED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Longnan Chuangyue Environmental Protection Technology Development Co., Ltd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Arsed Indonesia</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 Kay Metal, Inc</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AMG Brasil</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Mineracao Taboca S.A.</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Mitsui Kinzoku Company, Limited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NPM Silmet AS</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Taki Chemical Co., Ltd.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Telex Metals</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 Block Metals, LLC</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KEMET de Mexico</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TANIOBIS Co., Ltd.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TANIOBIS GmbH</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Materion Newton Inc.</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TANIOBIS Japan Co., Ltd.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Modeltech Sdn Bhd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Bangalore Refinery</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Kyshtym Copper-Electrolytic Plant ZAO</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Pease &amp; Curren</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JALAN &amp; Company</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SungEel HiMetal Co., Ltd.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ABC Refinery Pty Ltd.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Safimet S.p.A</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State Research Institute Center for Physical Sciences and Technology</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African Gold Refinery</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 Coast Refinery</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756"/>
        </w:trPr>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76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946"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9"/>
        </w:trPr>
        <w:tc>
          <w:tcPr>
            <w:tcW w:w="140" w:type="dxa"/>
            <w:vAlign w:val="bottom"/>
            <w:tcBorders>
              <w:right w:val="single" w:sz="8" w:color="auto"/>
            </w:tcBorders>
          </w:tcPr>
          <w:p>
            <w:pPr>
              <w:spacing w:after="0"/>
              <w:rPr>
                <w:sz w:val="21"/>
                <w:szCs w:val="21"/>
                <w:color w:val="auto"/>
              </w:rPr>
            </w:pPr>
          </w:p>
        </w:tc>
        <w:tc>
          <w:tcPr>
            <w:tcW w:w="11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76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Facility Name</w:t>
            </w:r>
          </w:p>
        </w:tc>
        <w:tc>
          <w:tcPr>
            <w:tcW w:w="880" w:type="dxa"/>
            <w:vAlign w:val="bottom"/>
            <w:tcBorders>
              <w:top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1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Conformant</w:t>
            </w:r>
          </w:p>
        </w:tc>
      </w:tr>
      <w:tr>
        <w:trPr>
          <w:trHeight w:val="193"/>
        </w:trPr>
        <w:tc>
          <w:tcPr>
            <w:tcW w:w="140" w:type="dxa"/>
            <w:vAlign w:val="bottom"/>
            <w:tcBorders>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100"/>
              <w:spacing w:after="0" w:line="193" w:lineRule="exact"/>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line="193" w:lineRule="exact"/>
              <w:rPr>
                <w:sz w:val="20"/>
                <w:szCs w:val="20"/>
                <w:color w:val="auto"/>
              </w:rPr>
            </w:pPr>
            <w:r>
              <w:rPr>
                <w:rFonts w:ascii="Times New Roman" w:cs="Times New Roman" w:eastAsia="Times New Roman" w:hAnsi="Times New Roman"/>
                <w:sz w:val="18"/>
                <w:szCs w:val="18"/>
                <w:color w:val="auto"/>
              </w:rPr>
              <w:t>NH Recytech Company</w:t>
            </w:r>
          </w:p>
        </w:tc>
        <w:tc>
          <w:tcPr>
            <w:tcW w:w="88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X</w:t>
            </w: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QG Refining, LLC</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Dijllah Gold Refinery FZC</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CGR Metalloys Pvt Ltd.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Sovereign Metals</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Augmont Enterprises Private Limited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Kundan Care Products Ltd.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Emerald Jewel Industry India Limited (Unit 1)</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Emerald Jewel Industry India Limited (Unit 2)</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Emerald Jewel Industry India Limited (Unit 3)</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Emerald Jewel Industry India Limited (Unit 4)</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K.A. Rasmussen</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Alexy Metals</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MD Overseas</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Metallix Refining Inc.</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WEEEREFINING</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 by Gold Colombia</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7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Dongwu Gold Group</w:t>
            </w:r>
          </w:p>
        </w:tc>
        <w:tc>
          <w:tcPr>
            <w:tcW w:w="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1620"/>
        </w:trPr>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76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9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upperLetter"/>
      <w:start w:val="1"/>
    </w:lvl>
  </w:abstractNum>
  <w:abstractNum w:abstractNumId="2">
    <w:nsid w:val="46E87CCD"/>
    <w:multiLevelType w:val="hybridMultilevel"/>
    <w:lvl w:ilvl="0">
      <w:lvlJc w:val="left"/>
      <w:lvlText w:val="%1."/>
      <w:numFmt w:val="upperLetter"/>
      <w:start w:val="2"/>
    </w:lvl>
  </w:abstractNum>
  <w:abstractNum w:abstractNumId="3">
    <w:nsid w:val="3D1B58BA"/>
    <w:multiLevelType w:val="hybridMultilevel"/>
    <w:lvl w:ilvl="0">
      <w:lvlJc w:val="left"/>
      <w:lvlText w:val="%1"/>
      <w:numFmt w:val="upperLetter"/>
      <w:start w:val="1"/>
    </w:lvl>
    <w:lvl w:ilvl="1">
      <w:lvlJc w:val="left"/>
      <w:lvlText w:val="o"/>
      <w:numFmt w:val="bullet"/>
      <w:start w:val="1"/>
    </w:lvl>
  </w:abstractNum>
  <w:abstractNum w:abstractNumId="4">
    <w:nsid w:val="507ED7AB"/>
    <w:multiLevelType w:val="hybridMultilevel"/>
    <w:lvl w:ilvl="0">
      <w:lvlJc w:val="left"/>
      <w:lvlText w:val="%1."/>
      <w:numFmt w:val="upperLetter"/>
      <w:start w:val="4"/>
    </w:lvl>
  </w:abstractNum>
  <w:abstractNum w:abstractNumId="5">
    <w:nsid w:val="2EB141F2"/>
    <w:multiLevelType w:val="hybridMultilevel"/>
    <w:lvl w:ilvl="0">
      <w:lvlJc w:val="left"/>
      <w:lvlText w:val="%1."/>
      <w:numFmt w:val="upperLetter"/>
      <w:start w:val="5"/>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2026-05-29T16:49:18Z</dcterms:created>
  <dcterms:modified xsi:type="dcterms:W3CDTF">2026-05-29T16:49:18Z</dcterms:modified>
</cp:coreProperties>
</file>